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401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401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Municipal y Ministerio de Cultura 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nan esfuerzos para la construcci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del Palacio de Bellas Artes en Pasto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instalaciones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se reuni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con el ministro de Cultura, Juan David Correa, para socializar diferentes proyectos culturales para el municipio de Pasto. Entre los aspectos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importantes de la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fue el compromiso y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Ministerio de Cultura para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Palacio de Bellas Artes en Pasto. 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"Hemos planificado una serie de inversiones para efectuar en Pasto y que la actividad cultural de Pasto pueda ser visible ante Colombia y el mundo. Hay un compromiso del ministro para ayudarnos ante el Gobierno Nacional para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Palacio de Bellas Artes y el Parque Tem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tico del Carnaval",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ministro de Cultura, Juan David Correa,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dialogar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 representantes del Banco de la Republica para entregar en comodato el espacio para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Palacio de Bellas Artes. Adicionalmente, el ministro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impulsar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artes y oficios asociados al Carnaval de Negros y Blancos.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"Queremos construir un plan de manejo a 10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del Carnaval de Negros y Blancos y poder brindar espacios para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digna de carrozas, espacios de ensayos de baile e impulsar el turismo cultural. Esta es una ciudad maravillosa y esperamos que todos vengan al Carnaval de Negros y Blancos que 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hasta el 7 de enero",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ministro Juan David Correa.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#QueVivaHoyYQueVivaSiempre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