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006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006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4 de enero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 A"/>
        <w:jc w:val="center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entreg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balance positivo en seguridad y movilidad durante el desfile del 4 de enero</w:t>
      </w:r>
    </w:p>
    <w:p>
      <w:pPr>
        <w:pStyle w:val="Cuerpo A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Luego de un comit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de seguridad liderado por la Alcald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de Pasto junto a la Fuerza P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blica, se socializaron los resultados operativos y de movilidad durante el desfile de la Familia Casta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eda. En la reuni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se mostraron los balances positivos en materia de seguridad al no presentarse alteraciones al orden p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blico durante el desfile.</w:t>
      </w:r>
    </w:p>
    <w:p>
      <w:pPr>
        <w:pStyle w:val="Cuerpo A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"De acuerdo a la Polic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a, a la Secretar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de Transito y Transporte y la Direcci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Administrativa de Espacio P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blico hubo un balance positivo durante el desfile del 4 de enero. La articulaci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del trinomio de la seguridad ha dado buenos resultados sumado al apoyo a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reo con el helic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ptero de la Polic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Nacional", dijo el secretario de Gobierno. Geovanny Guerrero.</w:t>
      </w:r>
    </w:p>
    <w:p>
      <w:pPr>
        <w:pStyle w:val="Cuerpo A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De igual manera, el funcionario indic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que la Polic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ya intervino el sector de la avenida Los Estudiantes en donde hubo una llegada masiva de personas a participar de fiestas en zonas residenciales. Es por ello que el secretario Geovanny Guerrero invit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la ciudadan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a participar de los eventos del Carnaval en las plazas y espacios p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blicos designados.</w:t>
      </w:r>
    </w:p>
    <w:p>
      <w:pPr>
        <w:pStyle w:val="Cuerpo A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"Hemos recibido buenas noticias en cuanto a llegada de turistas con el incremento de vuelos hacia Pasto en Carnavales. Agradecemos a nuestros turistas por tener en cuenta a Pasto como un destino. Se han recibido a 100 mil turistas durante las fiestas, pero esperamos que las cifras se superen", concluy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la secretaria de Desarrollo Econ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mico, Paola Acosta.</w:t>
      </w:r>
    </w:p>
    <w:p>
      <w:pPr>
        <w:pStyle w:val="Cuerpo A"/>
        <w:jc w:val="both"/>
        <w:rPr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right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#PastoMejorSinP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</w:rPr>
        <w:t>ó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it-IT"/>
        </w:rPr>
        <w:t>lvora</w:t>
      </w:r>
    </w:p>
    <w:p>
      <w:pPr>
        <w:pStyle w:val="Cuerpo A"/>
        <w:jc w:val="right"/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#QueVivaHoyYQueVivaSiempre</w:t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