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015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015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20 de enero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En reuni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con Consejo Gremial y Empresarial, 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Pasto abord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temas de movilidad, econom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a, ordenamiento territorial y seguridad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En la sala de juntas de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 se reunieron representantes del Consejo Gremial y Empresarial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con funcionarios de la Administraci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Municipal par abordar aspectos como movilidad, econom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despu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carnavales, seguridad, ordenamiento territorial e inversiones en el comercio local. Durante el encuentro, los empresarios y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ratificaron su buena disposici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trabajo para los retos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micos que vienen en el presente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"Establecimos mesas de trabajo con los empresarios para abordar temas tributarios,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micos y de movilidad. Expusimos los resultados positivos del Carnaval de Negros y Blancos y anunciamos los proyectos que tendremos para Anato, Semana Santa, entre otros temas. Con estas acciones logramos mover la econom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en 2 billones de pesos durante diciembre y enero", dijo 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la secretaria de Desarrollo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mico, Paola Andrea Acosta, precis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las mesas de trabajo que se desarrollar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con los empresarios se basar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en temas como turismo, econom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formal, movilidad, impuestos y combustible. En ese orden de ideas, la funcionaria enfatiz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en la buena disposici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a para atender estos asuntos.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"Tendremos un cronograma de trabajo para discutir temas que afectan al sector empresarial. Hubo buenos resultados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micos con el Carnaval de Negros y Blancos con la llegada de turismo. Tenemos que mejorar en algunos productos tur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sticos y debemos visualizar que otros eventos podemos vender durante el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en Pasto",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presidente del Consejo Gremial y Empresarial de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Arturo Ortega.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