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030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030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3 de febrero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Con el acompa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>amiento de la 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Educaci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n, m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 xml:space="preserve">s de 40 mil estudiantes regresaron a clases en Pasto </w:t>
      </w: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jc w:val="both"/>
      </w:pPr>
      <w:r>
        <w:rPr>
          <w:rtl w:val="0"/>
          <w:lang w:val="es-ES_tradnl"/>
        </w:rPr>
        <w:t>Con el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amiento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40 mil estudiantes regresaron a clases en las instituciones educativas del municipio. Durante esta jornada, 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junto a la secretaria de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Piedad Figueroa, participaron de un evento simb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lico en la Instituci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Educativa Municipal Luis Delf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 Insuasty INEM ante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tres mil estudiantes.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"Estamos participando del regreso a clases de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40 mil estudiantes. Todo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dispuesto con la capacidad de docentes y el Plan de Alimentaci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Escolar. En el INEM trabajaremos una serie de proyectos como el Centro Innova para la sustituci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energ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el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ctrica. Garantizaremos el PAE durante todo el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gracias al apoyo del Gobierno Nacional",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mandatario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 Toro.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 igual manera, la secretaria de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Piedad Figueroa,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para este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hay retos importantes como la implementaci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 PIEMSA la cual busca fortalecer la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Pasto. Adicionalmente, la funcionaria invit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todos los padres y madres de familia a matricular a sus hijos en las instituciones educativas de Pasto.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"Tenemos una gran expectativa por este regreso a clase. Es importante el trabajo porque nuestros hijos vienen con todo el amor a aprender. El reto de nuestros hijos ser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adaptarse en este nuevo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escolar",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la madre de familia Ana Rosero. 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