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10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Pasto el desempleo disminuy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del 12.2% al 10.7%, seg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cifras entregadas por el DANE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Gracias a la acciones desarrolladas por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en cabeza del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Toro, y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mico,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el desempleo en la capital nari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ense, seg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cifras del Departamento Administrativo Nacional de Estad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stica, DANE, disminuy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del 12.2% (diciembre del 2023 - febrero 2024) al 10.7% (diciembre 2024 - febrero 2025)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logrando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reducci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1.4 puntos porcentuales. Respecto al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empleo en la poblaci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joven hubo una reducci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del 0.9 puntos porcentuales luego de pasar del 19.4% (diciembre del 2023 - febrero del 2024) al 18.5% (diciembre del 2024 a febrero del 2025).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"Todo lo que estamos haciendo a temas de empleabilidad y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dando resultados positivos. En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otras dependencias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 instituciones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blicas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estamos trabajando en la estrategia de empleabilidad en Pasto enmarcada en la Pol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tica 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blica de Empleo Digno y Decente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mico, Paola Andrea Acosta.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la funcionaria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estas estrategias buscar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 mejorar los indicadores de empleabilidad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tener una respuesta positiva en la generaci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empleo formal. Adicionalmente, dijo que dentro de las mesas de trabajo interinstitucional se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realizando acciones enfocadas en mejorar las condiciones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micas de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juvenil, mujeres y personas en condici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discapacidad.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"Seguiremos trabajando articuladamente con diferentes entidades para socializar la Pol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blica de Empleo Digno y Joven.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Pasto sigue cumpliendo en temas de empleo y reactivaci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mica en favor de todos las personas residentes en el municipio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Paola Acosta.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