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12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realiz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primer Comit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de Envejecimiento y Vejez como estrategia para beneficiar a las personas mayores del municipio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La 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</w:t>
      </w:r>
      <w:r>
        <w:rPr>
          <w:rStyle w:val="Ninguno"/>
          <w:rFonts w:ascii="Century Gothic" w:hAnsi="Century Gothic"/>
          <w:sz w:val="24"/>
          <w:szCs w:val="24"/>
          <w:rtl w:val="0"/>
        </w:rPr>
        <w:t>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Bienestar Social, viene trabajando articuladamente con diferentes entidades y dependencias desarrollando acciones en favor de las personas mayores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>ense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su programa de Adulto Mayor.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Primer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Envejecimiento y Vejez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donde se aprob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 forma un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nime el plan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que cada dependencia pueda empezar a realizar conjuntamente las actividades planteadas y programadas para la actual vigencia.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"El </w:t>
      </w:r>
      <w:r>
        <w:rPr>
          <w:rStyle w:val="Ninguno"/>
          <w:rFonts w:ascii="Century Gothic" w:hAnsi="Century Gothic"/>
          <w:sz w:val="24"/>
          <w:szCs w:val="24"/>
          <w:rtl w:val="0"/>
        </w:rPr>
        <w:t>prop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sito principal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este encuentro fue aprobar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todas las actividades que se llevaran a cabo durante todo este periodo, con el fin de lograr una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todos los integrantes del mismo para poder brindar una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integral a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vulnerable de personas mayores en el municipio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dijo la secretaria de Bienestar Social, Diana Catalina Zambrano.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ecretaria de Salud,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Mary Luz Castillo, 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: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 xml:space="preserve"> 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 importante fortalecer la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todas las entidades del municipio, por eso se empez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fortalecer la capacitaci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as como 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nsito, deporte, cultura y salud para hacer mesas interinstitucionales, fortaleciendo las actividades diferenciales para nuestra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personas mayores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   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estuvieron presentes personas mayores representantes del Centro Vida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Bienestar Social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quienes se mostraron agradecidos por ser tenidos en cuenta en este proceso que reivindica desde la institucionalidad el proceso de envejecimiento y vejez 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Pasto. 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Centro Vida ha sido una experiencia muy enriquecedora, porque he aprendido mucho de mis coordinadores y de los administrativos. All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tenemos las herramientas necesarias para realizar muestra labores en danzas,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y en la huerta. Es una experiencia agradable y enriquecedora"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adulta mayor, Ana Rosa Zamora.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