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22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la reubicaci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definitiva de vendedores informales, la 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a de Pasto tomar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control absoluto del espacio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blico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reuni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vendedores informales,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su equipo de Gobierno y la Polic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Nacional,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establecieron compromisos inmediatos para la recuperaci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blico en el centro de Pasto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junto a la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reconversi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laboral de diferentes comerciantes que hoy se encuentran invadiendo las calles de la ciudad.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Durante el encuentro,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Toro enfatiz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que no se permitir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 invasi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espacio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blico en el centro de la ciudad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que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en caso de presentarse desorden se intervendr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 la autoridad correspondiente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Por otra parte, el mandatario record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hay diferentes alternativas laborales para que los comerciantes salgan de la informalidad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mejoren su calidad de vida a la vez que se liberar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blico en Pasto. 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Esta semana comenzamos con la primera fase de reubicaci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algunos vendedores informales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se acoger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los procesos presentados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de Pasto. En caso de desorden actuaremos con autoridad.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Recordemos que avanzamos en la construcci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 los centros de ventas, tenemos 60 ubicaciones dentro de las plazas de mercado y ofertas laborales dentro de la Administraci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Municipal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oz.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director administrativo de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Carlos Salamanca, reiter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continuar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los operativos de control en el espacio 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blico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 el caso de vendedores que no cumplan con las disposiciones dictadas por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el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digo Nacional de Convivencia y Seguridad Ciudadana. 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"Continuaremos con la reubicaci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vendedores informales y posteriormente se determinar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les son los comerciantes que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regresar a sus locales anteriormente designados y quienes son los que ya recibieron beneficios y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regresaron a las calles, para ellos se les aplicar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toda la norma y ley del caso",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director Carlos Salamanca.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7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