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22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reubicaci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definitiva de vendedores informales,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a de Pasto tomar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control absoluto del espacio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blico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vendedores informales,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su equipo de Gobierno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Nacional,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establecieron compromisos inmediatos para la recuperaci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blico en el centro de Pasto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junto a la reubicaci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reconversi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laboral de diferentes comerciantes que hoy se encuentran invadiendo las calles de la ciudad.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Durante el encuentro,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Toro enfatiz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que no se permitir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invasi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blico en el centro de la ciudad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que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caso de presentarse desorden se intervendr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la autoridad correspondiente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Por otra parte, el mandatario record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hay diferentes alternativas laborales para que los comerciantes salgan de la informalidad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mejoren su calidad de vida a la vez que se liberar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blico en Pasto.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Esta semana comenzamos con la primera fase de reubicaci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algunos vendedores informales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se acoger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los procesos presentados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Pasto. En caso de desorden actuaremos con autoridad.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Recordemos que avanzamos en la construcci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los centros de ventas, tenemos 60 ubicaciones dentro de las plazas de mercado y ofertas laborales dentro de la Administraci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Municipal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oz.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administrativo de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blico, Carlos Salamanca,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continuar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los operativos de control en el espacio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el caso de vendedores que no cumplan con las disposiciones dictadas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el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digo Nacional de Convivencia y Seguridad Ciudadana.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"Continuaremos con la reubicaci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vendedores informales y posteriormente se determinar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les son los comerciantes que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regresar a sus locales anteriormente designados y quienes son los que ya recibieron beneficios y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regresaron a las calles, para ellos se les aplicar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toda la norma y ley del caso",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director Carlos Salamanca.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