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15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Salud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sell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7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establecimientos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comerciales en Pasto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por incumplir normas de salubridad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minimizar los riesgos de la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desarrollaron operativos de control a establecimientos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 como bares, gastrobares, discotecas y lugares de expendio de alimentos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verificar las condiciones sanitarias y de salubridad en estos sitios, en total se realizaron 147 visitas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 los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ltimos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Mary Luz Castillo Rosero,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como resultado de esta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por parte del Grupo de Salubridad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visitaron 97 establecimientos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los cuales 72 fueron requeridos con observaciones para mejora, 17 obtuvieron concepto favorable y 7 fueron clausurados temporalmente por incumplimiento de la normatividad relacionada con la salubridad.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forma, se realizaron 51 intervenciones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preventiva con las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as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Bebida en Justa Medida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y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Espacios libres de humo de cigarrillo y de vapeadores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objetivo es que comunidad y propietarios de establecimientos conozcan y acaten las leyes 1335 de 2009 (Ley Antitabaco) y la Ley 2354 de 2024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proh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ben fumar y vapear en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reas cerradas y establecimientos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blicos. La prohibici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extiende a los vapeadores y cigarrillos electr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nicos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proteger a los no fumadores de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a estas sustancias.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se 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operativos de control y vigilancia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proteger la salud de las personas y fomentar la creaci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entornos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saludables.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Finalmente las autoridades extendieron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llamado a las personas para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atentos a las condiciones de higiene,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manipulaci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alimentos y bebidas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establecimientos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recomendaciones que buscan prevenir riesgos para la salud.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