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234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Ante el gremio transportador de Pasto y Nari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>o, la 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y Transporte socializ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el proceso de instalaci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la primera C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pt-PT"/>
        </w:rPr>
        <w:t>mara Salva Vidas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socializ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ante el gremio transportador todo el proceso relacionado a la instalaci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primera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 Salva Vidas en inmediaciones al estadio Libertad. En el encuentro estuvieron presentes funcionarios del Terminal de Transportes de Pasto e Ipiales, representantes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Nacional y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de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Colombiana de Camioneros seccional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reuni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funcionamiento de la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 Salva Vidas y las infracciones que detectar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. Todo esto con el fin de garantizar la seguridad y bienestar de los actores viales que transitan por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Panamericana.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las autoridades recalcaron que este es un proceso que se ha adelantado con la Agencia Nacional de Seguridad Vial para modernizar a Pasto en movilidad y prevenir siniestros viales.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haciendo toda 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de socializaci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esta medida tanto en calle como en reuniones con diferentes gremios. Queremos que todos sepan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mo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proceso y puedan aclarar sus dudas respecto a las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maras Salvavidas. Invitamos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respetar las normas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nsito, tener sus papeles al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evitar maniobras peligrosas en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para no ser sancionados", dijo la subsecretaria de Movilidad, Daniela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Por su parte, el presidente de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Colombiana de Camioneros, seccional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o, Andr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Charfuel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tipo de medidas son necesarias debido a la falta de cultura de algunos conductores en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de Pasto. De igual manera, el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der transportador invit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toda la comunidad a tener sus documentos en reglas y respetar las normas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para evitar mayores sanciones.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