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11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286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 w:hint="default"/>
          <w:b w:val="1"/>
          <w:bCs w:val="1"/>
          <w:rtl w:val="0"/>
          <w:lang w:val="es-ES_tradnl"/>
        </w:rPr>
        <w:t>¡</w:t>
      </w:r>
      <w:r>
        <w:rPr>
          <w:rFonts w:ascii="Century Gothic" w:hAnsi="Century Gothic"/>
          <w:b w:val="1"/>
          <w:bCs w:val="1"/>
          <w:rtl w:val="0"/>
          <w:lang w:val="es-ES_tradnl"/>
        </w:rPr>
        <w:t>Pasto si cumpli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! 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Hacienda entreg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un balance positivo en el recaudo del Impuesto Predial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Hacienda,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a corte de julio de 2025 se report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balance positivo en el pago del Impuesto Predial con un recaudo superior a los $60 mil millones equivalente al 84.1% del recaudo presupuestado para esta vigencia. Respecto al mes de julio de 2024, se present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un incremento en todos los 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ndices de recaudo de la vigencia, el valor de cartera y el valor de intereses moratorios.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"El Impuesto Predial se constituye en uno de los principales componentes de los ingresos tributarios de Pasto. Buena parte de estos recursos son destinados a contribuir al convenio con Bomberos, con el 6% se financia el mejoramiento de viviendas de estrato 1 y 2 con Invipasto, el 15% se transfiere a Corponari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para atender temas ambientales. Estos recursos aportan directamente a obras e instituciones que contribuyen al desarrollo de Pasto",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de Ingresos, Javier Rosero.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otra parte, el funcionario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los ingresos tributarios de la vigencia 2024-2025 tuvieron un incremento global del 2% con el aumento en recaudo en Impuesto Predial; por su parte el impuesto de Industria y Comercio super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al 8% respecto al 2024. El resto de rentas, 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n el subsecretario, tiene un comportamiento normal, pero positivo para las finanzas del municipio.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"Invitamos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que cumpla con sus obligaciones tributarias para poder financiar el desarrollo del municipio. A las personas que tienen la cartera pendiente con el Impuesto Predial los invitamos a que se acerquen a realizar acuerdos de pago sin intermediarios",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Javier Rosero.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