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15 de agosto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293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Alcalde Nicol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>s Toro recibi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>el Premio Transformadores de la Regi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en la categor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a 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‘</w:t>
      </w:r>
      <w:r>
        <w:rPr>
          <w:rFonts w:ascii="Century Gothic" w:hAnsi="Century Gothic"/>
          <w:b w:val="1"/>
          <w:bCs w:val="1"/>
          <w:rtl w:val="0"/>
          <w:lang w:val="es-ES_tradnl"/>
        </w:rPr>
        <w:t>Liderazgo Administrativo Municipal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’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En el marco del Festival Petronio 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lvarez que se realiz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en Cali, el alcalde de Pasto,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oz, fue premiado en la categor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Liderazgo Administrativo Municipal de los Premios Transformadores de la Regi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n. Este reconocimiento se dio gracias al apoyo institucional a la diversidad 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tnica que se promueve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del Carnaval de Negros y Blancos que se realiza en la capital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ense.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"El alcalde es reconocido por su liderazgo y gesti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en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Pasto. El premio se dio por su respaldo a las negritudes y a los afrocolombianos. Este reconocimiento es para Pasto por su inclusi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en las diferentes festividades",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subsecretario de Formaci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y Promoci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Cultura, Jaime Bernal.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