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26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344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Pasto avanza en salud p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blica y destac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sus logros en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la </w:t>
      </w:r>
      <w:r>
        <w:rPr>
          <w:rStyle w:val="Ninguno"/>
          <w:rFonts w:ascii="Century Gothic" w:hAnsi="Century Gothic"/>
          <w:b w:val="1"/>
          <w:bCs w:val="1"/>
          <w:rtl w:val="0"/>
        </w:rPr>
        <w:t>rendici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 cuentas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de la Secretar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Salud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Salud de Pasto present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los resultados de su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en la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reciente rendici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cuentas, donde se destacaron avances en diferentes frentes de la salud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 que hoy consolidan al municipio como referente regional.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Entre los logros m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 importantes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de esta dependencia</w:t>
      </w:r>
      <w:r>
        <w:rPr>
          <w:rStyle w:val="Ninguno"/>
          <w:rFonts w:ascii="Century Gothic" w:hAnsi="Century Gothic"/>
          <w:b w:val="1"/>
          <w:bCs w:val="1"/>
          <w:rtl w:val="0"/>
        </w:rPr>
        <w:t xml:space="preserve"> se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destacan</w:t>
      </w:r>
      <w:r>
        <w:rPr>
          <w:rStyle w:val="Ninguno"/>
          <w:rFonts w:ascii="Century Gothic" w:hAnsi="Century Gothic"/>
          <w:b w:val="1"/>
          <w:bCs w:val="1"/>
          <w:rtl w:val="0"/>
        </w:rPr>
        <w:t xml:space="preserve">: </w:t>
      </w:r>
      <w:r>
        <w:rPr>
          <w:rFonts w:ascii="Century Gothic" w:cs="Century Gothic" w:hAnsi="Century Gothic" w:eastAsia="Century Gothic"/>
        </w:rPr>
        <w:br w:type="textWrapping"/>
      </w:r>
      <w:r>
        <w:rPr>
          <w:rFonts w:ascii="Century Gothic" w:hAnsi="Century Gothic"/>
          <w:rtl w:val="0"/>
          <w:lang w:val="pt-PT"/>
        </w:rPr>
        <w:t>- Cero mortalidades por desnutrici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cero por Enfermedades Diarreicas Agudas e Infecciones Respiratorias Agudas.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 xml:space="preserve">- </w:t>
      </w:r>
      <w:r>
        <w:rPr>
          <w:rFonts w:ascii="Century Gothic" w:hAnsi="Century Gothic"/>
          <w:rtl w:val="0"/>
          <w:lang w:val="it-IT"/>
        </w:rPr>
        <w:t>Reducci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11% en bajo peso al nacer gracias al programa Bien Nacer, que ha beneficiado a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de 1.286 madres, entregando 2.376 paquetes con una inversi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447 millones de pesos. </w:t>
      </w:r>
      <w:r>
        <w:rPr>
          <w:rFonts w:ascii="Century Gothic" w:cs="Century Gothic" w:hAnsi="Century Gothic" w:eastAsia="Century Gothic"/>
        </w:rPr>
        <w:br w:type="textWrapping"/>
      </w:r>
      <w:r>
        <w:rPr>
          <w:rFonts w:ascii="Century Gothic" w:hAnsi="Century Gothic"/>
          <w:rtl w:val="0"/>
        </w:rPr>
        <w:t>- Implementaci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red ACV mediante la estrategia CORRE+, para la prevenci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temprana del ataque cerebrovascular. </w:t>
      </w:r>
      <w:r>
        <w:rPr>
          <w:rFonts w:ascii="Century Gothic" w:cs="Century Gothic" w:hAnsi="Century Gothic" w:eastAsia="Century Gothic"/>
        </w:rPr>
        <w:br w:type="textWrapping"/>
      </w:r>
      <w:r>
        <w:rPr>
          <w:rFonts w:ascii="Century Gothic" w:hAnsi="Century Gothic"/>
          <w:rtl w:val="0"/>
          <w:lang w:val="es-ES_tradnl"/>
        </w:rPr>
        <w:t>- Mejoramiento tecnol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gico en los sistemas de informaci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Municipal de Salud, garantizando mayor eficiencia en la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y el acceso a los servicios. </w:t>
      </w:r>
      <w:r>
        <w:rPr>
          <w:rFonts w:ascii="Century Gothic" w:cs="Century Gothic" w:hAnsi="Century Gothic" w:eastAsia="Century Gothic"/>
        </w:rPr>
        <w:br w:type="textWrapping"/>
      </w:r>
      <w:r>
        <w:rPr>
          <w:rFonts w:ascii="Century Gothic" w:hAnsi="Century Gothic"/>
          <w:rtl w:val="0"/>
          <w:lang w:val="es-ES_tradnl"/>
        </w:rPr>
        <w:t>- Cobertura de aseguramiento del 94,34% de la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n, fortaleciendo el derecho al acceso a la salud. </w:t>
      </w:r>
      <w:r>
        <w:rPr>
          <w:rFonts w:ascii="Century Gothic" w:cs="Century Gothic" w:hAnsi="Century Gothic" w:eastAsia="Century Gothic"/>
        </w:rPr>
        <w:br w:type="textWrapping"/>
      </w:r>
      <w:r>
        <w:rPr>
          <w:rFonts w:ascii="Century Gothic" w:hAnsi="Century Gothic"/>
          <w:rtl w:val="0"/>
          <w:lang w:val="en-US"/>
        </w:rPr>
        <w:t>- Creaci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ruta de detecci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del 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fr-FR"/>
        </w:rPr>
        <w:t>ncer g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strico, ampliando la capacidad de respuesta en la prevenci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y tratamiento de esta enfermedad. </w:t>
      </w:r>
      <w:r>
        <w:rPr>
          <w:rFonts w:ascii="Century Gothic" w:cs="Century Gothic" w:hAnsi="Century Gothic" w:eastAsia="Century Gothic"/>
        </w:rPr>
        <w:br w:type="textWrapping"/>
      </w:r>
      <w:r>
        <w:rPr>
          <w:rFonts w:ascii="Century Gothic" w:hAnsi="Century Gothic"/>
          <w:rtl w:val="0"/>
        </w:rPr>
        <w:t>-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s de 15 cirug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reconstructivas de labio y paladar hendido realizadas a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y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as que esperaban desde hace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os este procedimiento. </w:t>
      </w:r>
      <w:r>
        <w:rPr>
          <w:rFonts w:ascii="Century Gothic" w:cs="Century Gothic" w:hAnsi="Century Gothic" w:eastAsia="Century Gothic"/>
        </w:rPr>
        <w:br w:type="textWrapping"/>
        <w:br w:type="textWrapping"/>
      </w:r>
      <w:r>
        <w:rPr>
          <w:rFonts w:ascii="Century Gothic" w:hAnsi="Century Gothic"/>
          <w:rtl w:val="0"/>
          <w:lang w:val="es-ES_tradnl"/>
        </w:rPr>
        <w:t>La secretaria de Salud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n-US"/>
        </w:rPr>
        <w:t>Mary Luz Castillo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pt-PT"/>
        </w:rPr>
        <w:t xml:space="preserve">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estos resultados son posibles gracias al trabajo conjunto con instituciones de salud, EPS, fundaciones, Polic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Nacional, instituciones educativas y comunidad. </w:t>
      </w:r>
      <w:r>
        <w:rPr>
          <w:rFonts w:ascii="Century Gothic" w:cs="Century Gothic" w:hAnsi="Century Gothic" w:eastAsia="Century Gothic"/>
        </w:rPr>
        <w:br w:type="textWrapping"/>
        <w:br w:type="textWrapping"/>
      </w:r>
      <w:r>
        <w:rPr>
          <w:rFonts w:ascii="Century Gothic" w:hAnsi="Century Gothic"/>
          <w:rtl w:val="0"/>
          <w:lang w:val="es-ES_tradnl"/>
        </w:rPr>
        <w:t>"Desde Pasto seguimos demostrando que la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institucional y comunitaria permite transformar la salud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blica. Nuestro compromiso es mantener los indicadores positivos alcanzados, asumir con decisi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el reto de la salud mental y continuar implementando estrategias innovadoras para garantizar el derecho a la salud y el bienestar de todas y todos", concluy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 la funcionaria.</w:t>
      </w: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