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 xml:space="preserve">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Con la firma del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Pacto por Nari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Fonts w:ascii="Century Gothic" w:hAnsi="Century Gothic"/>
          <w:b w:val="1"/>
          <w:bCs w:val="1"/>
          <w:rtl w:val="0"/>
          <w:lang w:val="es-ES_tradnl"/>
        </w:rPr>
        <w:t>o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’ </w:t>
      </w:r>
      <w:r>
        <w:rPr>
          <w:rFonts w:ascii="Century Gothic" w:hAnsi="Century Gothic"/>
          <w:b w:val="1"/>
          <w:bCs w:val="1"/>
          <w:rtl w:val="0"/>
          <w:lang w:val="es-ES_tradnl"/>
        </w:rPr>
        <w:t>se asegurar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 $325 mil millones para la construcci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de la doble calzada Catambuco - Pasto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Previo a la visita del presidente Gustavo Petro al municipio de Tumaco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lunes 6 de octubre,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hay gran expectativa en la firma del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Pacto por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ya que el Gobierno Nacional entregar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$325 mil millones para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doble calzada Catambuco - Pasto la cual se encuentra en sus estudios y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correspondientes.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nosotros es importante que dentro de este pacto ya figuran los recursos para la doble calzada Catambuco - Pasto. Llevamos un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promoviendo esta obra y nos parece importante que se defina la ejecuci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esta obra tan trascendental para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Colombia",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mandatario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Adicionalmente, el burgomaestre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a finales de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entregar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correspondientes de esta obra por parte del concesionario con lo cual el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iniciar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ejecuci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este proyecto.</w:t>
        <w:br w:type="textWrapping"/>
      </w:r>
      <w:r>
        <w:rPr>
          <w:rFonts w:ascii="Century Gothic" w:cs="Century Gothic" w:hAnsi="Century Gothic" w:eastAsia="Century Gothic"/>
        </w:rPr>
        <w:br w:type="page"/>
      </w: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1363048</wp:posOffset>
            </wp:positionH>
            <wp:positionV relativeFrom="page">
              <wp:posOffset>2467597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