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left="-284"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ind w:left="-284" w:firstLine="0"/>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Fecha: Miércoles 23 de Marzo de 2016</w:t>
      </w:r>
    </w:p>
    <w:p w:rsidR="00000000" w:rsidDel="00000000" w:rsidP="00000000" w:rsidRDefault="00000000" w:rsidRPr="00000000">
      <w:pPr>
        <w:spacing w:after="0" w:before="0" w:line="240" w:lineRule="auto"/>
        <w:ind w:left="-284" w:firstLine="0"/>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Boletín de prensa Nº 62</w:t>
      </w:r>
    </w:p>
    <w:p w:rsidR="00000000" w:rsidDel="00000000" w:rsidP="00000000" w:rsidRDefault="00000000" w:rsidRPr="00000000">
      <w:pPr>
        <w:spacing w:after="0" w:before="0" w:line="24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color w:val="343434"/>
          <w:highlight w:val="white"/>
          <w:rtl w:val="0"/>
        </w:rPr>
        <w:t xml:space="preserve">MÚSICA DE CÁMARA SE TOMA LOS DIFERENTES TEMPLOS DE LA CIUDAD</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343434"/>
          <w:highlight w:val="white"/>
          <w:rtl w:val="0"/>
        </w:rPr>
        <w:t xml:space="preserve">En el marco del proyecto “Segundo Encuentro Coral Semana Canta 2016”, y a través de la gestión realizada por la Fundación Antropomorfa, apoyados por la Gobernación de Nariño y la Alcaldía de Pasto, la música de cámara se toma los diferentes templos de la ciudad.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343434"/>
          <w:highlight w:val="white"/>
          <w:rtl w:val="0"/>
        </w:rPr>
        <w:t xml:space="preserve">El grupo Ensamble Musical 5 de la ciudad de Cali, fueron los encargados de dar inicio a esta serie de conciertos que tiene como principal objetivo, descentralizar los espectáculos culturales, ampliar nuevas formas de sentir la música y generar un intercambio entre músicos locales y extranjeros.</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343434"/>
          <w:highlight w:val="white"/>
          <w:rtl w:val="0"/>
        </w:rPr>
        <w:t xml:space="preserve">Eliana Guerrero Ordóñez, representante de la Fundación Antropomorfa, invitó a la comunidad a apoyar el arte en esta Semana Santa. “Esta es una manera de elevar nuestro espíritu, un lenguaje diferente que hace que nuestra ciudad crezca culturalmente”, afirmó la artista. A su vez Alexis Ramírez, participante del evento, aseguró que es interesante que la Alcaldía de Pasto siga promoviendo los eventos para que los adultos, jóvenes y niños puedan tener acceso a este tipo de cultura.</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343434"/>
          <w:highlight w:val="white"/>
          <w:rtl w:val="0"/>
        </w:rPr>
        <w:t xml:space="preserve">La Secretaría de Cultura de Pasto invita a la comunidad a participar de este programa que cuenta con artistas invitados de Cuba, Canadá y Ecuador además de artistas de todo el país. Para más información puede consultar la página de la Administración Municipal</w:t>
      </w:r>
      <w:hyperlink r:id="rId5">
        <w:r w:rsidDel="00000000" w:rsidR="00000000" w:rsidRPr="00000000">
          <w:rPr>
            <w:rFonts w:ascii="Times New Roman" w:cs="Times New Roman" w:eastAsia="Times New Roman" w:hAnsi="Times New Roman"/>
            <w:color w:val="0950c4"/>
            <w:highlight w:val="white"/>
            <w:u w:val="single"/>
            <w:rtl w:val="0"/>
          </w:rPr>
          <w:t xml:space="preserve">www.pasto.gov.co</w:t>
        </w:r>
      </w:hyperlink>
      <w:r w:rsidDel="00000000" w:rsidR="00000000" w:rsidRPr="00000000">
        <w:rPr>
          <w:rFonts w:ascii="Times New Roman" w:cs="Times New Roman" w:eastAsia="Times New Roman" w:hAnsi="Times New Roman"/>
          <w:color w:val="343434"/>
          <w:highlight w:val="white"/>
          <w:rtl w:val="0"/>
        </w:rPr>
        <w:t xml:space="preserve">  y en redes sociales Facebook y Twitter.</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EN CENTRO EDUCATIVO DEL SECTOR RURAL REALIZAN SIMULACRO DE EVACUACIÓN POR SISMO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Con el propósito de evaluar los planes escolares de emergencia de la instituciones educativas municipales, la Alcaldía de Pasto a través de la Dirección para la Gestión del Riesgo de Desastres –DGRD- acompañaron en el sector rural, la realización de un ejercicio de simulacro de evacuación por sismo desarrollada en las cuatro sedes del Centro Educativo Los Ángeles del corregimiento de Santa Bárbara uno de los centros poblados que se encuentran más distantes de la capital de Nariño.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Al concluir este simulacro Yeimi Natalia Calpa estudiante de séptimo grado, expresó que con el simulacro los estudiantes estarán preparados para cuando ocurra un terremoto. Así mismo Eiver Alexander Torres, de séptimo grado, manifestó la importancia de buscar el triangulo de la vida para protegerse después de un sismo fenómeno natural de esta magnitud. “Después de que pasa el sismo hay que salir en calma y con precaución, y sobre todo no correr para luego reunirse  y ver quien falta para informar a los adultos para que puedan buscarlo”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Milton Benavidez, director del Centro Educativo Municipal Los Ángeles desde hace 7 años, manifestó su agradecimiento al DGRD, Cuerpo de Bomberos Voluntarios, Defensa Civil y todos lo que participaron en las 7 jornadas de capacitación. “Reconocemos como docentes y directivos que estamos en la obligación de proteger a nuestros estudiantes e igualmente las comunidades, ya que en el sector rural los docentes unimos mucho a toda población, es importante que los padres de familia también participen de estos ejercicios complementarios”.</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Ricardo Méndez, coordinador Operativo del DGRD, explicó que desde meses atrás con distintas jornadas, se viene preparando y capacitando a los estudiantes y profesores, dando como resultado la conformación e implementación del plan escolar en gestión del riesgo con sus respectivas brigadas de emergencia. “La Jornada de hoy nos muestra un balance positivo y felicitamos a los niños porque han acatado las instrucciones de los pasos a seguir en un suceso de emergencia que para este caso es un una evacuación por sismo”.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En este simulacro de evacuación por sismo participaron cerca de 200 estudiantes de los grados  preescolar, primaria y bachillerato que pertenecen a  las sedes del centro educativo Los Ángeles, La Esperanza, Las Iglesias y Santa Bárbara Alto, adicionalmente también practicaron este ejercicio, otras 20 personas que pertenecen al  cuerpo docente y administrativo de este centro educativo.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Esta institución cuenta con una dotación de botiquines, camillas, extintores, chalecos y señalización para la atención de emergencias a instituciones educativas del municipio que cumplieron con su proceso de conformación de brigadas y elaboración de sus planes escolares de gestión del riesgo, cumpliendo con los simulacros sectoriales que hace el DGRD este año, dando continuidad a la capacitación que se hizo en el 2015 en la que participaron 2.730 estudiantes y 165 docentes.</w:t>
      </w:r>
    </w:p>
    <w:p w:rsidR="00000000" w:rsidDel="00000000" w:rsidP="00000000" w:rsidRDefault="00000000" w:rsidRPr="00000000">
      <w:pPr>
        <w:spacing w:after="0" w:lineRule="auto"/>
        <w:ind w:left="720"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ALCALDÍA INVITA A LA COMUNIDAD A PARTICIPAR DE LA EXPOSICIÓN DE ARTESANÍAS RELIGIOSAS DE PASTO Y NARIÑO EN LA PINACOTECA DEPARTAMENTAL</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Continuando con la programación en esta Semana Santa, se realizó la apertura de la Exposición de Artesanías Religiosas de Pasto y Nariño. El evento se llevó a cabo en la Pinacoteca Departamental, donde expositores y artistas presentan sus obras además de las interpretaciones musicales a cargo del grupo Evocal Ensamble de la Fundación Vocal Arte y la interpretación en concierto de Guitarra Clásica del solista Michael Burbano Narváez.</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En la jornada los asistentes admiraron las obras y artesanías fabricadas a mano, entre las que se encuentran: collares, manillas, aretes, obras elaboradas en madera de arte religioso, e inspiración en la naturaleza, además de varios accesorios para mujer, realizados en piedras semipreciosas, piezas en cristales, en bronce bañadas en oro, perlas, tendencias de moda clásicas y tradicionales. Todos son diseños exclusivos.</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Elizabeth Erazo, artesana que presentó bajillas, frutas, ensaladeras y fruteros tallados en madera, agradeció a la Administración Municipal estos espacios donde puede presentar sus obras. “Invito a toda la ciudadanía de Pasto para que visite la exposición artística, admiren y aprecien los productos que se exhiben, para que las adquieran a precios moderados”. La exposición se mantendrá durante la Semana Santa en la Pinacoteca Departamental en la calle 19 con carrera 26.</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Igualmente el solista Michael Burbano Narváez, quien presentó un concierto con Guitarra Clásica, señaló que estos encuentros son necesarios para la comunidad pastusa. “Sabemos que en toda Colombia son pocos los eventos de este tipo. Por eso nos parece importante que se promuevan escenarios como este”.</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La artista Juliana Martínez, explicó que se deben promover más ferias y exposiciones donde la gente asista y apoye a los artesanos. “Creo que como productores debemos apoyarnos los unos a otros para que estos actos se multipliquen y podamos salir adelante. A la Alcaldía agradecerle la posibilidad de presentar nuestras obras y a la gente les digo que asistan a estas ferias y compren nuestras obras de arte”.</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En esta exposición se puede apreciar, entre otras, una colección inspirada en Frida Kahlo, pintora y fotógrafa mexicana, que realizó espléndidos retratos de niños y obras inspiradas en la iconografía mexicana. “Estas obras son elaboradas en telar manual, pedrería sintética y chaquiras. Son piezas únicas y exclusivas para mujeres”, señaló. Paola Jimena Cupacal, Diseñadora Industrial y Tecnóloga en Producción de Joyas.</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PROGRAMACIÓN DE CONCIERTOS DE LA RED DE ESCUELAS DE FORMACIÓN MUSICAL</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La Alcaldía de Pasto a través de la Secretaría de Educación y la Red de Escuelas de Formación Musical, invita a la ciudadanía a asistir a los diferentes eventos musicales programados en el marco de la Semana Santa que se cumplirán hasta el jueves 24 de marzo.</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color w:val="222222"/>
          <w:highlight w:val="white"/>
          <w:rtl w:val="0"/>
        </w:rPr>
        <w:t xml:space="preserve">Miércoles 23 de marzo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Banda Sinfónica Infantil</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Lugar: Centro Comercial Éxito Panamericana/Hora: 4:00 p.m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Orquesta Sinfónica Juvenil</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Lugar: Iglesia Cristo Rey/Hora 6:30 p.m</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color w:val="222222"/>
          <w:highlight w:val="white"/>
          <w:rtl w:val="0"/>
        </w:rPr>
        <w:t xml:space="preserve">Jueves 24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Preorquesta integrada REFM</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color w:val="222222"/>
          <w:highlight w:val="white"/>
          <w:rtl w:val="0"/>
        </w:rPr>
        <w:t xml:space="preserve">Lugar: Municipios de San Pedro de Cartago y La Unión- Nariño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PROGRAMACIÓN DE CONCIERTOS ORGANIZADOS POR LA SECRETARÍA DE CULTURA PARA SEMANA SANTA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La Alcaldía de Pasto a través de la Secretaría de Cultura invita a la ciudadanía a asistir a los diferentes eventos musicales programados en el marco de la Semana Santa que se cumplirán hasta el domingo 27 de marzo.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Miércoles 23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6:30 pm Catedral – Ipiales</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UnicaucaBrass (Popayán)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7:00 pm Iglesia Santo Sepulcro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Concierto Cantata Misa Andina Grupo Mestizaje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7:00 pm Noche de Gala Semana Canta 2016</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Estreno misa VI Composición y Dirección Maestra Beatriz Corona –Cuba. Orquesta Sinfónica, ensamble de coros infantiles, juveniles y coros invitados.</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Lugar: Teatro Imperial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7:00 pm Banco de la República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Solista: Braunwin Sheldrick (Canadá)</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Piano: Andrés Gómez Bravo </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Jueves 24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5:00 pm Iglesia de Santiago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UnicaucaBrass (Popayán)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5:00 pm Concierto Banda Guadalupana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Lugar: Templo Basílica de Nuestra Señora de Guadalupe</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Vigilias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10:00 pm Catedral de Pasto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Coro: Vocal Medinaceli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10:00 Iglesia La Merced</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Coro: Vocal Arte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10:30 Iglesia San Agustín</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Coro: Coro Puce Quito - Ecuador</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Viernes 25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11:30 am laguna de La Cocha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Coro: Grupo Vocal Medinaceli Bogotá y Coro Puce Quito y Alli Kanto Ibarra Ecuador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1:00 pm Concierto Banda Guadalupana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Lugar: Templo Basílica de Nuestra Señora de Guadalupe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6:00 Pinacoteca Departamental</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Grupo: Macizo dúo de Percusión (Popayán)</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Sábado 26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6:00 pm Iglesia San Andrés</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Coros Fundación Vocal Arte: Eco Mixto, Ecovocal y Vocal Arte Ensamble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7:30 pm Iglesia Nuestra Señora de Paz – Barrio Granada</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Grupo: Bronsur</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b w:val="1"/>
          <w:color w:val="222222"/>
          <w:highlight w:val="white"/>
          <w:rtl w:val="0"/>
        </w:rPr>
        <w:t xml:space="preserve">Domingo 27 de marzo</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1:00 pm Plaza de Nariño</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Ensamble de Bandas y grupo de Danzas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6:00 pm Iglesia de la Resurrección</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Grupo: Apalau</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Información: Secretario de Cultura, José Aguirre Oliva. Celular: </w:t>
      </w:r>
      <w:r w:rsidDel="00000000" w:rsidR="00000000" w:rsidRPr="00000000">
        <w:rPr>
          <w:rFonts w:ascii="Times New Roman" w:cs="Times New Roman" w:eastAsia="Times New Roman" w:hAnsi="Times New Roman"/>
          <w:color w:val="1155cc"/>
          <w:highlight w:val="white"/>
          <w:rtl w:val="0"/>
        </w:rPr>
        <w:t xml:space="preserve">3012525802</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Times New Roman" w:cs="Times New Roman" w:eastAsia="Times New Roman" w:hAnsi="Times New Roman"/>
          <w:b w:val="1"/>
          <w:color w:val="222222"/>
          <w:highlight w:val="white"/>
          <w:rtl w:val="0"/>
        </w:rPr>
        <w:t xml:space="preserve">HABITANTES DE PASTO Y TURISTAS CONOCEN HISTORIA DE TEMPLOS DE LA CIUDAD EN ‘MONUMENTAL RECORRIDO A PASTO’</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Más de 30 personas entre propios y turistas participaron del ‘Monumental Recorrido a Pasto’, donde se visitó los templos de  la Merced, Cristo Rey, San Juan Bautista, San Felipe Neri, Anganoy y Jesús Nazareno de Obonuco. En la jornada se relató la historia de cada santuario, su arquitectura y las particularidades de las reliquias que se encuentran en cada uno de ellos, reconociendo que la capital de Nariño es catalogada como Ciudad Teológica de Colombia.  La iniciativa es liderada por la Secretaría de Desarrollo Económico y Competitividad a través de la Subsecretaría de Turismo con el apoyo de la Policía de Turismo de Pasto, Comfamiliar y Fontur.</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Durante el ‘Monumental Recorrido a Pasto’, datos históricos como que el Templo de San Juan Bautista guarde los restos de Agustín Agualongo, líder pastuso y militar durante la guerra de Independencia de la Nueva Granada, llamó la atención de los participantes. Ana María Ospina, quien viene desde la ciudad de Bogotá y quien siguió atentamente cada una de las ilustraciones presentadas por un guía turístico, manifestó: “Es muy interesante esta actividad, porque estoy muy interesada en conocer las catedrales y las iglesias y es una posibilidad para conocer más de la ciudad. Me llamó mucho la atención que los templos en su arquitectura tienen características de muchas culturas  y mi invitación es para que más colombianos visiten Pasto, porque es una ciudad que tiene mucho por conocer  y su gente es muy amable”, puntualizó.</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Alejandra Córdoba, habitante de Pasto, aseguró que la jornada fue una oportunidad para reconocer el valor histórico que guardan los templos de la ciudad. “Muchas personas no le dan ese aprecio histórico, es importante que se generen estas actividades para que habitantes del Municipio, conozcan del porque están estos templos y que significan. En la jornada nos explicaban que dentro de los símbolos de estas iglesias hay una unión entre lo español e indígena y eso me llamó la atención”, subrayó.</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La Subsecretaria de Turismo, Elsa Portilla Arias, informó que este miércoles 23 de marzo se cumplirá con la segunda jornada del ‘Monumental Recorrido a Pasto’, donde se visitarán los templos de los corregimientos más cercanos. “Recordamos a todas las personas que se inscribieron, que el lugar de concentración es el Punto de Información Turística PIT ubicado en la Casa Don Lorenzo en la calle 19 Nº 25 – 01 esquina Plaza de Nariño a partir de las 3:30 de la tarde. Se garantiza transporte para la actividad”.  </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pPr>
        <w:spacing w:after="0" w:before="0" w:line="240" w:lineRule="auto"/>
        <w:ind w:left="-284" w:firstLine="0"/>
        <w:contextualSpacing w:val="0"/>
      </w:pPr>
      <w:r w:rsidDel="00000000" w:rsidR="00000000" w:rsidRPr="00000000">
        <w:rPr>
          <w:rFonts w:ascii="Times New Roman" w:cs="Times New Roman" w:eastAsia="Times New Roman" w:hAnsi="Times New Roman"/>
          <w:vertAlign w:val="baseline"/>
          <w:rtl w:val="0"/>
        </w:rPr>
        <w:t xml:space="preserve">Para más información consultar la página web </w:t>
      </w:r>
      <w:hyperlink r:id="rId6">
        <w:r w:rsidDel="00000000" w:rsidR="00000000" w:rsidRPr="00000000">
          <w:rPr>
            <w:rFonts w:ascii="Times New Roman" w:cs="Times New Roman" w:eastAsia="Times New Roman" w:hAnsi="Times New Roman"/>
            <w:color w:val="0000ff"/>
            <w:u w:val="single"/>
            <w:vertAlign w:val="baseline"/>
            <w:rtl w:val="0"/>
          </w:rPr>
          <w:t xml:space="preserve">www.pasto.gov.co</w:t>
        </w:r>
      </w:hyperlink>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pPr>
        <w:spacing w:after="0" w:before="0" w:line="240" w:lineRule="auto"/>
        <w:ind w:left="-284" w:firstLine="0"/>
        <w:contextualSpacing w:val="0"/>
      </w:pPr>
      <w:r w:rsidDel="00000000" w:rsidR="00000000" w:rsidRPr="00000000">
        <w:rPr>
          <w:rtl w:val="0"/>
        </w:rPr>
      </w:r>
    </w:p>
    <w:p w:rsidR="00000000" w:rsidDel="00000000" w:rsidP="00000000" w:rsidRDefault="00000000" w:rsidRPr="00000000">
      <w:pPr>
        <w:spacing w:after="0" w:before="0" w:line="24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Times New Roman" w:cs="Times New Roman" w:eastAsia="Times New Roman" w:hAnsi="Times New Roman"/>
          <w:b w:val="1"/>
          <w:vertAlign w:val="baseline"/>
          <w:rtl w:val="0"/>
        </w:rPr>
        <w:t xml:space="preserve">Oficina de Comunicación Social</w:t>
      </w:r>
    </w:p>
    <w:p w:rsidR="00000000" w:rsidDel="00000000" w:rsidP="00000000" w:rsidRDefault="00000000" w:rsidRPr="00000000">
      <w:pPr>
        <w:spacing w:after="0" w:lineRule="auto"/>
        <w:ind w:left="-284" w:firstLine="0"/>
        <w:contextualSpacing w:val="0"/>
        <w:jc w:val="center"/>
      </w:pPr>
      <w:r w:rsidDel="00000000" w:rsidR="00000000" w:rsidRPr="00000000">
        <w:rPr>
          <w:rFonts w:ascii="Times New Roman" w:cs="Times New Roman" w:eastAsia="Times New Roman" w:hAnsi="Times New Roman"/>
          <w:b w:val="1"/>
          <w:vertAlign w:val="baseline"/>
          <w:rtl w:val="0"/>
        </w:rPr>
        <w:t xml:space="preserve">Alcaldía de Pasto</w:t>
      </w:r>
    </w:p>
    <w:sectPr>
      <w:headerReference r:id="rId7" w:type="default"/>
      <w:footerReference r:id="rId8" w:type="default"/>
      <w:pgSz w:h="16838" w:w="11906"/>
      <w:pgMar w:bottom="1418" w:top="1418" w:left="1701"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Questrial">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Questrial" w:cs="Questrial" w:eastAsia="Questrial" w:hAnsi="Questrial"/>
        <w:b w:val="0"/>
        <w:sz w:val="16"/>
        <w:szCs w:val="16"/>
        <w:vertAlign w:val="baseline"/>
        <w:rtl w:val="0"/>
      </w:rPr>
      <w:t xml:space="preserve">Oficina de Comunicación Social – Tel: +57 (2) 7224591 – email: comunicaciones@pasto.gov.co</w:t>
    </w:r>
  </w:p>
  <w:p w:rsidR="00000000" w:rsidDel="00000000" w:rsidP="00000000" w:rsidRDefault="00000000" w:rsidRPr="00000000">
    <w:pPr>
      <w:spacing w:after="0" w:before="0" w:line="240" w:lineRule="auto"/>
      <w:contextualSpacing w:val="0"/>
      <w:jc w:val="center"/>
    </w:pPr>
    <w:r w:rsidDel="00000000" w:rsidR="00000000" w:rsidRPr="00000000">
      <w:rPr>
        <w:rFonts w:ascii="Questrial" w:cs="Questrial" w:eastAsia="Questrial" w:hAnsi="Questrial"/>
        <w:b w:val="0"/>
        <w:sz w:val="16"/>
        <w:szCs w:val="16"/>
        <w:vertAlign w:val="baseline"/>
        <w:rtl w:val="0"/>
      </w:rPr>
      <w:t xml:space="preserve">Código Postal Anganoy 520001</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709" w:before="0" w:line="240" w:lineRule="auto"/>
      <w:contextualSpacing w:val="0"/>
      <w:jc w:val="both"/>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331.0" w:type="dxa"/>
      <w:jc w:val="center"/>
      <w:tblInd w:w="-70.0" w:type="dxa"/>
      <w:tblLayout w:type="fixed"/>
      <w:tblLook w:val="0000"/>
    </w:tblPr>
    <w:tblGrid>
      <w:gridCol w:w="2151"/>
      <w:gridCol w:w="1826"/>
      <w:gridCol w:w="1819"/>
      <w:gridCol w:w="1817"/>
      <w:gridCol w:w="2718"/>
      <w:tblGridChange w:id="0">
        <w:tblGrid>
          <w:gridCol w:w="2151"/>
          <w:gridCol w:w="1826"/>
          <w:gridCol w:w="1819"/>
          <w:gridCol w:w="1817"/>
          <w:gridCol w:w="2718"/>
        </w:tblGrid>
      </w:tblGridChange>
    </w:tblGrid>
    <w:tr>
      <w:trPr>
        <w:trHeight w:val="560" w:hRule="atLeast"/>
      </w:trPr>
      <w:tc>
        <w:tcPr>
          <w:vMerge w:val="restart"/>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-2539</wp:posOffset>
                </wp:positionH>
                <wp:positionV relativeFrom="paragraph">
                  <wp:posOffset>0</wp:posOffset>
                </wp:positionV>
                <wp:extent cx="1266825" cy="1028065"/>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1266825" cy="1028065"/>
                        </a:xfrm>
                        <a:prstGeom prst="rect"/>
                        <a:ln/>
                      </pic:spPr>
                    </pic:pic>
                  </a:graphicData>
                </a:graphic>
              </wp:anchor>
            </w:drawing>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20"/>
              <w:szCs w:val="20"/>
              <w:vertAlign w:val="baseline"/>
              <w:rtl w:val="0"/>
            </w:rPr>
            <w:t xml:space="preserve">PROCESO INFORMACIÓN Y COMUNICACIÓN</w:t>
          </w:r>
          <w:r w:rsidDel="00000000" w:rsidR="00000000" w:rsidRPr="00000000">
            <w:rPr>
              <w:rtl w:val="0"/>
            </w:rPr>
          </w:r>
        </w:p>
      </w:tc>
    </w:tr>
    <w:tr>
      <w:trPr>
        <w:trHeight w:val="560" w:hRule="atLeast"/>
      </w:trPr>
      <w:tc>
        <w:tcPr>
          <w:vMerge w:val="continue"/>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709" w:lineRule="auto"/>
            <w:contextualSpacing w:val="0"/>
          </w:pPr>
          <w:r w:rsidDel="00000000" w:rsidR="00000000" w:rsidRPr="00000000">
            <w:rPr>
              <w:sz w:val="16"/>
              <w:szCs w:val="16"/>
              <w:vertAlign w:val="baseline"/>
              <w:rtl w:val="0"/>
            </w:rPr>
            <w:t xml:space="preserve">NOMBRE DEL FORMATO</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0"/>
              <w:szCs w:val="20"/>
              <w:vertAlign w:val="baseline"/>
              <w:rtl w:val="0"/>
            </w:rPr>
            <w:t xml:space="preserve">BOLETÍN DE PRENSA</w:t>
          </w:r>
          <w:r w:rsidDel="00000000" w:rsidR="00000000" w:rsidRPr="00000000">
            <w:rPr>
              <w:rtl w:val="0"/>
            </w:rPr>
          </w:r>
        </w:p>
      </w:tc>
    </w:tr>
    <w:tr>
      <w:trPr>
        <w:trHeight w:val="540" w:hRule="atLeast"/>
      </w:trPr>
      <w:tc>
        <w:tcPr>
          <w:vMerge w:val="continue"/>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lineRule="auto"/>
            <w:contextualSpacing w:val="0"/>
            <w:jc w:val="cente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lineRule="auto"/>
            <w:contextualSpacing w:val="0"/>
            <w:jc w:val="cente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lineRule="auto"/>
            <w:contextualSpacing w:val="0"/>
            <w:jc w:val="center"/>
          </w:pPr>
          <w:r w:rsidDel="00000000" w:rsidR="00000000" w:rsidRPr="00000000">
            <w:rPr>
              <w:rtl w:val="0"/>
            </w:rPr>
          </w:r>
        </w:p>
      </w:tc>
    </w:tr>
  </w:tbl>
  <w:p w:rsidR="00000000" w:rsidDel="00000000" w:rsidP="00000000" w:rsidRDefault="00000000" w:rsidRPr="00000000">
    <w:pPr>
      <w:spacing w:after="0" w:before="0" w:line="240" w:lineRule="auto"/>
      <w:contextualSpacing w:val="0"/>
      <w:jc w:val="both"/>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Questrial" w:cs="Questrial" w:eastAsia="Questrial" w:hAnsi="Questrial"/>
        <w:b w:val="0"/>
        <w:i w:val="0"/>
        <w:smallCaps w:val="0"/>
        <w:strike w:val="0"/>
        <w:color w:val="000000"/>
        <w:sz w:val="22"/>
        <w:szCs w:val="22"/>
        <w:u w:val="none"/>
        <w:vertAlign w:val="baseline"/>
      </w:rPr>
    </w:rPrDefault>
    <w:pPrDefault>
      <w:pPr>
        <w:keepNext w:val="0"/>
        <w:keepLines w:val="0"/>
        <w:widowControl w:val="1"/>
        <w:spacing w:after="200" w:before="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asto.gov.co/" TargetMode="External"/><Relationship Id="rId6" Type="http://schemas.openxmlformats.org/officeDocument/2006/relationships/hyperlink" Target="http://www.pasto.gov.co"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