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FE506B">
        <w:rPr>
          <w:rFonts w:ascii="Arial" w:hAnsi="Arial" w:cs="Arial"/>
          <w:b/>
          <w:sz w:val="24"/>
          <w:szCs w:val="24"/>
          <w:lang w:val="es-MX"/>
        </w:rPr>
        <w:t>0471</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FE506B" w:rsidRDefault="00FE506B" w:rsidP="00FE506B">
      <w:pPr>
        <w:rPr>
          <w:rFonts w:ascii="Century Gothic" w:eastAsia="Century Gothic" w:hAnsi="Century Gothic" w:cs="Century Gothic"/>
          <w:b/>
        </w:rPr>
      </w:pPr>
      <w:r>
        <w:rPr>
          <w:rFonts w:ascii="Century Gothic" w:eastAsia="Century Gothic" w:hAnsi="Century Gothic" w:cs="Century Gothic"/>
          <w:b/>
        </w:rPr>
        <w:t>SEXTA ENTREGA DE TRANSFERENCIA MOM</w:t>
      </w:r>
      <w:r w:rsidR="003A6F91">
        <w:rPr>
          <w:rFonts w:ascii="Century Gothic" w:eastAsia="Century Gothic" w:hAnsi="Century Gothic" w:cs="Century Gothic"/>
          <w:b/>
        </w:rPr>
        <w:t>ETARIA PROGRAMA JOVENES EN ACCIÓ</w:t>
      </w:r>
      <w:bookmarkStart w:id="0" w:name="_GoBack"/>
      <w:bookmarkEnd w:id="0"/>
      <w:r>
        <w:rPr>
          <w:rFonts w:ascii="Century Gothic" w:eastAsia="Century Gothic" w:hAnsi="Century Gothic" w:cs="Century Gothic"/>
          <w:b/>
        </w:rPr>
        <w:t>N</w:t>
      </w:r>
    </w:p>
    <w:p w:rsidR="00FE506B" w:rsidRDefault="00FE506B" w:rsidP="00FE506B">
      <w:pPr>
        <w:jc w:val="both"/>
        <w:rPr>
          <w:rFonts w:ascii="Century Gothic" w:eastAsia="Century Gothic" w:hAnsi="Century Gothic" w:cs="Century Gothic"/>
        </w:rPr>
      </w:pPr>
    </w:p>
    <w:p w:rsidR="00FE506B" w:rsidRDefault="00FE506B" w:rsidP="00FE506B">
      <w:pPr>
        <w:jc w:val="both"/>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La sexta jornada de entrega de transferencias m</w:t>
      </w:r>
      <w:r>
        <w:rPr>
          <w:rFonts w:ascii="Century Gothic" w:eastAsia="Century Gothic" w:hAnsi="Century Gothic" w:cs="Century Gothic"/>
          <w:color w:val="222222"/>
          <w:highlight w:val="white"/>
        </w:rPr>
        <w:t xml:space="preserve">onetarias </w:t>
      </w:r>
      <w:proofErr w:type="gramStart"/>
      <w:r>
        <w:rPr>
          <w:rFonts w:ascii="Century Gothic" w:eastAsia="Century Gothic" w:hAnsi="Century Gothic" w:cs="Century Gothic"/>
          <w:color w:val="222222"/>
          <w:highlight w:val="white"/>
        </w:rPr>
        <w:t>del</w:t>
      </w:r>
      <w:proofErr w:type="gramEnd"/>
      <w:r>
        <w:rPr>
          <w:rFonts w:ascii="Century Gothic" w:eastAsia="Century Gothic" w:hAnsi="Century Gothic" w:cs="Century Gothic"/>
          <w:color w:val="222222"/>
          <w:highlight w:val="white"/>
        </w:rPr>
        <w:t xml:space="preserve"> Programa Jóvenes en Acción,</w:t>
      </w:r>
      <w:r>
        <w:rPr>
          <w:rFonts w:ascii="Century Gothic" w:eastAsia="Century Gothic" w:hAnsi="Century Gothic" w:cs="Century Gothic"/>
          <w:color w:val="222222"/>
          <w:highlight w:val="white"/>
        </w:rPr>
        <w:t xml:space="preserve"> contempla el ciclo ordinario (verificación cumplimiento </w:t>
      </w:r>
      <w:r>
        <w:rPr>
          <w:rFonts w:ascii="Century Gothic" w:eastAsia="Century Gothic" w:hAnsi="Century Gothic" w:cs="Century Gothic"/>
          <w:color w:val="222222"/>
          <w:highlight w:val="white"/>
        </w:rPr>
        <w:t>compromisos) y la reprogramación de los no cobros de los cinco ciclos extraordinarios por la emergencia sanitaria C</w:t>
      </w:r>
      <w:r>
        <w:rPr>
          <w:rFonts w:ascii="Century Gothic" w:eastAsia="Century Gothic" w:hAnsi="Century Gothic" w:cs="Century Gothic"/>
          <w:color w:val="222222"/>
          <w:highlight w:val="white"/>
        </w:rPr>
        <w:t>ovid-19.</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Verificación cum</w:t>
      </w:r>
      <w:r>
        <w:rPr>
          <w:rFonts w:ascii="Century Gothic" w:eastAsia="Century Gothic" w:hAnsi="Century Gothic" w:cs="Century Gothic"/>
          <w:color w:val="222222"/>
        </w:rPr>
        <w:t>plimiento de compromisos SENA: a</w:t>
      </w:r>
      <w:r>
        <w:rPr>
          <w:rFonts w:ascii="Century Gothic" w:eastAsia="Century Gothic" w:hAnsi="Century Gothic" w:cs="Century Gothic"/>
          <w:color w:val="222222"/>
        </w:rPr>
        <w:t>gosto</w:t>
      </w:r>
      <w:r>
        <w:rPr>
          <w:rFonts w:ascii="Century Gothic" w:eastAsia="Century Gothic" w:hAnsi="Century Gothic" w:cs="Century Gothic"/>
          <w:color w:val="222222"/>
        </w:rPr>
        <w:t xml:space="preserve"> </w:t>
      </w:r>
      <w:r w:rsidR="004E2D7F">
        <w:rPr>
          <w:rFonts w:ascii="Century Gothic" w:eastAsia="Century Gothic" w:hAnsi="Century Gothic" w:cs="Century Gothic"/>
          <w:color w:val="222222"/>
        </w:rPr>
        <w:t>- septiembre</w:t>
      </w:r>
      <w:r>
        <w:rPr>
          <w:rFonts w:ascii="Century Gothic" w:eastAsia="Century Gothic" w:hAnsi="Century Gothic" w:cs="Century Gothic"/>
          <w:color w:val="222222"/>
        </w:rPr>
        <w:t xml:space="preserve"> 2020.</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00B050"/>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Verificación cumplimiento de </w:t>
      </w:r>
      <w:r>
        <w:rPr>
          <w:rFonts w:ascii="Century Gothic" w:eastAsia="Century Gothic" w:hAnsi="Century Gothic" w:cs="Century Gothic"/>
          <w:color w:val="222222"/>
        </w:rPr>
        <w:t>compromisos IES</w:t>
      </w:r>
      <w:r>
        <w:rPr>
          <w:rFonts w:ascii="Century Gothic" w:eastAsia="Century Gothic" w:hAnsi="Century Gothic" w:cs="Century Gothic"/>
          <w:color w:val="222222"/>
        </w:rPr>
        <w:t>-R1</w:t>
      </w:r>
      <w:r>
        <w:rPr>
          <w:rFonts w:ascii="Century Gothic" w:eastAsia="Century Gothic" w:hAnsi="Century Gothic" w:cs="Century Gothic"/>
          <w:color w:val="222222"/>
        </w:rPr>
        <w:t>-</w:t>
      </w:r>
      <w:r>
        <w:rPr>
          <w:rFonts w:ascii="Century Gothic" w:eastAsia="Century Gothic" w:hAnsi="Century Gothic" w:cs="Century Gothic"/>
          <w:color w:val="222222"/>
          <w:highlight w:val="white"/>
        </w:rPr>
        <w:t xml:space="preserve"> por</w:t>
      </w:r>
      <w:r>
        <w:rPr>
          <w:rFonts w:ascii="Century Gothic" w:eastAsia="Century Gothic" w:hAnsi="Century Gothic" w:cs="Century Gothic"/>
          <w:color w:val="222222"/>
          <w:highlight w:val="white"/>
        </w:rPr>
        <w:t xml:space="preserve"> concepto de matrícula 2020-2 (Registrado)</w:t>
      </w:r>
      <w:r>
        <w:rPr>
          <w:rFonts w:ascii="Century Gothic" w:eastAsia="Century Gothic" w:hAnsi="Century Gothic" w:cs="Century Gothic"/>
          <w:color w:val="222222"/>
        </w:rPr>
        <w:t>.</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 </w:t>
      </w:r>
    </w:p>
    <w:p w:rsidR="00FE506B" w:rsidRDefault="00FE506B" w:rsidP="00FE506B">
      <w:pPr>
        <w:jc w:val="both"/>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En esta sexta jornada de entrega de transferencias monetarias </w:t>
      </w:r>
      <w:r>
        <w:rPr>
          <w:rFonts w:ascii="Century Gothic" w:eastAsia="Century Gothic" w:hAnsi="Century Gothic" w:cs="Century Gothic"/>
          <w:color w:val="222222"/>
          <w:highlight w:val="white"/>
          <w:u w:val="single"/>
        </w:rPr>
        <w:t>se otorgan inscripciones</w:t>
      </w:r>
      <w:r>
        <w:rPr>
          <w:rFonts w:ascii="Century Gothic" w:eastAsia="Century Gothic" w:hAnsi="Century Gothic" w:cs="Century Gothic"/>
          <w:color w:val="222222"/>
          <w:highlight w:val="white"/>
        </w:rPr>
        <w:t> de los REGISTRADOS hasta el 22 de septiembre para</w:t>
      </w:r>
      <w:r>
        <w:rPr>
          <w:rFonts w:ascii="Century Gothic" w:eastAsia="Century Gothic" w:hAnsi="Century Gothic" w:cs="Century Gothic"/>
          <w:color w:val="222222"/>
          <w:highlight w:val="white"/>
        </w:rPr>
        <w:t xml:space="preserve"> las IES y aprendices del SENA </w:t>
      </w:r>
      <w:r>
        <w:rPr>
          <w:rFonts w:ascii="Century Gothic" w:eastAsia="Century Gothic" w:hAnsi="Century Gothic" w:cs="Century Gothic"/>
          <w:color w:val="222222"/>
          <w:highlight w:val="white"/>
        </w:rPr>
        <w:t>registrados al 20 de noviembre.</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La jornada iniciará de manera gradual y escalonada el día 24 diciembre con los abonos a la MoviCuenta del Banco Agrario. Y en la modalidad de </w:t>
      </w:r>
      <w:r>
        <w:rPr>
          <w:rFonts w:ascii="Century Gothic" w:eastAsia="Century Gothic" w:hAnsi="Century Gothic" w:cs="Century Gothic"/>
          <w:color w:val="222222"/>
          <w:u w:val="single"/>
        </w:rPr>
        <w:t>GIROS</w:t>
      </w:r>
      <w:r>
        <w:rPr>
          <w:rFonts w:ascii="Century Gothic" w:eastAsia="Century Gothic" w:hAnsi="Century Gothic" w:cs="Century Gothic"/>
          <w:color w:val="C00000"/>
        </w:rPr>
        <w:t> </w:t>
      </w:r>
      <w:r>
        <w:rPr>
          <w:rFonts w:ascii="Century Gothic" w:eastAsia="Century Gothic" w:hAnsi="Century Gothic" w:cs="Century Gothic"/>
          <w:color w:val="222222"/>
        </w:rPr>
        <w:t>iniciará el día </w:t>
      </w:r>
      <w:r>
        <w:rPr>
          <w:rFonts w:ascii="Century Gothic" w:eastAsia="Century Gothic" w:hAnsi="Century Gothic" w:cs="Century Gothic"/>
          <w:color w:val="222222"/>
          <w:u w:val="single"/>
        </w:rPr>
        <w:t>29 de diciembre</w:t>
      </w:r>
      <w:r>
        <w:rPr>
          <w:rFonts w:ascii="Century Gothic" w:eastAsia="Century Gothic" w:hAnsi="Century Gothic" w:cs="Century Gothic"/>
          <w:color w:val="222222"/>
        </w:rPr>
        <w:t xml:space="preserve">, </w:t>
      </w:r>
      <w:r>
        <w:rPr>
          <w:rFonts w:ascii="Century Gothic" w:eastAsia="Century Gothic" w:hAnsi="Century Gothic" w:cs="Century Gothic"/>
          <w:color w:val="222222"/>
        </w:rPr>
        <w:t xml:space="preserve">y finalizará el 15 de enero de 2021 </w:t>
      </w:r>
      <w:r>
        <w:rPr>
          <w:rFonts w:ascii="Century Gothic" w:eastAsia="Century Gothic" w:hAnsi="Century Gothic" w:cs="Century Gothic"/>
          <w:color w:val="222222"/>
          <w:highlight w:val="white"/>
        </w:rPr>
        <w:t>por RED AVAL. Bus</w:t>
      </w:r>
      <w:r w:rsidR="004E2D7F">
        <w:rPr>
          <w:rFonts w:ascii="Century Gothic" w:eastAsia="Century Gothic" w:hAnsi="Century Gothic" w:cs="Century Gothic"/>
          <w:color w:val="222222"/>
          <w:highlight w:val="white"/>
        </w:rPr>
        <w:t xml:space="preserve">cando cumplir la solicitud </w:t>
      </w:r>
      <w:proofErr w:type="gramStart"/>
      <w:r>
        <w:rPr>
          <w:rFonts w:ascii="Century Gothic" w:eastAsia="Century Gothic" w:hAnsi="Century Gothic" w:cs="Century Gothic"/>
          <w:color w:val="222222"/>
          <w:highlight w:val="white"/>
        </w:rPr>
        <w:t>del</w:t>
      </w:r>
      <w:proofErr w:type="gramEnd"/>
      <w:r>
        <w:rPr>
          <w:rFonts w:ascii="Century Gothic" w:eastAsia="Century Gothic" w:hAnsi="Century Gothic" w:cs="Century Gothic"/>
          <w:color w:val="222222"/>
          <w:highlight w:val="white"/>
        </w:rPr>
        <w:t xml:space="preserve"> Gobierno N</w:t>
      </w:r>
      <w:r>
        <w:rPr>
          <w:rFonts w:ascii="Century Gothic" w:eastAsia="Century Gothic" w:hAnsi="Century Gothic" w:cs="Century Gothic"/>
          <w:color w:val="222222"/>
          <w:highlight w:val="white"/>
        </w:rPr>
        <w:t>acional en cuanto a condiciones de BIOSEGURIDAD por covid</w:t>
      </w:r>
      <w:r>
        <w:rPr>
          <w:rFonts w:ascii="Century Gothic" w:eastAsia="Century Gothic" w:hAnsi="Century Gothic" w:cs="Century Gothic"/>
          <w:color w:val="222222"/>
          <w:highlight w:val="white"/>
        </w:rPr>
        <w:t>-</w:t>
      </w:r>
      <w:r>
        <w:rPr>
          <w:rFonts w:ascii="Century Gothic" w:eastAsia="Century Gothic" w:hAnsi="Century Gothic" w:cs="Century Gothic"/>
          <w:color w:val="222222"/>
          <w:highlight w:val="white"/>
        </w:rPr>
        <w:t>19 y los beneficiarios de giros deberán cobrar segú</w:t>
      </w:r>
      <w:r>
        <w:rPr>
          <w:rFonts w:ascii="Century Gothic" w:eastAsia="Century Gothic" w:hAnsi="Century Gothic" w:cs="Century Gothic"/>
          <w:color w:val="222222"/>
          <w:highlight w:val="white"/>
        </w:rPr>
        <w:t>n el último digito de cé</w:t>
      </w:r>
      <w:r>
        <w:rPr>
          <w:rFonts w:ascii="Century Gothic" w:eastAsia="Century Gothic" w:hAnsi="Century Gothic" w:cs="Century Gothic"/>
          <w:color w:val="222222"/>
          <w:highlight w:val="white"/>
        </w:rPr>
        <w:t>dula.</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Los jóvenes recibirán mensaje de texto con la información de la disponibilidad y lugar para el cobro de los giros, como también recibirán mensaje de texto confirmando la disponibilidad del abono en las MoviCuenta. También estará disponible el link de consulta de los puntos para cobrar los giros en la página web de Banco Agrario.</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hyperlink r:id="rId8">
        <w:r>
          <w:rPr>
            <w:rFonts w:ascii="Century Gothic" w:eastAsia="Century Gothic" w:hAnsi="Century Gothic" w:cs="Century Gothic"/>
            <w:color w:val="1155CC"/>
            <w:u w:val="single"/>
          </w:rPr>
          <w:t>https://consultagiros.bancoagrario.gov.co/</w:t>
        </w:r>
      </w:hyperlink>
      <w:r>
        <w:rPr>
          <w:rFonts w:ascii="Century Gothic" w:eastAsia="Century Gothic" w:hAnsi="Century Gothic" w:cs="Century Gothic"/>
          <w:color w:val="0070C0"/>
        </w:rPr>
        <w:t>.</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jc w:val="center"/>
        <w:rPr>
          <w:rFonts w:ascii="Century Gothic" w:eastAsia="Century Gothic" w:hAnsi="Century Gothic" w:cs="Century Gothic"/>
          <w:b/>
          <w:color w:val="222222"/>
        </w:rPr>
      </w:pPr>
      <w:r>
        <w:rPr>
          <w:rFonts w:ascii="Century Gothic" w:eastAsia="Century Gothic" w:hAnsi="Century Gothic" w:cs="Century Gothic"/>
          <w:b/>
          <w:color w:val="222222"/>
          <w:u w:val="single"/>
        </w:rPr>
        <w:t>PARA LOS ESTUDIANTES QUE ESTÉN EN UN LUGAR DIFERENTE SE REALIZARA EL SIGUIENTE PROTOCOLO TRASLADO DE GIROS</w:t>
      </w:r>
    </w:p>
    <w:p w:rsidR="00FE506B" w:rsidRDefault="00FE506B" w:rsidP="00FE506B">
      <w:pPr>
        <w:shd w:val="clear" w:color="auto" w:fill="FFFFFF"/>
        <w:spacing w:after="0" w:line="240" w:lineRule="auto"/>
        <w:jc w:val="both"/>
        <w:rPr>
          <w:rFonts w:ascii="Century Gothic" w:eastAsia="Century Gothic" w:hAnsi="Century Gothic" w:cs="Century Gothic"/>
          <w:b/>
          <w:color w:val="222222"/>
        </w:rPr>
      </w:pPr>
      <w:r>
        <w:rPr>
          <w:rFonts w:ascii="Century Gothic" w:eastAsia="Century Gothic" w:hAnsi="Century Gothic" w:cs="Century Gothic"/>
          <w:b/>
          <w:color w:val="222222"/>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u w:val="single"/>
        </w:rPr>
      </w:pPr>
    </w:p>
    <w:p w:rsidR="00FE506B" w:rsidRDefault="00FE506B" w:rsidP="00FE506B">
      <w:pPr>
        <w:shd w:val="clear" w:color="auto" w:fill="FFFFFF"/>
        <w:spacing w:after="0" w:line="240" w:lineRule="auto"/>
        <w:jc w:val="center"/>
        <w:rPr>
          <w:rFonts w:ascii="Century Gothic" w:eastAsia="Century Gothic" w:hAnsi="Century Gothic" w:cs="Century Gothic"/>
          <w:b/>
          <w:color w:val="222222"/>
        </w:rPr>
      </w:pPr>
      <w:r>
        <w:rPr>
          <w:rFonts w:ascii="Century Gothic" w:eastAsia="Century Gothic" w:hAnsi="Century Gothic" w:cs="Century Gothic"/>
          <w:b/>
          <w:color w:val="222222"/>
          <w:u w:val="single"/>
        </w:rPr>
        <w:t>PROTOCOLO TRASLADO DE GIROS</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1.   El joven se comunica a </w:t>
      </w:r>
      <w:proofErr w:type="gramStart"/>
      <w:r>
        <w:rPr>
          <w:rFonts w:ascii="Century Gothic" w:eastAsia="Century Gothic" w:hAnsi="Century Gothic" w:cs="Century Gothic"/>
          <w:color w:val="222222"/>
        </w:rPr>
        <w:t>la</w:t>
      </w:r>
      <w:proofErr w:type="gramEnd"/>
      <w:r>
        <w:rPr>
          <w:rFonts w:ascii="Century Gothic" w:eastAsia="Century Gothic" w:hAnsi="Century Gothic" w:cs="Century Gothic"/>
          <w:color w:val="222222"/>
        </w:rPr>
        <w:t xml:space="preserve"> línea del Banco (entre la fecha de inicio de pagos y hasta el 8vo. día calendario después del inicio)</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2.   El agente del call center de Banco Agrario solicita al joven el número de documento y valida que este en la base de registros ordenados por el programa (si está en la base continua con el siguiente punto, si no informa que se debe comunicar con el DPS para mayor información).</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3.   Procede a solicitar la </w:t>
      </w:r>
      <w:r w:rsidR="00B305D5">
        <w:rPr>
          <w:rFonts w:ascii="Century Gothic" w:eastAsia="Century Gothic" w:hAnsi="Century Gothic" w:cs="Century Gothic"/>
          <w:color w:val="222222"/>
        </w:rPr>
        <w:t>información para</w:t>
      </w:r>
      <w:r>
        <w:rPr>
          <w:rFonts w:ascii="Century Gothic" w:eastAsia="Century Gothic" w:hAnsi="Century Gothic" w:cs="Century Gothic"/>
          <w:color w:val="222222"/>
        </w:rPr>
        <w:t xml:space="preserve"> completar la siguiente matriz:</w:t>
      </w:r>
    </w:p>
    <w:p w:rsidR="00FE506B" w:rsidRDefault="00FE506B" w:rsidP="00FE506B">
      <w:pPr>
        <w:numPr>
          <w:ilvl w:val="0"/>
          <w:numId w:val="36"/>
        </w:numPr>
        <w:pBdr>
          <w:top w:val="nil"/>
          <w:left w:val="nil"/>
          <w:bottom w:val="nil"/>
          <w:right w:val="nil"/>
          <w:between w:val="nil"/>
        </w:pBdr>
        <w:shd w:val="clear" w:color="auto" w:fill="FFFFFF"/>
        <w:spacing w:after="0" w:line="240" w:lineRule="auto"/>
        <w:jc w:val="both"/>
        <w:rPr>
          <w:color w:val="222222"/>
        </w:rPr>
      </w:pPr>
      <w:r>
        <w:rPr>
          <w:rFonts w:ascii="Century Gothic" w:eastAsia="Century Gothic" w:hAnsi="Century Gothic" w:cs="Century Gothic"/>
          <w:color w:val="222222"/>
        </w:rPr>
        <w:t>Tipo de documento</w:t>
      </w:r>
    </w:p>
    <w:p w:rsidR="00FE506B" w:rsidRDefault="00B305D5" w:rsidP="00FE506B">
      <w:pPr>
        <w:numPr>
          <w:ilvl w:val="0"/>
          <w:numId w:val="36"/>
        </w:numPr>
        <w:pBdr>
          <w:top w:val="nil"/>
          <w:left w:val="nil"/>
          <w:bottom w:val="nil"/>
          <w:right w:val="nil"/>
          <w:between w:val="nil"/>
        </w:pBdr>
        <w:shd w:val="clear" w:color="auto" w:fill="FFFFFF"/>
        <w:spacing w:after="0" w:line="240" w:lineRule="auto"/>
        <w:jc w:val="both"/>
        <w:rPr>
          <w:color w:val="222222"/>
        </w:rPr>
      </w:pPr>
      <w:r>
        <w:rPr>
          <w:rFonts w:ascii="Century Gothic" w:eastAsia="Century Gothic" w:hAnsi="Century Gothic" w:cs="Century Gothic"/>
          <w:color w:val="222222"/>
        </w:rPr>
        <w:t>Nú</w:t>
      </w:r>
      <w:r w:rsidR="00FE506B">
        <w:rPr>
          <w:rFonts w:ascii="Century Gothic" w:eastAsia="Century Gothic" w:hAnsi="Century Gothic" w:cs="Century Gothic"/>
          <w:color w:val="222222"/>
        </w:rPr>
        <w:t>mero de documento</w:t>
      </w:r>
    </w:p>
    <w:p w:rsidR="00FE506B" w:rsidRDefault="00FE506B" w:rsidP="00FE506B">
      <w:pPr>
        <w:numPr>
          <w:ilvl w:val="0"/>
          <w:numId w:val="36"/>
        </w:numPr>
        <w:pBdr>
          <w:top w:val="nil"/>
          <w:left w:val="nil"/>
          <w:bottom w:val="nil"/>
          <w:right w:val="nil"/>
          <w:between w:val="nil"/>
        </w:pBdr>
        <w:shd w:val="clear" w:color="auto" w:fill="FFFFFF"/>
        <w:spacing w:after="0" w:line="240" w:lineRule="auto"/>
        <w:jc w:val="both"/>
        <w:rPr>
          <w:color w:val="222222"/>
        </w:rPr>
      </w:pPr>
      <w:r>
        <w:rPr>
          <w:rFonts w:ascii="Century Gothic" w:eastAsia="Century Gothic" w:hAnsi="Century Gothic" w:cs="Century Gothic"/>
          <w:color w:val="222222"/>
        </w:rPr>
        <w:t>Nombres y Apellidos</w:t>
      </w:r>
    </w:p>
    <w:p w:rsidR="00FE506B" w:rsidRDefault="00B305D5" w:rsidP="00FE506B">
      <w:pPr>
        <w:numPr>
          <w:ilvl w:val="0"/>
          <w:numId w:val="36"/>
        </w:numPr>
        <w:pBdr>
          <w:top w:val="nil"/>
          <w:left w:val="nil"/>
          <w:bottom w:val="nil"/>
          <w:right w:val="nil"/>
          <w:between w:val="nil"/>
        </w:pBdr>
        <w:shd w:val="clear" w:color="auto" w:fill="FFFFFF"/>
        <w:spacing w:after="0" w:line="240" w:lineRule="auto"/>
        <w:jc w:val="both"/>
        <w:rPr>
          <w:color w:val="222222"/>
        </w:rPr>
      </w:pPr>
      <w:r>
        <w:rPr>
          <w:rFonts w:ascii="Century Gothic" w:eastAsia="Century Gothic" w:hAnsi="Century Gothic" w:cs="Century Gothic"/>
          <w:color w:val="222222"/>
        </w:rPr>
        <w:t>Nú</w:t>
      </w:r>
      <w:r w:rsidR="00FE506B">
        <w:rPr>
          <w:rFonts w:ascii="Century Gothic" w:eastAsia="Century Gothic" w:hAnsi="Century Gothic" w:cs="Century Gothic"/>
          <w:color w:val="222222"/>
        </w:rPr>
        <w:t>mero DANE del municipio donde quiere trasladar el giro.</w:t>
      </w:r>
    </w:p>
    <w:p w:rsidR="00FE506B" w:rsidRDefault="00B305D5" w:rsidP="00FE506B">
      <w:pPr>
        <w:numPr>
          <w:ilvl w:val="0"/>
          <w:numId w:val="36"/>
        </w:numPr>
        <w:pBdr>
          <w:top w:val="nil"/>
          <w:left w:val="nil"/>
          <w:bottom w:val="nil"/>
          <w:right w:val="nil"/>
          <w:between w:val="nil"/>
        </w:pBdr>
        <w:shd w:val="clear" w:color="auto" w:fill="FFFFFF"/>
        <w:spacing w:after="0" w:line="240" w:lineRule="auto"/>
        <w:jc w:val="both"/>
        <w:rPr>
          <w:color w:val="222222"/>
        </w:rPr>
      </w:pPr>
      <w:r>
        <w:rPr>
          <w:rFonts w:ascii="Century Gothic" w:eastAsia="Century Gothic" w:hAnsi="Century Gothic" w:cs="Century Gothic"/>
          <w:color w:val="222222"/>
        </w:rPr>
        <w:t>Nombre del M</w:t>
      </w:r>
      <w:r w:rsidR="00FE506B">
        <w:rPr>
          <w:rFonts w:ascii="Century Gothic" w:eastAsia="Century Gothic" w:hAnsi="Century Gothic" w:cs="Century Gothic"/>
          <w:color w:val="222222"/>
        </w:rPr>
        <w:t>unicipio</w:t>
      </w:r>
    </w:p>
    <w:p w:rsidR="00FE506B" w:rsidRDefault="00B305D5" w:rsidP="00FE506B">
      <w:pPr>
        <w:numPr>
          <w:ilvl w:val="0"/>
          <w:numId w:val="36"/>
        </w:numPr>
        <w:pBdr>
          <w:top w:val="nil"/>
          <w:left w:val="nil"/>
          <w:bottom w:val="nil"/>
          <w:right w:val="nil"/>
          <w:between w:val="nil"/>
        </w:pBdr>
        <w:shd w:val="clear" w:color="auto" w:fill="FFFFFF"/>
        <w:spacing w:after="0" w:line="240" w:lineRule="auto"/>
        <w:jc w:val="both"/>
        <w:rPr>
          <w:color w:val="222222"/>
        </w:rPr>
      </w:pPr>
      <w:r>
        <w:rPr>
          <w:rFonts w:ascii="Century Gothic" w:eastAsia="Century Gothic" w:hAnsi="Century Gothic" w:cs="Century Gothic"/>
          <w:color w:val="222222"/>
        </w:rPr>
        <w:t>Número de celular para envío</w:t>
      </w:r>
      <w:r w:rsidR="00FE506B">
        <w:rPr>
          <w:rFonts w:ascii="Century Gothic" w:eastAsia="Century Gothic" w:hAnsi="Century Gothic" w:cs="Century Gothic"/>
          <w:color w:val="222222"/>
        </w:rPr>
        <w:t xml:space="preserve"> de MSJ de texto de confirmación</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4.   El agente indica que una vez el Banco </w:t>
      </w:r>
      <w:r w:rsidR="00A92384">
        <w:rPr>
          <w:rFonts w:ascii="Century Gothic" w:eastAsia="Century Gothic" w:hAnsi="Century Gothic" w:cs="Century Gothic"/>
          <w:color w:val="222222"/>
        </w:rPr>
        <w:t xml:space="preserve">migre el giro a la oficina </w:t>
      </w:r>
      <w:proofErr w:type="gramStart"/>
      <w:r w:rsidR="00A92384">
        <w:rPr>
          <w:rFonts w:ascii="Century Gothic" w:eastAsia="Century Gothic" w:hAnsi="Century Gothic" w:cs="Century Gothic"/>
          <w:color w:val="222222"/>
        </w:rPr>
        <w:t>del</w:t>
      </w:r>
      <w:proofErr w:type="gramEnd"/>
      <w:r w:rsidR="00A92384">
        <w:rPr>
          <w:rFonts w:ascii="Century Gothic" w:eastAsia="Century Gothic" w:hAnsi="Century Gothic" w:cs="Century Gothic"/>
          <w:color w:val="222222"/>
        </w:rPr>
        <w:t xml:space="preserve"> M</w:t>
      </w:r>
      <w:r>
        <w:rPr>
          <w:rFonts w:ascii="Century Gothic" w:eastAsia="Century Gothic" w:hAnsi="Century Gothic" w:cs="Century Gothic"/>
          <w:color w:val="222222"/>
        </w:rPr>
        <w:t xml:space="preserve">unicipio de su actual residencia, se le enviará un MSM de confirmación. (Máximo al tercer día después </w:t>
      </w:r>
      <w:proofErr w:type="gramStart"/>
      <w:r>
        <w:rPr>
          <w:rFonts w:ascii="Century Gothic" w:eastAsia="Century Gothic" w:hAnsi="Century Gothic" w:cs="Century Gothic"/>
          <w:color w:val="222222"/>
        </w:rPr>
        <w:t>del</w:t>
      </w:r>
      <w:proofErr w:type="gramEnd"/>
      <w:r>
        <w:rPr>
          <w:rFonts w:ascii="Century Gothic" w:eastAsia="Century Gothic" w:hAnsi="Century Gothic" w:cs="Century Gothic"/>
          <w:color w:val="222222"/>
        </w:rPr>
        <w:t xml:space="preserve"> cierre de las solicitudes)</w:t>
      </w:r>
      <w:r w:rsidR="00A92384">
        <w:rPr>
          <w:rFonts w:ascii="Century Gothic" w:eastAsia="Century Gothic" w:hAnsi="Century Gothic" w:cs="Century Gothic"/>
          <w:color w:val="222222"/>
        </w:rPr>
        <w:t>.</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5.   Finalizado el periodo indicado de solicitudes, el agente del call center de Banco Agrario consolida la información, depura la base (información de </w:t>
      </w:r>
      <w:r>
        <w:rPr>
          <w:rFonts w:ascii="Century Gothic" w:eastAsia="Century Gothic" w:hAnsi="Century Gothic" w:cs="Century Gothic"/>
          <w:color w:val="222222"/>
        </w:rPr>
        <w:lastRenderedPageBreak/>
        <w:t>jóvenes repetidos, registros con información incompleta o inconsistente) y envía la base consolidada al área de convenio</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5A024A"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6.   El área de convenios gestiona</w:t>
      </w:r>
      <w:r w:rsidR="00FE506B">
        <w:rPr>
          <w:rFonts w:ascii="Century Gothic" w:eastAsia="Century Gothic" w:hAnsi="Century Gothic" w:cs="Century Gothic"/>
          <w:color w:val="222222"/>
        </w:rPr>
        <w:t xml:space="preserve"> la migración de giros.</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7.   El área de convenios actualiza y publica la base en la web para la consulta con los cambios generados por parte de los jóvenes.</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8.   El área de convenios informa el resultado </w:t>
      </w:r>
      <w:proofErr w:type="gramStart"/>
      <w:r>
        <w:rPr>
          <w:rFonts w:ascii="Century Gothic" w:eastAsia="Century Gothic" w:hAnsi="Century Gothic" w:cs="Century Gothic"/>
          <w:color w:val="222222"/>
        </w:rPr>
        <w:t>del</w:t>
      </w:r>
      <w:proofErr w:type="gramEnd"/>
      <w:r>
        <w:rPr>
          <w:rFonts w:ascii="Century Gothic" w:eastAsia="Century Gothic" w:hAnsi="Century Gothic" w:cs="Century Gothic"/>
          <w:color w:val="222222"/>
        </w:rPr>
        <w:t xml:space="preserve"> proceso a servicio al cliente con la información para la generación de los mensajes de texto. (máximo tres días después de recibir la base).</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9.   Servicio al cliente envía los mensajes de texto y confirma lo correspondiente al área de convenios.</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10.               El área de Convenios informa al programa  Jóvenes en Acción el resultado </w:t>
      </w:r>
      <w:proofErr w:type="gramStart"/>
      <w:r>
        <w:rPr>
          <w:rFonts w:ascii="Century Gothic" w:eastAsia="Century Gothic" w:hAnsi="Century Gothic" w:cs="Century Gothic"/>
          <w:color w:val="222222"/>
        </w:rPr>
        <w:t>del</w:t>
      </w:r>
      <w:proofErr w:type="gramEnd"/>
      <w:r>
        <w:rPr>
          <w:rFonts w:ascii="Century Gothic" w:eastAsia="Century Gothic" w:hAnsi="Century Gothic" w:cs="Century Gothic"/>
          <w:color w:val="222222"/>
        </w:rPr>
        <w:t xml:space="preserve"> proceso.</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11.               El joven se acerca a cobrar su giro en la oficina solicitada.</w:t>
      </w:r>
    </w:p>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tbl>
      <w:tblPr>
        <w:tblW w:w="7775" w:type="dxa"/>
        <w:tblInd w:w="708" w:type="dxa"/>
        <w:tblLayout w:type="fixed"/>
        <w:tblLook w:val="0400" w:firstRow="0" w:lastRow="0" w:firstColumn="0" w:lastColumn="0" w:noHBand="0" w:noVBand="1"/>
      </w:tblPr>
      <w:tblGrid>
        <w:gridCol w:w="3614"/>
        <w:gridCol w:w="4161"/>
      </w:tblGrid>
      <w:tr w:rsidR="00FE506B" w:rsidTr="00B57792">
        <w:trPr>
          <w:trHeight w:val="708"/>
        </w:trPr>
        <w:tc>
          <w:tcPr>
            <w:tcW w:w="3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506B" w:rsidRDefault="00FE506B" w:rsidP="00B57792">
            <w:pPr>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Inicio de pagos e inicio de solicitudes de traslado de giros</w:t>
            </w:r>
            <w:r w:rsidR="005A024A">
              <w:rPr>
                <w:rFonts w:ascii="Century Gothic" w:eastAsia="Century Gothic" w:hAnsi="Century Gothic" w:cs="Century Gothic"/>
                <w:color w:val="222222"/>
              </w:rPr>
              <w:t>.</w:t>
            </w:r>
          </w:p>
        </w:tc>
        <w:tc>
          <w:tcPr>
            <w:tcW w:w="41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E506B" w:rsidRDefault="00FE506B" w:rsidP="00B57792">
            <w:pPr>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Cierre de solicitudes y consolidación de archivo definitivo para traslados</w:t>
            </w:r>
            <w:r w:rsidR="005A024A">
              <w:rPr>
                <w:rFonts w:ascii="Century Gothic" w:eastAsia="Century Gothic" w:hAnsi="Century Gothic" w:cs="Century Gothic"/>
                <w:color w:val="222222"/>
              </w:rPr>
              <w:t>.</w:t>
            </w:r>
          </w:p>
        </w:tc>
      </w:tr>
      <w:tr w:rsidR="00FE506B" w:rsidTr="00B57792">
        <w:trPr>
          <w:trHeight w:val="791"/>
        </w:trPr>
        <w:tc>
          <w:tcPr>
            <w:tcW w:w="36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506B" w:rsidRDefault="00FE506B" w:rsidP="00B57792">
            <w:pPr>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B57792">
            <w:pPr>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25/12/2020</w:t>
            </w:r>
          </w:p>
        </w:tc>
        <w:tc>
          <w:tcPr>
            <w:tcW w:w="4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E506B" w:rsidRDefault="00FE506B" w:rsidP="00B57792">
            <w:pPr>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B57792">
            <w:pPr>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03/01/2021</w:t>
            </w:r>
          </w:p>
        </w:tc>
      </w:tr>
    </w:tbl>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jc w:val="center"/>
        <w:rPr>
          <w:rFonts w:ascii="Century Gothic" w:eastAsia="Century Gothic" w:hAnsi="Century Gothic" w:cs="Century Gothic"/>
          <w:b/>
          <w:color w:val="222222"/>
        </w:rPr>
      </w:pPr>
      <w:r>
        <w:rPr>
          <w:rFonts w:ascii="Century Gothic" w:eastAsia="Century Gothic" w:hAnsi="Century Gothic" w:cs="Century Gothic"/>
          <w:b/>
          <w:color w:val="222222"/>
          <w:u w:val="single"/>
        </w:rPr>
        <w:t>PAGOS A JÓVENES QUE CUMPLIERON SU MAYORÍA DE EDAD</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u w:val="single"/>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Conforme lo acordado con el Banco, los pagos con número de documento trocado (TI o CC), </w:t>
      </w:r>
      <w:proofErr w:type="gramStart"/>
      <w:r>
        <w:rPr>
          <w:rFonts w:ascii="Century Gothic" w:eastAsia="Century Gothic" w:hAnsi="Century Gothic" w:cs="Century Gothic"/>
          <w:color w:val="222222"/>
        </w:rPr>
        <w:t>se</w:t>
      </w:r>
      <w:proofErr w:type="gramEnd"/>
      <w:r>
        <w:rPr>
          <w:rFonts w:ascii="Century Gothic" w:eastAsia="Century Gothic" w:hAnsi="Century Gothic" w:cs="Century Gothic"/>
          <w:color w:val="222222"/>
        </w:rPr>
        <w:t xml:space="preserve"> atenderán con base a la siguiente instrucción:</w:t>
      </w:r>
    </w:p>
    <w:p w:rsidR="00FE506B" w:rsidRDefault="00FE506B" w:rsidP="00FE506B">
      <w:pPr>
        <w:shd w:val="clear" w:color="auto" w:fill="FFFFFF"/>
        <w:spacing w:before="280" w:after="28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Giros ordenados con tipo de documento TI a personas que acaban de cumplir su mayoría de edad: se pueden pagar con la presentación de la TI azul o con la presentación de la contraseña blanca con foto o con la cédula original, únicamente a personas que hayan cumplido la mayoría de edad a partir del 20 de junio de 2020.</w:t>
      </w:r>
    </w:p>
    <w:p w:rsidR="00FE506B" w:rsidRDefault="00FE506B" w:rsidP="00FE506B">
      <w:pPr>
        <w:shd w:val="clear" w:color="auto" w:fill="FFFFFF"/>
        <w:spacing w:before="280" w:after="28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xml:space="preserve">Giros ordenados con tipo de documento </w:t>
      </w:r>
      <w:r w:rsidR="005A024A">
        <w:rPr>
          <w:rFonts w:ascii="Century Gothic" w:eastAsia="Century Gothic" w:hAnsi="Century Gothic" w:cs="Century Gothic"/>
          <w:color w:val="222222"/>
        </w:rPr>
        <w:t>de Cé</w:t>
      </w:r>
      <w:r>
        <w:rPr>
          <w:rFonts w:ascii="Century Gothic" w:eastAsia="Century Gothic" w:hAnsi="Century Gothic" w:cs="Century Gothic"/>
          <w:color w:val="222222"/>
        </w:rPr>
        <w:t>dula de Ciudadanía a personas que acaban de cumplir su mayoría de edad: se pueden pagar con la presentación de la TI azul o con la presentación de la contraseña blanca con foto, únicamente a personas que hayan cumplido la mayoría de edad a partir del 20 de junio de 2020.</w:t>
      </w:r>
    </w:p>
    <w:p w:rsidR="00FE506B" w:rsidRDefault="00FE506B" w:rsidP="00FE506B">
      <w:pPr>
        <w:shd w:val="clear" w:color="auto" w:fill="FFFFFF"/>
        <w:spacing w:before="280" w:after="280" w:line="240" w:lineRule="auto"/>
        <w:jc w:val="center"/>
        <w:rPr>
          <w:rFonts w:ascii="Century Gothic" w:eastAsia="Century Gothic" w:hAnsi="Century Gothic" w:cs="Century Gothic"/>
          <w:b/>
          <w:color w:val="222222"/>
        </w:rPr>
      </w:pPr>
      <w:r>
        <w:rPr>
          <w:rFonts w:ascii="Century Gothic" w:eastAsia="Century Gothic" w:hAnsi="Century Gothic" w:cs="Century Gothic"/>
          <w:b/>
          <w:color w:val="222222"/>
        </w:rPr>
        <w:t>PUNTOS DE COBRO POR MODALIDAD ABONOS A LA MOVICUENTA DEL BANCO AGRARIO CAJEROS AUTOMÁTICOS.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FE506B" w:rsidTr="00B57792">
        <w:trPr>
          <w:trHeight w:val="515"/>
        </w:trPr>
        <w:tc>
          <w:tcPr>
            <w:tcW w:w="2831" w:type="dxa"/>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NOMBRE</w:t>
            </w:r>
          </w:p>
          <w:p w:rsidR="00FE506B" w:rsidRDefault="00FE506B" w:rsidP="00B57792">
            <w:pPr>
              <w:spacing w:before="280"/>
              <w:jc w:val="both"/>
              <w:rPr>
                <w:rFonts w:ascii="Century Gothic" w:eastAsia="Century Gothic" w:hAnsi="Century Gothic" w:cs="Century Gothic"/>
                <w:color w:val="222222"/>
                <w:sz w:val="20"/>
                <w:szCs w:val="20"/>
              </w:rPr>
            </w:pPr>
          </w:p>
        </w:tc>
        <w:tc>
          <w:tcPr>
            <w:tcW w:w="2831" w:type="dxa"/>
          </w:tcPr>
          <w:p w:rsidR="00FE506B" w:rsidRDefault="005A024A"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w:t>
            </w:r>
            <w:r w:rsidR="00FE506B">
              <w:rPr>
                <w:rFonts w:ascii="Century Gothic" w:eastAsia="Century Gothic" w:hAnsi="Century Gothic" w:cs="Century Gothic"/>
                <w:sz w:val="20"/>
                <w:szCs w:val="20"/>
              </w:rPr>
              <w:t>N</w:t>
            </w:r>
          </w:p>
          <w:p w:rsidR="00FE506B" w:rsidRDefault="00FE506B" w:rsidP="00B57792">
            <w:pPr>
              <w:spacing w:before="280"/>
              <w:jc w:val="both"/>
              <w:rPr>
                <w:rFonts w:ascii="Century Gothic" w:eastAsia="Century Gothic" w:hAnsi="Century Gothic" w:cs="Century Gothic"/>
                <w:color w:val="222222"/>
                <w:sz w:val="20"/>
                <w:szCs w:val="20"/>
              </w:rPr>
            </w:pPr>
          </w:p>
        </w:tc>
        <w:tc>
          <w:tcPr>
            <w:tcW w:w="2832" w:type="dxa"/>
          </w:tcPr>
          <w:p w:rsidR="00FE506B" w:rsidRDefault="005A024A" w:rsidP="00B57792">
            <w:pPr>
              <w:jc w:val="both"/>
              <w:rPr>
                <w:rFonts w:ascii="Century Gothic" w:eastAsia="Century Gothic" w:hAnsi="Century Gothic" w:cs="Century Gothic"/>
                <w:color w:val="222222"/>
                <w:sz w:val="20"/>
                <w:szCs w:val="20"/>
              </w:rPr>
            </w:pPr>
            <w:r>
              <w:rPr>
                <w:rFonts w:ascii="Century Gothic" w:eastAsia="Century Gothic" w:hAnsi="Century Gothic" w:cs="Century Gothic"/>
                <w:sz w:val="20"/>
                <w:szCs w:val="20"/>
              </w:rPr>
              <w:t>PRESCRIPTOR</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CENTRO COMERCIAL UNICENTRO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AVENIDA PANAMERICANA CALLE 12</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MORASURCO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CALLE 20 #  42-34   </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LOCAL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METRO UNICENTRO PASTO</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22 #  6-61 CENTRO COMERCIAL UNICO PASTO</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CENCOSUD (METRO)</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CENTRO COMERCIAL UNICO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22 # 6-61</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BANCOMPARTIR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62 SUR #  87B-16</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BANCOMPARTIR</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CENTRO COMERCIAL PLAZA BOMBONA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14 #  36-38</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CENTRO COMERCIAL ARAZA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16 #  22A-40</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ÉXITO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CALLE  2 # 22B-96               </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ÉXITO</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20</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20 # 27-79</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LOCAL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 SEBASTIAN DE BELALCAZAR</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26 # 19-28</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GNB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26 # 19-59</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GNB SUDAMERIS</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 SEBAST BELALCAZACAR II</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26 # 19-68</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TERMINAL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6 # 16D-50 SUR</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TERMINAL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ALKOSTO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22 # 6-28</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ALKOSTO</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PASTO I</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18 # 21A-20 - LOCAL 6 COMPLEJO BANCARIO</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BANAGRARIO</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PASTO II</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18 # 21A-20 LOCAL 6 COMPLEJO BANCARIO</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BANAGRARIO</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VISIONAMOS JURISCOOP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19 # 25-34</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VISIONAMOS</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BANCOOMEVA PASTO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12 ENTRE CARRERA 35 Y 36</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BANCOOMEVA</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HELM BANK PASTO PRINCIPAL</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19 # 24 - 48</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ITAU</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HELM BANK VALLE ATRIZ</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42 # 18A - 48 LOCAL 126</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ITAU</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ALKOSTO CENTRO</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19 # 28-89</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LOCAL COMERCIAL</w:t>
            </w:r>
          </w:p>
        </w:tc>
      </w:tr>
      <w:tr w:rsidR="00FE506B" w:rsidTr="00B57792">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CENTRO COMERCIAL VALLE DE ATRIZ </w:t>
            </w:r>
          </w:p>
        </w:tc>
        <w:tc>
          <w:tcPr>
            <w:tcW w:w="2831"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41 # 18A-50</w:t>
            </w:r>
          </w:p>
        </w:tc>
        <w:tc>
          <w:tcPr>
            <w:tcW w:w="2832" w:type="dxa"/>
            <w:vAlign w:val="bottom"/>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LOCAL COMERCIAL</w:t>
            </w:r>
          </w:p>
        </w:tc>
      </w:tr>
    </w:tbl>
    <w:p w:rsidR="00FE506B" w:rsidRDefault="00FE506B" w:rsidP="00FE506B">
      <w:pPr>
        <w:shd w:val="clear" w:color="auto" w:fill="FFFFFF"/>
        <w:spacing w:after="0" w:line="240" w:lineRule="auto"/>
        <w:jc w:val="both"/>
        <w:rPr>
          <w:rFonts w:ascii="Century Gothic" w:eastAsia="Century Gothic" w:hAnsi="Century Gothic" w:cs="Century Gothic"/>
          <w:color w:val="222222"/>
          <w:u w:val="single"/>
        </w:rPr>
      </w:pPr>
    </w:p>
    <w:p w:rsidR="00FE506B" w:rsidRDefault="00FE506B" w:rsidP="00FE506B">
      <w:pPr>
        <w:shd w:val="clear" w:color="auto" w:fill="FFFFFF"/>
        <w:spacing w:after="0" w:line="240" w:lineRule="auto"/>
        <w:jc w:val="center"/>
        <w:rPr>
          <w:rFonts w:ascii="Century Gothic" w:eastAsia="Century Gothic" w:hAnsi="Century Gothic" w:cs="Century Gothic"/>
          <w:b/>
          <w:color w:val="222222"/>
          <w:u w:val="single"/>
        </w:rPr>
      </w:pPr>
      <w:r>
        <w:rPr>
          <w:rFonts w:ascii="Century Gothic" w:eastAsia="Century Gothic" w:hAnsi="Century Gothic" w:cs="Century Gothic"/>
          <w:b/>
          <w:color w:val="222222"/>
          <w:u w:val="single"/>
        </w:rPr>
        <w:t>PUNTOS MOVILRED.</w:t>
      </w:r>
    </w:p>
    <w:p w:rsidR="00FE506B" w:rsidRDefault="00FE506B" w:rsidP="00FE506B">
      <w:pPr>
        <w:shd w:val="clear" w:color="auto" w:fill="FFFFFF"/>
        <w:spacing w:after="0" w:line="240" w:lineRule="auto"/>
        <w:jc w:val="both"/>
        <w:rPr>
          <w:rFonts w:ascii="Century Gothic" w:eastAsia="Century Gothic" w:hAnsi="Century Gothic" w:cs="Century Gothic"/>
          <w:color w:val="222222"/>
          <w:u w:val="single"/>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43"/>
        <w:gridCol w:w="1972"/>
        <w:gridCol w:w="1290"/>
      </w:tblGrid>
      <w:tr w:rsidR="00FE506B" w:rsidTr="00B57792">
        <w:trPr>
          <w:trHeight w:val="776"/>
        </w:trPr>
        <w:tc>
          <w:tcPr>
            <w:tcW w:w="2689" w:type="dxa"/>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NOMBRE LOCAL/ESTABLECIMIENTO</w:t>
            </w:r>
          </w:p>
          <w:p w:rsidR="00FE506B" w:rsidRDefault="00FE506B" w:rsidP="00B57792">
            <w:pPr>
              <w:jc w:val="both"/>
              <w:rPr>
                <w:rFonts w:ascii="Century Gothic" w:eastAsia="Century Gothic" w:hAnsi="Century Gothic" w:cs="Century Gothic"/>
                <w:color w:val="222222"/>
                <w:sz w:val="20"/>
                <w:szCs w:val="20"/>
                <w:u w:val="single"/>
              </w:rPr>
            </w:pPr>
          </w:p>
        </w:tc>
        <w:tc>
          <w:tcPr>
            <w:tcW w:w="2543" w:type="dxa"/>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DIRECCION</w:t>
            </w:r>
          </w:p>
          <w:p w:rsidR="00FE506B" w:rsidRDefault="00FE506B" w:rsidP="00B57792">
            <w:pPr>
              <w:jc w:val="both"/>
              <w:rPr>
                <w:rFonts w:ascii="Century Gothic" w:eastAsia="Century Gothic" w:hAnsi="Century Gothic" w:cs="Century Gothic"/>
                <w:color w:val="222222"/>
                <w:sz w:val="20"/>
                <w:szCs w:val="20"/>
                <w:u w:val="single"/>
              </w:rPr>
            </w:pPr>
          </w:p>
        </w:tc>
        <w:tc>
          <w:tcPr>
            <w:tcW w:w="1972" w:type="dxa"/>
            <w:vAlign w:val="center"/>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TIPO NEGOCIO</w:t>
            </w:r>
          </w:p>
        </w:tc>
        <w:tc>
          <w:tcPr>
            <w:tcW w:w="1290" w:type="dxa"/>
            <w:vAlign w:val="center"/>
          </w:tcPr>
          <w:p w:rsidR="00FE506B" w:rsidRDefault="00FE506B" w:rsidP="00B5779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BARRIO</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MARCELA INTERMAX</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 12 NO 16 A 31</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Centros de Telecomunicaciones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AVENIDA BOYACA</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DROGUERIA UNO A</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CALLE::::0::0::0::18::0::0::0::41::::::</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Droguerías, farmacias y misceláneas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 GRANADA</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MULTIPAGAS UNICENTRO PASTO</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 11 No 34 - 78</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Bancos, Pagos-Recaudos,</w:t>
            </w:r>
            <w:r w:rsidR="00030928">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Cor.fin y seguros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AURORA</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MULTIPAGAS CENTRO PASTO</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 19 No 25 - 77 LOCAL 101</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Bancos, Pagos-Recaudos,</w:t>
            </w:r>
            <w:r w:rsidR="00030928">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Cor.fin y seguros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MANHATTAN</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MULTIPAGAS UNICO PASTO CC UNICO LOCAL B 15</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 22 No 6 - 61</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Bancos, Pagos-Recaudos,</w:t>
            </w:r>
            <w:r w:rsidR="00030928">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Cor.fin y seguros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CENTRO</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CB SERVIBERNAL</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CARRERA 26 No 10 - 56</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Droguerías, farmacias y misceláneas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SAN FELIPE</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MEGAGIROS No 8</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 16 No 22A   40 CENTRO COMERCIAL ARAZA LOCAL 118</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Otros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CENTRO</w:t>
            </w:r>
          </w:p>
        </w:tc>
      </w:tr>
      <w:tr w:rsidR="00FE506B" w:rsidTr="00B57792">
        <w:tc>
          <w:tcPr>
            <w:tcW w:w="2689"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CB CAFE INTERNET COMUNICACIONES STIVEN</w:t>
            </w:r>
          </w:p>
        </w:tc>
        <w:tc>
          <w:tcPr>
            <w:tcW w:w="2543"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CARRERA 13 NO 20 - 85</w:t>
            </w:r>
          </w:p>
        </w:tc>
        <w:tc>
          <w:tcPr>
            <w:tcW w:w="1972"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Centros de telecomunicaciones</w:t>
            </w:r>
          </w:p>
        </w:tc>
        <w:tc>
          <w:tcPr>
            <w:tcW w:w="1290" w:type="dxa"/>
            <w:vAlign w:val="center"/>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RECUERDO</w:t>
            </w:r>
          </w:p>
        </w:tc>
      </w:tr>
      <w:tr w:rsidR="00FE506B" w:rsidTr="00B57792">
        <w:tc>
          <w:tcPr>
            <w:tcW w:w="2689" w:type="dxa"/>
            <w:vAlign w:val="bottom"/>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CB REVAL PASTO </w:t>
            </w:r>
          </w:p>
        </w:tc>
        <w:tc>
          <w:tcPr>
            <w:tcW w:w="2543" w:type="dxa"/>
            <w:vAlign w:val="bottom"/>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CALLE 17 No 25 - 60 LOCAL 228 Pasto C.C. EL LICEO</w:t>
            </w:r>
          </w:p>
        </w:tc>
        <w:tc>
          <w:tcPr>
            <w:tcW w:w="1972" w:type="dxa"/>
            <w:vAlign w:val="bottom"/>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Bancos, Pagos-Recaudos,</w:t>
            </w:r>
            <w:r w:rsidR="00030928">
              <w:rPr>
                <w:rFonts w:ascii="Century Gothic" w:eastAsia="Century Gothic" w:hAnsi="Century Gothic" w:cs="Century Gothic"/>
                <w:color w:val="000000"/>
                <w:sz w:val="20"/>
                <w:szCs w:val="20"/>
              </w:rPr>
              <w:t xml:space="preserve"> Cor.</w:t>
            </w:r>
            <w:r>
              <w:rPr>
                <w:rFonts w:ascii="Century Gothic" w:eastAsia="Century Gothic" w:hAnsi="Century Gothic" w:cs="Century Gothic"/>
                <w:color w:val="000000"/>
                <w:sz w:val="20"/>
                <w:szCs w:val="20"/>
              </w:rPr>
              <w:t>fin y seguros</w:t>
            </w:r>
          </w:p>
        </w:tc>
        <w:tc>
          <w:tcPr>
            <w:tcW w:w="1290" w:type="dxa"/>
            <w:vAlign w:val="bottom"/>
          </w:tcPr>
          <w:p w:rsidR="00FE506B" w:rsidRDefault="00FE506B" w:rsidP="00B5779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CENTRO</w:t>
            </w:r>
          </w:p>
        </w:tc>
      </w:tr>
    </w:tbl>
    <w:p w:rsidR="00FE506B" w:rsidRDefault="00FE506B" w:rsidP="00FE506B">
      <w:pPr>
        <w:shd w:val="clear" w:color="auto" w:fill="FFFFFF"/>
        <w:spacing w:after="0" w:line="240" w:lineRule="auto"/>
        <w:jc w:val="both"/>
        <w:rPr>
          <w:rFonts w:ascii="Century Gothic" w:eastAsia="Century Gothic" w:hAnsi="Century Gothic" w:cs="Century Gothic"/>
          <w:color w:val="222222"/>
          <w:u w:val="single"/>
        </w:rPr>
      </w:pPr>
    </w:p>
    <w:p w:rsidR="00FE506B" w:rsidRDefault="00FE506B" w:rsidP="00FE506B">
      <w:pPr>
        <w:shd w:val="clear" w:color="auto" w:fill="FFFFFF"/>
        <w:spacing w:after="0" w:line="240" w:lineRule="auto"/>
        <w:jc w:val="center"/>
        <w:rPr>
          <w:rFonts w:ascii="Century Gothic" w:eastAsia="Century Gothic" w:hAnsi="Century Gothic" w:cs="Century Gothic"/>
          <w:b/>
          <w:color w:val="222222"/>
          <w:u w:val="single"/>
        </w:rPr>
      </w:pPr>
      <w:r>
        <w:rPr>
          <w:rFonts w:ascii="Century Gothic" w:eastAsia="Century Gothic" w:hAnsi="Century Gothic" w:cs="Century Gothic"/>
          <w:b/>
          <w:color w:val="222222"/>
          <w:u w:val="single"/>
        </w:rPr>
        <w:t>CORRESPONSALES ETB.</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252"/>
      </w:tblGrid>
      <w:tr w:rsidR="00FE506B" w:rsidTr="00B57792">
        <w:tc>
          <w:tcPr>
            <w:tcW w:w="4248" w:type="dxa"/>
            <w:vAlign w:val="center"/>
          </w:tcPr>
          <w:p w:rsidR="00FE506B" w:rsidRDefault="00FE506B" w:rsidP="00B57792">
            <w:pPr>
              <w:jc w:val="both"/>
              <w:rPr>
                <w:rFonts w:ascii="Century Gothic" w:eastAsia="Century Gothic" w:hAnsi="Century Gothic" w:cs="Century Gothic"/>
              </w:rPr>
            </w:pPr>
            <w:r>
              <w:rPr>
                <w:rFonts w:ascii="Century Gothic" w:eastAsia="Century Gothic" w:hAnsi="Century Gothic" w:cs="Century Gothic"/>
              </w:rPr>
              <w:t>NOMBRE LOCAL/ESTABLECIMIENTO</w:t>
            </w:r>
          </w:p>
        </w:tc>
        <w:tc>
          <w:tcPr>
            <w:tcW w:w="4252" w:type="dxa"/>
            <w:vAlign w:val="center"/>
          </w:tcPr>
          <w:p w:rsidR="00FE506B" w:rsidRDefault="00FE506B" w:rsidP="00B57792">
            <w:pPr>
              <w:jc w:val="both"/>
              <w:rPr>
                <w:rFonts w:ascii="Century Gothic" w:eastAsia="Century Gothic" w:hAnsi="Century Gothic" w:cs="Century Gothic"/>
              </w:rPr>
            </w:pPr>
            <w:r>
              <w:rPr>
                <w:rFonts w:ascii="Century Gothic" w:eastAsia="Century Gothic" w:hAnsi="Century Gothic" w:cs="Century Gothic"/>
              </w:rPr>
              <w:t>DIRECCION</w:t>
            </w:r>
          </w:p>
        </w:tc>
      </w:tr>
      <w:tr w:rsidR="00FE506B" w:rsidTr="00B57792">
        <w:tc>
          <w:tcPr>
            <w:tcW w:w="4248" w:type="dxa"/>
            <w:vAlign w:val="center"/>
          </w:tcPr>
          <w:p w:rsidR="00FE506B" w:rsidRDefault="00FE506B" w:rsidP="00B57792">
            <w:pPr>
              <w:jc w:val="both"/>
              <w:rPr>
                <w:rFonts w:ascii="Century Gothic" w:eastAsia="Century Gothic" w:hAnsi="Century Gothic" w:cs="Century Gothic"/>
                <w:color w:val="000000"/>
              </w:rPr>
            </w:pPr>
            <w:r>
              <w:rPr>
                <w:rFonts w:ascii="Century Gothic" w:eastAsia="Century Gothic" w:hAnsi="Century Gothic" w:cs="Century Gothic"/>
                <w:color w:val="000000"/>
              </w:rPr>
              <w:t>Cooperativa Multiactiva Del Mercado Potrerillo</w:t>
            </w:r>
          </w:p>
        </w:tc>
        <w:tc>
          <w:tcPr>
            <w:tcW w:w="4252" w:type="dxa"/>
            <w:vAlign w:val="center"/>
          </w:tcPr>
          <w:p w:rsidR="00FE506B" w:rsidRDefault="00FE506B" w:rsidP="00B57792">
            <w:pPr>
              <w:jc w:val="both"/>
              <w:rPr>
                <w:rFonts w:ascii="Century Gothic" w:eastAsia="Century Gothic" w:hAnsi="Century Gothic" w:cs="Century Gothic"/>
                <w:color w:val="000000"/>
              </w:rPr>
            </w:pPr>
            <w:r>
              <w:rPr>
                <w:rFonts w:ascii="Century Gothic" w:eastAsia="Century Gothic" w:hAnsi="Century Gothic" w:cs="Century Gothic"/>
                <w:color w:val="000000"/>
              </w:rPr>
              <w:t>Calle Principal Sector Bodegas Unidas De Mercado</w:t>
            </w:r>
            <w:r w:rsidR="005A024A">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 junto a la </w:t>
            </w:r>
            <w:r w:rsidR="005A024A">
              <w:rPr>
                <w:rFonts w:ascii="Century Gothic" w:eastAsia="Century Gothic" w:hAnsi="Century Gothic" w:cs="Century Gothic"/>
                <w:color w:val="000000"/>
              </w:rPr>
              <w:t>terminal no</w:t>
            </w:r>
            <w:r>
              <w:rPr>
                <w:rFonts w:ascii="Century Gothic" w:eastAsia="Century Gothic" w:hAnsi="Century Gothic" w:cs="Century Gothic"/>
                <w:color w:val="000000"/>
              </w:rPr>
              <w:t xml:space="preserve"> tienen Dirección. </w:t>
            </w:r>
          </w:p>
        </w:tc>
      </w:tr>
      <w:tr w:rsidR="00FE506B" w:rsidTr="00B57792">
        <w:tc>
          <w:tcPr>
            <w:tcW w:w="4248" w:type="dxa"/>
            <w:vAlign w:val="center"/>
          </w:tcPr>
          <w:p w:rsidR="00FE506B" w:rsidRDefault="005A024A" w:rsidP="00B57792">
            <w:pPr>
              <w:jc w:val="both"/>
              <w:rPr>
                <w:rFonts w:ascii="Century Gothic" w:eastAsia="Century Gothic" w:hAnsi="Century Gothic" w:cs="Century Gothic"/>
                <w:color w:val="000000"/>
              </w:rPr>
            </w:pPr>
            <w:r>
              <w:rPr>
                <w:rFonts w:ascii="Century Gothic" w:eastAsia="Century Gothic" w:hAnsi="Century Gothic" w:cs="Century Gothic"/>
                <w:color w:val="000000"/>
              </w:rPr>
              <w:t>Miscelanea La E</w:t>
            </w:r>
            <w:r w:rsidR="00FE506B">
              <w:rPr>
                <w:rFonts w:ascii="Century Gothic" w:eastAsia="Century Gothic" w:hAnsi="Century Gothic" w:cs="Century Gothic"/>
                <w:color w:val="000000"/>
              </w:rPr>
              <w:t>smeralda</w:t>
            </w:r>
          </w:p>
        </w:tc>
        <w:tc>
          <w:tcPr>
            <w:tcW w:w="4252" w:type="dxa"/>
            <w:vAlign w:val="center"/>
          </w:tcPr>
          <w:p w:rsidR="00FE506B" w:rsidRDefault="00FE506B" w:rsidP="00B57792">
            <w:pPr>
              <w:jc w:val="both"/>
              <w:rPr>
                <w:rFonts w:ascii="Century Gothic" w:eastAsia="Century Gothic" w:hAnsi="Century Gothic" w:cs="Century Gothic"/>
                <w:color w:val="000000"/>
              </w:rPr>
            </w:pPr>
            <w:r>
              <w:rPr>
                <w:rFonts w:ascii="Century Gothic" w:eastAsia="Century Gothic" w:hAnsi="Century Gothic" w:cs="Century Gothic"/>
                <w:color w:val="000000"/>
              </w:rPr>
              <w:t>Terminal de transporte local 120</w:t>
            </w:r>
          </w:p>
        </w:tc>
      </w:tr>
    </w:tbl>
    <w:p w:rsidR="00FE506B" w:rsidRDefault="00FE506B" w:rsidP="00FE506B">
      <w:pPr>
        <w:shd w:val="clear" w:color="auto" w:fill="FFFFFF"/>
        <w:spacing w:after="0" w:line="240" w:lineRule="auto"/>
        <w:ind w:left="720"/>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jc w:val="both"/>
        <w:rPr>
          <w:rFonts w:ascii="Century Gothic" w:eastAsia="Century Gothic" w:hAnsi="Century Gothic" w:cs="Century Gothic"/>
          <w:color w:val="222222"/>
        </w:rPr>
      </w:pPr>
      <w:r>
        <w:rPr>
          <w:rFonts w:ascii="Century Gothic" w:eastAsia="Century Gothic" w:hAnsi="Century Gothic" w:cs="Century Gothic"/>
          <w:color w:val="222222"/>
        </w:rPr>
        <w:t> </w:t>
      </w:r>
    </w:p>
    <w:p w:rsidR="00FE506B" w:rsidRDefault="00FE506B" w:rsidP="00FE506B">
      <w:pPr>
        <w:shd w:val="clear" w:color="auto" w:fill="FFFFFF"/>
        <w:spacing w:after="0" w:line="240" w:lineRule="auto"/>
        <w:rPr>
          <w:rFonts w:ascii="Century Gothic" w:eastAsia="Century Gothic" w:hAnsi="Century Gothic" w:cs="Century Gothic"/>
          <w:color w:val="222222"/>
        </w:rPr>
      </w:pPr>
    </w:p>
    <w:p w:rsidR="00FE506B" w:rsidRDefault="00FE506B" w:rsidP="00FE506B">
      <w:pPr>
        <w:shd w:val="clear" w:color="auto" w:fill="FFFFFF"/>
        <w:spacing w:before="280" w:line="240" w:lineRule="auto"/>
        <w:jc w:val="both"/>
        <w:rPr>
          <w:rFonts w:ascii="Century Gothic" w:eastAsia="Century Gothic" w:hAnsi="Century Gothic" w:cs="Century Gothic"/>
          <w:color w:val="222222"/>
        </w:rPr>
      </w:pPr>
      <w:bookmarkStart w:id="1" w:name="_gjdgxs" w:colFirst="0" w:colLast="0"/>
      <w:bookmarkEnd w:id="1"/>
      <w:r>
        <w:rPr>
          <w:rFonts w:ascii="Century Gothic" w:eastAsia="Century Gothic" w:hAnsi="Century Gothic" w:cs="Century Gothic"/>
          <w:noProof/>
          <w:color w:val="222222"/>
        </w:rPr>
        <w:drawing>
          <wp:inline distT="0" distB="0" distL="0" distR="0" wp14:anchorId="4D87BC7E" wp14:editId="6B571865">
            <wp:extent cx="1881285" cy="1410128"/>
            <wp:effectExtent l="0" t="0" r="0" b="0"/>
            <wp:docPr id="1" name="image1.png" descr="C:\Users\M\Downloads\verificacion (2) (1).jpg"/>
            <wp:cNvGraphicFramePr/>
            <a:graphic xmlns:a="http://schemas.openxmlformats.org/drawingml/2006/main">
              <a:graphicData uri="http://schemas.openxmlformats.org/drawingml/2006/picture">
                <pic:pic xmlns:pic="http://schemas.openxmlformats.org/drawingml/2006/picture">
                  <pic:nvPicPr>
                    <pic:cNvPr id="0" name="image1.png" descr="C:\Users\M\Downloads\verificacion (2) (1).jpg"/>
                    <pic:cNvPicPr preferRelativeResize="0"/>
                  </pic:nvPicPr>
                  <pic:blipFill>
                    <a:blip r:embed="rId9"/>
                    <a:srcRect/>
                    <a:stretch>
                      <a:fillRect/>
                    </a:stretch>
                  </pic:blipFill>
                  <pic:spPr>
                    <a:xfrm>
                      <a:off x="0" y="0"/>
                      <a:ext cx="1881285" cy="1410128"/>
                    </a:xfrm>
                    <a:prstGeom prst="rect">
                      <a:avLst/>
                    </a:prstGeom>
                    <a:ln/>
                  </pic:spPr>
                </pic:pic>
              </a:graphicData>
            </a:graphic>
          </wp:inline>
        </w:drawing>
      </w:r>
      <w:r>
        <w:rPr>
          <w:rFonts w:ascii="Century Gothic" w:eastAsia="Century Gothic" w:hAnsi="Century Gothic" w:cs="Century Gothic"/>
          <w:color w:val="222222"/>
        </w:rPr>
        <w:t xml:space="preserve">                                            </w:t>
      </w:r>
      <w:r>
        <w:rPr>
          <w:rFonts w:ascii="Century Gothic" w:eastAsia="Century Gothic" w:hAnsi="Century Gothic" w:cs="Century Gothic"/>
          <w:noProof/>
          <w:color w:val="222222"/>
        </w:rPr>
        <w:drawing>
          <wp:inline distT="0" distB="0" distL="0" distR="0" wp14:anchorId="3C162B59" wp14:editId="3989BD30">
            <wp:extent cx="1877115" cy="1504917"/>
            <wp:effectExtent l="0" t="0" r="0" b="0"/>
            <wp:docPr id="2" name="image2.png" descr="C:\Users\M\Downloads\CONTACTOS BANCO AGRARIO (1).jpeg"/>
            <wp:cNvGraphicFramePr/>
            <a:graphic xmlns:a="http://schemas.openxmlformats.org/drawingml/2006/main">
              <a:graphicData uri="http://schemas.openxmlformats.org/drawingml/2006/picture">
                <pic:pic xmlns:pic="http://schemas.openxmlformats.org/drawingml/2006/picture">
                  <pic:nvPicPr>
                    <pic:cNvPr id="0" name="image2.png" descr="C:\Users\M\Downloads\CONTACTOS BANCO AGRARIO (1).jpeg"/>
                    <pic:cNvPicPr preferRelativeResize="0"/>
                  </pic:nvPicPr>
                  <pic:blipFill>
                    <a:blip r:embed="rId10"/>
                    <a:srcRect/>
                    <a:stretch>
                      <a:fillRect/>
                    </a:stretch>
                  </pic:blipFill>
                  <pic:spPr>
                    <a:xfrm>
                      <a:off x="0" y="0"/>
                      <a:ext cx="1877115" cy="1504917"/>
                    </a:xfrm>
                    <a:prstGeom prst="rect">
                      <a:avLst/>
                    </a:prstGeom>
                    <a:ln/>
                  </pic:spPr>
                </pic:pic>
              </a:graphicData>
            </a:graphic>
          </wp:inline>
        </w:drawing>
      </w:r>
    </w:p>
    <w:p w:rsidR="005F3ACC" w:rsidRPr="005F3ACC" w:rsidRDefault="005F3ACC" w:rsidP="00FE506B">
      <w:pPr>
        <w:shd w:val="clear" w:color="auto" w:fill="FFFFFF"/>
        <w:spacing w:after="0" w:line="240" w:lineRule="auto"/>
        <w:jc w:val="both"/>
        <w:rPr>
          <w:rFonts w:ascii="Arial" w:eastAsia="Times New Roman" w:hAnsi="Arial" w:cs="Arial"/>
          <w:color w:val="222222"/>
          <w:sz w:val="24"/>
          <w:szCs w:val="24"/>
          <w:shd w:val="clear" w:color="auto" w:fill="FFFFFF"/>
          <w:lang w:val="es-CO" w:eastAsia="es-CO"/>
        </w:rPr>
      </w:pPr>
    </w:p>
    <w:sectPr w:rsidR="005F3ACC" w:rsidRPr="005F3ACC" w:rsidSect="00E935D5">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79" w:rsidRDefault="00E61879" w:rsidP="00E53254">
      <w:pPr>
        <w:spacing w:after="0" w:line="240" w:lineRule="auto"/>
      </w:pPr>
      <w:r>
        <w:separator/>
      </w:r>
    </w:p>
  </w:endnote>
  <w:endnote w:type="continuationSeparator" w:id="0">
    <w:p w:rsidR="00E61879" w:rsidRDefault="00E6187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79" w:rsidRDefault="00E61879" w:rsidP="00E53254">
      <w:pPr>
        <w:spacing w:after="0" w:line="240" w:lineRule="auto"/>
      </w:pPr>
      <w:r>
        <w:separator/>
      </w:r>
    </w:p>
  </w:footnote>
  <w:footnote w:type="continuationSeparator" w:id="0">
    <w:p w:rsidR="00E61879" w:rsidRDefault="00E6187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1919E6"/>
    <w:multiLevelType w:val="multilevel"/>
    <w:tmpl w:val="8FBA46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7">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6E3DB8"/>
    <w:multiLevelType w:val="hybridMultilevel"/>
    <w:tmpl w:val="147A0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3"/>
  </w:num>
  <w:num w:numId="4">
    <w:abstractNumId w:val="25"/>
  </w:num>
  <w:num w:numId="5">
    <w:abstractNumId w:val="29"/>
  </w:num>
  <w:num w:numId="6">
    <w:abstractNumId w:val="24"/>
  </w:num>
  <w:num w:numId="7">
    <w:abstractNumId w:val="17"/>
  </w:num>
  <w:num w:numId="8">
    <w:abstractNumId w:val="3"/>
  </w:num>
  <w:num w:numId="9">
    <w:abstractNumId w:val="28"/>
  </w:num>
  <w:num w:numId="10">
    <w:abstractNumId w:val="1"/>
  </w:num>
  <w:num w:numId="11">
    <w:abstractNumId w:val="14"/>
  </w:num>
  <w:num w:numId="12">
    <w:abstractNumId w:val="26"/>
  </w:num>
  <w:num w:numId="13">
    <w:abstractNumId w:val="20"/>
  </w:num>
  <w:num w:numId="14">
    <w:abstractNumId w:val="21"/>
  </w:num>
  <w:num w:numId="15">
    <w:abstractNumId w:val="13"/>
  </w:num>
  <w:num w:numId="16">
    <w:abstractNumId w:val="30"/>
  </w:num>
  <w:num w:numId="17">
    <w:abstractNumId w:val="6"/>
  </w:num>
  <w:num w:numId="18">
    <w:abstractNumId w:val="22"/>
  </w:num>
  <w:num w:numId="19">
    <w:abstractNumId w:val="31"/>
  </w:num>
  <w:num w:numId="20">
    <w:abstractNumId w:val="2"/>
  </w:num>
  <w:num w:numId="21">
    <w:abstractNumId w:val="35"/>
  </w:num>
  <w:num w:numId="22">
    <w:abstractNumId w:val="5"/>
  </w:num>
  <w:num w:numId="23">
    <w:abstractNumId w:val="9"/>
  </w:num>
  <w:num w:numId="24">
    <w:abstractNumId w:val="4"/>
  </w:num>
  <w:num w:numId="25">
    <w:abstractNumId w:val="23"/>
  </w:num>
  <w:num w:numId="26">
    <w:abstractNumId w:val="7"/>
  </w:num>
  <w:num w:numId="27">
    <w:abstractNumId w:val="0"/>
  </w:num>
  <w:num w:numId="28">
    <w:abstractNumId w:val="19"/>
  </w:num>
  <w:num w:numId="29">
    <w:abstractNumId w:val="32"/>
  </w:num>
  <w:num w:numId="30">
    <w:abstractNumId w:val="12"/>
  </w:num>
  <w:num w:numId="31">
    <w:abstractNumId w:val="16"/>
  </w:num>
  <w:num w:numId="32">
    <w:abstractNumId w:val="27"/>
  </w:num>
  <w:num w:numId="33">
    <w:abstractNumId w:val="15"/>
  </w:num>
  <w:num w:numId="34">
    <w:abstractNumId w:val="8"/>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0928"/>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A6F91"/>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D7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24A"/>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0485"/>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472D"/>
    <w:rsid w:val="00A55115"/>
    <w:rsid w:val="00A7647B"/>
    <w:rsid w:val="00A767D3"/>
    <w:rsid w:val="00A8440E"/>
    <w:rsid w:val="00A85917"/>
    <w:rsid w:val="00A85D6F"/>
    <w:rsid w:val="00A86883"/>
    <w:rsid w:val="00A92384"/>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5D5"/>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1879"/>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E506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2393">
      <w:bodyDiv w:val="1"/>
      <w:marLeft w:val="0"/>
      <w:marRight w:val="0"/>
      <w:marTop w:val="0"/>
      <w:marBottom w:val="0"/>
      <w:divBdr>
        <w:top w:val="none" w:sz="0" w:space="0" w:color="auto"/>
        <w:left w:val="none" w:sz="0" w:space="0" w:color="auto"/>
        <w:bottom w:val="none" w:sz="0" w:space="0" w:color="auto"/>
        <w:right w:val="none" w:sz="0" w:space="0" w:color="auto"/>
      </w:divBdr>
      <w:divsChild>
        <w:div w:id="2089688023">
          <w:marLeft w:val="0"/>
          <w:marRight w:val="0"/>
          <w:marTop w:val="0"/>
          <w:marBottom w:val="0"/>
          <w:divBdr>
            <w:top w:val="none" w:sz="0" w:space="0" w:color="auto"/>
            <w:left w:val="none" w:sz="0" w:space="0" w:color="auto"/>
            <w:bottom w:val="none" w:sz="0" w:space="0" w:color="auto"/>
            <w:right w:val="none" w:sz="0" w:space="0" w:color="auto"/>
          </w:divBdr>
        </w:div>
        <w:div w:id="78987480">
          <w:marLeft w:val="0"/>
          <w:marRight w:val="0"/>
          <w:marTop w:val="0"/>
          <w:marBottom w:val="0"/>
          <w:divBdr>
            <w:top w:val="none" w:sz="0" w:space="0" w:color="auto"/>
            <w:left w:val="none" w:sz="0" w:space="0" w:color="auto"/>
            <w:bottom w:val="none" w:sz="0" w:space="0" w:color="auto"/>
            <w:right w:val="none" w:sz="0" w:space="0" w:color="auto"/>
          </w:divBdr>
        </w:div>
        <w:div w:id="1177309654">
          <w:marLeft w:val="0"/>
          <w:marRight w:val="0"/>
          <w:marTop w:val="0"/>
          <w:marBottom w:val="0"/>
          <w:divBdr>
            <w:top w:val="none" w:sz="0" w:space="0" w:color="auto"/>
            <w:left w:val="none" w:sz="0" w:space="0" w:color="auto"/>
            <w:bottom w:val="none" w:sz="0" w:space="0" w:color="auto"/>
            <w:right w:val="none" w:sz="0" w:space="0" w:color="auto"/>
          </w:divBdr>
        </w:div>
        <w:div w:id="380249785">
          <w:marLeft w:val="0"/>
          <w:marRight w:val="0"/>
          <w:marTop w:val="0"/>
          <w:marBottom w:val="0"/>
          <w:divBdr>
            <w:top w:val="none" w:sz="0" w:space="0" w:color="auto"/>
            <w:left w:val="none" w:sz="0" w:space="0" w:color="auto"/>
            <w:bottom w:val="none" w:sz="0" w:space="0" w:color="auto"/>
            <w:right w:val="none" w:sz="0" w:space="0" w:color="auto"/>
          </w:divBdr>
        </w:div>
        <w:div w:id="567767554">
          <w:marLeft w:val="0"/>
          <w:marRight w:val="0"/>
          <w:marTop w:val="0"/>
          <w:marBottom w:val="0"/>
          <w:divBdr>
            <w:top w:val="none" w:sz="0" w:space="0" w:color="auto"/>
            <w:left w:val="none" w:sz="0" w:space="0" w:color="auto"/>
            <w:bottom w:val="none" w:sz="0" w:space="0" w:color="auto"/>
            <w:right w:val="none" w:sz="0" w:space="0" w:color="auto"/>
          </w:divBdr>
        </w:div>
        <w:div w:id="1546596504">
          <w:marLeft w:val="0"/>
          <w:marRight w:val="0"/>
          <w:marTop w:val="0"/>
          <w:marBottom w:val="0"/>
          <w:divBdr>
            <w:top w:val="none" w:sz="0" w:space="0" w:color="auto"/>
            <w:left w:val="none" w:sz="0" w:space="0" w:color="auto"/>
            <w:bottom w:val="none" w:sz="0" w:space="0" w:color="auto"/>
            <w:right w:val="none" w:sz="0" w:space="0" w:color="auto"/>
          </w:divBdr>
        </w:div>
        <w:div w:id="1020425469">
          <w:marLeft w:val="0"/>
          <w:marRight w:val="0"/>
          <w:marTop w:val="0"/>
          <w:marBottom w:val="0"/>
          <w:divBdr>
            <w:top w:val="none" w:sz="0" w:space="0" w:color="auto"/>
            <w:left w:val="none" w:sz="0" w:space="0" w:color="auto"/>
            <w:bottom w:val="none" w:sz="0" w:space="0" w:color="auto"/>
            <w:right w:val="none" w:sz="0" w:space="0" w:color="auto"/>
          </w:divBdr>
        </w:div>
        <w:div w:id="979457894">
          <w:marLeft w:val="0"/>
          <w:marRight w:val="0"/>
          <w:marTop w:val="0"/>
          <w:marBottom w:val="0"/>
          <w:divBdr>
            <w:top w:val="none" w:sz="0" w:space="0" w:color="auto"/>
            <w:left w:val="none" w:sz="0" w:space="0" w:color="auto"/>
            <w:bottom w:val="none" w:sz="0" w:space="0" w:color="auto"/>
            <w:right w:val="none" w:sz="0" w:space="0" w:color="auto"/>
          </w:divBdr>
        </w:div>
        <w:div w:id="8020977">
          <w:marLeft w:val="0"/>
          <w:marRight w:val="0"/>
          <w:marTop w:val="0"/>
          <w:marBottom w:val="0"/>
          <w:divBdr>
            <w:top w:val="none" w:sz="0" w:space="0" w:color="auto"/>
            <w:left w:val="none" w:sz="0" w:space="0" w:color="auto"/>
            <w:bottom w:val="none" w:sz="0" w:space="0" w:color="auto"/>
            <w:right w:val="none" w:sz="0" w:space="0" w:color="auto"/>
          </w:divBdr>
        </w:div>
        <w:div w:id="1048183849">
          <w:marLeft w:val="0"/>
          <w:marRight w:val="0"/>
          <w:marTop w:val="0"/>
          <w:marBottom w:val="0"/>
          <w:divBdr>
            <w:top w:val="none" w:sz="0" w:space="0" w:color="auto"/>
            <w:left w:val="none" w:sz="0" w:space="0" w:color="auto"/>
            <w:bottom w:val="none" w:sz="0" w:space="0" w:color="auto"/>
            <w:right w:val="none" w:sz="0" w:space="0" w:color="auto"/>
          </w:divBdr>
        </w:div>
        <w:div w:id="380635500">
          <w:marLeft w:val="0"/>
          <w:marRight w:val="0"/>
          <w:marTop w:val="0"/>
          <w:marBottom w:val="0"/>
          <w:divBdr>
            <w:top w:val="none" w:sz="0" w:space="0" w:color="auto"/>
            <w:left w:val="none" w:sz="0" w:space="0" w:color="auto"/>
            <w:bottom w:val="none" w:sz="0" w:space="0" w:color="auto"/>
            <w:right w:val="none" w:sz="0" w:space="0" w:color="auto"/>
          </w:divBdr>
        </w:div>
        <w:div w:id="1810854852">
          <w:marLeft w:val="0"/>
          <w:marRight w:val="0"/>
          <w:marTop w:val="0"/>
          <w:marBottom w:val="0"/>
          <w:divBdr>
            <w:top w:val="none" w:sz="0" w:space="0" w:color="auto"/>
            <w:left w:val="none" w:sz="0" w:space="0" w:color="auto"/>
            <w:bottom w:val="none" w:sz="0" w:space="0" w:color="auto"/>
            <w:right w:val="none" w:sz="0" w:space="0" w:color="auto"/>
          </w:divBdr>
        </w:div>
        <w:div w:id="1275406372">
          <w:marLeft w:val="0"/>
          <w:marRight w:val="0"/>
          <w:marTop w:val="0"/>
          <w:marBottom w:val="0"/>
          <w:divBdr>
            <w:top w:val="none" w:sz="0" w:space="0" w:color="auto"/>
            <w:left w:val="none" w:sz="0" w:space="0" w:color="auto"/>
            <w:bottom w:val="none" w:sz="0" w:space="0" w:color="auto"/>
            <w:right w:val="none" w:sz="0" w:space="0" w:color="auto"/>
          </w:divBdr>
        </w:div>
        <w:div w:id="1996296241">
          <w:marLeft w:val="0"/>
          <w:marRight w:val="0"/>
          <w:marTop w:val="0"/>
          <w:marBottom w:val="0"/>
          <w:divBdr>
            <w:top w:val="none" w:sz="0" w:space="0" w:color="auto"/>
            <w:left w:val="none" w:sz="0" w:space="0" w:color="auto"/>
            <w:bottom w:val="none" w:sz="0" w:space="0" w:color="auto"/>
            <w:right w:val="none" w:sz="0" w:space="0" w:color="auto"/>
          </w:divBdr>
        </w:div>
        <w:div w:id="716392707">
          <w:marLeft w:val="0"/>
          <w:marRight w:val="0"/>
          <w:marTop w:val="0"/>
          <w:marBottom w:val="0"/>
          <w:divBdr>
            <w:top w:val="none" w:sz="0" w:space="0" w:color="auto"/>
            <w:left w:val="none" w:sz="0" w:space="0" w:color="auto"/>
            <w:bottom w:val="none" w:sz="0" w:space="0" w:color="auto"/>
            <w:right w:val="none" w:sz="0" w:space="0" w:color="auto"/>
          </w:divBdr>
        </w:div>
        <w:div w:id="366223678">
          <w:marLeft w:val="0"/>
          <w:marRight w:val="0"/>
          <w:marTop w:val="0"/>
          <w:marBottom w:val="0"/>
          <w:divBdr>
            <w:top w:val="none" w:sz="0" w:space="0" w:color="auto"/>
            <w:left w:val="none" w:sz="0" w:space="0" w:color="auto"/>
            <w:bottom w:val="none" w:sz="0" w:space="0" w:color="auto"/>
            <w:right w:val="none" w:sz="0" w:space="0" w:color="auto"/>
          </w:divBdr>
        </w:div>
        <w:div w:id="1769887654">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giros.bancoagrario.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B03D-59F1-4E1C-9E97-C1632800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8</cp:revision>
  <cp:lastPrinted>2020-03-25T16:16:00Z</cp:lastPrinted>
  <dcterms:created xsi:type="dcterms:W3CDTF">2020-12-30T18:47:00Z</dcterms:created>
  <dcterms:modified xsi:type="dcterms:W3CDTF">2020-12-30T18:57:00Z</dcterms:modified>
</cp:coreProperties>
</file>