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F6" w:rsidRPr="007D00B8" w:rsidRDefault="005A5405" w:rsidP="002D68F6">
      <w:pPr>
        <w:ind w:left="7080" w:firstLine="708"/>
        <w:rPr>
          <w:b/>
          <w:color w:val="FFFFFF" w:themeColor="background1"/>
          <w:sz w:val="20"/>
          <w:szCs w:val="20"/>
        </w:rPr>
      </w:pPr>
      <w:r w:rsidRPr="007D00B8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-59690</wp:posOffset>
            </wp:positionH>
            <wp:positionV relativeFrom="paragraph">
              <wp:posOffset>-1250950</wp:posOffset>
            </wp:positionV>
            <wp:extent cx="8073968" cy="10514265"/>
            <wp:effectExtent l="0" t="0" r="381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968" cy="1051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7D00B8">
        <w:rPr>
          <w:b/>
          <w:color w:val="FFFFFF" w:themeColor="background1"/>
          <w:sz w:val="20"/>
          <w:szCs w:val="20"/>
        </w:rPr>
        <w:t xml:space="preserve">   </w:t>
      </w:r>
      <w:r w:rsidR="00CA6F87" w:rsidRPr="007D00B8">
        <w:rPr>
          <w:b/>
          <w:color w:val="FFFFFF" w:themeColor="background1"/>
          <w:sz w:val="20"/>
          <w:szCs w:val="20"/>
        </w:rPr>
        <w:t xml:space="preserve">   </w:t>
      </w:r>
      <w:r w:rsidR="007D00B8">
        <w:rPr>
          <w:b/>
          <w:color w:val="FFFFFF" w:themeColor="background1"/>
          <w:sz w:val="20"/>
          <w:szCs w:val="20"/>
        </w:rPr>
        <w:t xml:space="preserve">   </w:t>
      </w:r>
      <w:r w:rsidR="00F06AD2" w:rsidRPr="007D00B8">
        <w:rPr>
          <w:b/>
          <w:color w:val="FFFFFF" w:themeColor="background1"/>
          <w:sz w:val="20"/>
          <w:szCs w:val="20"/>
        </w:rPr>
        <w:t>No.</w:t>
      </w:r>
      <w:r w:rsidR="00CA6F87" w:rsidRPr="007D00B8">
        <w:rPr>
          <w:b/>
          <w:color w:val="FFFFFF" w:themeColor="background1"/>
          <w:sz w:val="20"/>
          <w:szCs w:val="20"/>
        </w:rPr>
        <w:t xml:space="preserve"> </w:t>
      </w:r>
      <w:r w:rsidR="007D00B8">
        <w:rPr>
          <w:b/>
          <w:color w:val="FFFFFF" w:themeColor="background1"/>
          <w:sz w:val="20"/>
          <w:szCs w:val="20"/>
        </w:rPr>
        <w:t>503</w:t>
      </w:r>
      <w:r w:rsidR="009D6FE9" w:rsidRPr="007D00B8">
        <w:rPr>
          <w:b/>
          <w:color w:val="FFFFFF" w:themeColor="background1"/>
          <w:sz w:val="20"/>
          <w:szCs w:val="20"/>
        </w:rPr>
        <w:t xml:space="preserve">  </w:t>
      </w:r>
    </w:p>
    <w:p w:rsidR="00EF54D8" w:rsidRPr="007D00B8" w:rsidRDefault="007D00B8" w:rsidP="002D68F6">
      <w:pPr>
        <w:ind w:left="7080"/>
        <w:rPr>
          <w:b/>
          <w:color w:val="002060"/>
          <w:sz w:val="20"/>
          <w:szCs w:val="20"/>
        </w:rPr>
      </w:pPr>
      <w:bookmarkStart w:id="0" w:name="_GoBack"/>
      <w:bookmarkEnd w:id="0"/>
      <w:r w:rsidRPr="007D00B8">
        <w:rPr>
          <w:rFonts w:cstheme="minorHAnsi"/>
          <w:b/>
          <w:color w:val="002060"/>
          <w:sz w:val="20"/>
          <w:szCs w:val="20"/>
          <w:lang w:eastAsia="es-CO"/>
        </w:rPr>
        <w:t>8</w:t>
      </w:r>
      <w:r w:rsidR="002D68F6" w:rsidRPr="007D00B8">
        <w:rPr>
          <w:rFonts w:cstheme="minorHAnsi"/>
          <w:b/>
          <w:color w:val="002060"/>
          <w:sz w:val="20"/>
          <w:szCs w:val="20"/>
          <w:lang w:eastAsia="es-CO"/>
        </w:rPr>
        <w:t xml:space="preserve"> de octubre de 2021</w:t>
      </w:r>
    </w:p>
    <w:p w:rsidR="00420409" w:rsidRDefault="00420409" w:rsidP="001A4FC2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:rsidR="008E31AF" w:rsidRDefault="008E31AF" w:rsidP="00797DDB">
      <w:pPr>
        <w:spacing w:after="0" w:line="240" w:lineRule="auto"/>
        <w:jc w:val="center"/>
        <w:rPr>
          <w:rFonts w:ascii="Arial" w:hAnsi="Arial" w:cs="Arial"/>
          <w:b/>
        </w:rPr>
      </w:pPr>
    </w:p>
    <w:p w:rsidR="00743CBD" w:rsidRDefault="00743CBD" w:rsidP="00413B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55C6" w:rsidRPr="00BB55C6" w:rsidRDefault="00BB55C6" w:rsidP="00BB55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5C6">
        <w:rPr>
          <w:rFonts w:ascii="Arial" w:hAnsi="Arial" w:cs="Arial"/>
          <w:b/>
          <w:sz w:val="24"/>
          <w:szCs w:val="24"/>
        </w:rPr>
        <w:t>CERCA DE CIEN MIL PERSONAS PARTICIPARON DEL DÉCIMO PRIMER SIMULACRO VIRTUAL DE PREPARACIÓN DE EVENTOS SÍSMICOS EN PASTO</w:t>
      </w:r>
    </w:p>
    <w:p w:rsidR="00BB55C6" w:rsidRPr="00BB55C6" w:rsidRDefault="00BB55C6" w:rsidP="00BB55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 xml:space="preserve">De manera presencial y virtual se cumplió el Décimo Primer Simulacro de Preparación de Eventos Sísmicos que lideró la Administración Municipal y del que participaron 98.868 personas, </w:t>
      </w:r>
      <w:r w:rsidR="007D00B8" w:rsidRPr="00BB55C6">
        <w:rPr>
          <w:rFonts w:ascii="Arial" w:hAnsi="Arial" w:cs="Arial"/>
          <w:sz w:val="24"/>
          <w:szCs w:val="24"/>
        </w:rPr>
        <w:t>de acuerdo con el</w:t>
      </w:r>
      <w:r w:rsidRPr="00BB55C6">
        <w:rPr>
          <w:rFonts w:ascii="Arial" w:hAnsi="Arial" w:cs="Arial"/>
          <w:sz w:val="24"/>
          <w:szCs w:val="24"/>
        </w:rPr>
        <w:t xml:space="preserve"> consolidado al cierre de la jornada, entregado por la Dirección de Gestión del Riesgo de Desastres (</w:t>
      </w:r>
      <w:proofErr w:type="spellStart"/>
      <w:r w:rsidRPr="00BB55C6">
        <w:rPr>
          <w:rFonts w:ascii="Arial" w:hAnsi="Arial" w:cs="Arial"/>
          <w:sz w:val="24"/>
          <w:szCs w:val="24"/>
        </w:rPr>
        <w:t>DGRD</w:t>
      </w:r>
      <w:proofErr w:type="spellEnd"/>
      <w:r w:rsidRPr="00BB55C6">
        <w:rPr>
          <w:rFonts w:ascii="Arial" w:hAnsi="Arial" w:cs="Arial"/>
          <w:sz w:val="24"/>
          <w:szCs w:val="24"/>
        </w:rPr>
        <w:t>) de Pasto.</w:t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ab/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>“Es muy grato acompañar desde aquí este simulacro que busca fortalecer la gestión de todos los coordinadores y directores de las oficinas de gestión del riesgo, tanto departamentales como municipales”, afirmó el secretario general de la Unidad Nacional para la Gestión del Riesgo de Desastres (</w:t>
      </w:r>
      <w:proofErr w:type="spellStart"/>
      <w:r w:rsidRPr="00BB55C6">
        <w:rPr>
          <w:rFonts w:ascii="Arial" w:hAnsi="Arial" w:cs="Arial"/>
          <w:sz w:val="24"/>
          <w:szCs w:val="24"/>
        </w:rPr>
        <w:t>UNGRD</w:t>
      </w:r>
      <w:proofErr w:type="spellEnd"/>
      <w:r w:rsidRPr="00BB55C6">
        <w:rPr>
          <w:rFonts w:ascii="Arial" w:hAnsi="Arial" w:cs="Arial"/>
          <w:sz w:val="24"/>
          <w:szCs w:val="24"/>
        </w:rPr>
        <w:t>), Fernando Carvajal, quien estuvo en la ciudad.</w:t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>La jornada, que inició a las 9:00 de la mañana, se vivió de manera presencial en algunos sectores del municipio en los que se realizó la evacuación de edificaciones o establecimientos, en cumplimiento de los protocolos de bioseguridad como se había estipulado. En este aspecto, los registros señalan la participación de 24.717 personas de entidades públicas, privadas y organizaciones comunitarias.</w:t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 xml:space="preserve">Por otro lado, y desde los dos puntos de monitoreo instalados, la </w:t>
      </w:r>
      <w:proofErr w:type="spellStart"/>
      <w:r w:rsidRPr="00BB55C6">
        <w:rPr>
          <w:rFonts w:ascii="Arial" w:hAnsi="Arial" w:cs="Arial"/>
          <w:sz w:val="24"/>
          <w:szCs w:val="24"/>
        </w:rPr>
        <w:t>DGRD</w:t>
      </w:r>
      <w:proofErr w:type="spellEnd"/>
      <w:r w:rsidRPr="00BB55C6">
        <w:rPr>
          <w:rFonts w:ascii="Arial" w:hAnsi="Arial" w:cs="Arial"/>
          <w:sz w:val="24"/>
          <w:szCs w:val="24"/>
        </w:rPr>
        <w:t xml:space="preserve"> Pasto realizó el seguimiento de la participación virtual de la ciudadanía. El primer punto ubicado en la sede de la dependencia municipal y el otro en la Universidad Mariana, institución aliada con la que se diseñó la plataforma que evaluó, capacitó y certificó a los habitantes, sobre la respuesta adecuada ante situaciones adversas. Al cierre del simulacro, un total de 74.151 personas se vincularon con el ejercicio en línea.</w:t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>“Es una actividad muy interesante que permite relacionar lo que venimos haciendo en la academia con lo que necesita el Estado o la empresa. Vemos en este tipo de alianzas una oportunidad muy grande de</w:t>
      </w:r>
      <w:r w:rsidR="007D00B8">
        <w:rPr>
          <w:rFonts w:ascii="Arial" w:hAnsi="Arial" w:cs="Arial"/>
          <w:sz w:val="24"/>
          <w:szCs w:val="24"/>
        </w:rPr>
        <w:t xml:space="preserve"> ratificar </w:t>
      </w:r>
      <w:r w:rsidRPr="00BB55C6">
        <w:rPr>
          <w:rFonts w:ascii="Arial" w:hAnsi="Arial" w:cs="Arial"/>
          <w:sz w:val="24"/>
          <w:szCs w:val="24"/>
        </w:rPr>
        <w:t xml:space="preserve">los conocimientos que los estudiantes han logrado a lo largo de su carrera y mostrar que las cosas se pueden hacer y que estamos para colaborarnos” dijo el director del Programa de Ingeniería de Sistemas de la Universidad Mariana, </w:t>
      </w:r>
      <w:proofErr w:type="spellStart"/>
      <w:r w:rsidRPr="00BB55C6">
        <w:rPr>
          <w:rFonts w:ascii="Arial" w:hAnsi="Arial" w:cs="Arial"/>
          <w:sz w:val="24"/>
          <w:szCs w:val="24"/>
        </w:rPr>
        <w:t>Franklyn</w:t>
      </w:r>
      <w:proofErr w:type="spellEnd"/>
      <w:r w:rsidRPr="00BB55C6">
        <w:rPr>
          <w:rFonts w:ascii="Arial" w:hAnsi="Arial" w:cs="Arial"/>
          <w:sz w:val="24"/>
          <w:szCs w:val="24"/>
        </w:rPr>
        <w:t xml:space="preserve"> Eduardo Jiménez. </w:t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5C6">
        <w:rPr>
          <w:rFonts w:ascii="Arial" w:hAnsi="Arial" w:cs="Arial"/>
          <w:sz w:val="24"/>
          <w:szCs w:val="24"/>
        </w:rPr>
        <w:t>En la plataforma fueron inscritos 1.730 animales de compañía, un indicador de la preparación e interés que las familias asumen en la actualidad, para tener una reacción adecuada cuando se presentan emergencias por fenómenos naturales.</w:t>
      </w:r>
    </w:p>
    <w:p w:rsidR="00BB55C6" w:rsidRPr="00BB55C6" w:rsidRDefault="00BB55C6" w:rsidP="00BB55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5C6" w:rsidRDefault="00BB55C6" w:rsidP="00BB55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B5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22683"/>
    <w:multiLevelType w:val="hybridMultilevel"/>
    <w:tmpl w:val="B8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2111D"/>
    <w:rsid w:val="0002127E"/>
    <w:rsid w:val="000374E6"/>
    <w:rsid w:val="0004603A"/>
    <w:rsid w:val="00046F68"/>
    <w:rsid w:val="00046F85"/>
    <w:rsid w:val="00050D72"/>
    <w:rsid w:val="00056AAB"/>
    <w:rsid w:val="00062DF9"/>
    <w:rsid w:val="000630B7"/>
    <w:rsid w:val="00073A3C"/>
    <w:rsid w:val="000778DB"/>
    <w:rsid w:val="000B3904"/>
    <w:rsid w:val="000C76FA"/>
    <w:rsid w:val="000C7740"/>
    <w:rsid w:val="000D6F0B"/>
    <w:rsid w:val="000E3A4D"/>
    <w:rsid w:val="00140480"/>
    <w:rsid w:val="001551CB"/>
    <w:rsid w:val="001610D4"/>
    <w:rsid w:val="001A3404"/>
    <w:rsid w:val="001A4FC2"/>
    <w:rsid w:val="001B48C1"/>
    <w:rsid w:val="001D68DD"/>
    <w:rsid w:val="00226653"/>
    <w:rsid w:val="00241E97"/>
    <w:rsid w:val="00292C7D"/>
    <w:rsid w:val="002B40BA"/>
    <w:rsid w:val="002C09B1"/>
    <w:rsid w:val="002C2DE0"/>
    <w:rsid w:val="002D68F6"/>
    <w:rsid w:val="00336084"/>
    <w:rsid w:val="00341C5E"/>
    <w:rsid w:val="00343558"/>
    <w:rsid w:val="003526F0"/>
    <w:rsid w:val="0036619F"/>
    <w:rsid w:val="0037030C"/>
    <w:rsid w:val="00371E51"/>
    <w:rsid w:val="00374315"/>
    <w:rsid w:val="00376909"/>
    <w:rsid w:val="00386A3F"/>
    <w:rsid w:val="00387615"/>
    <w:rsid w:val="0039050E"/>
    <w:rsid w:val="00397220"/>
    <w:rsid w:val="003A097D"/>
    <w:rsid w:val="003A2541"/>
    <w:rsid w:val="003A3561"/>
    <w:rsid w:val="003A7B70"/>
    <w:rsid w:val="003B4E14"/>
    <w:rsid w:val="004023E1"/>
    <w:rsid w:val="004124E9"/>
    <w:rsid w:val="00413BFF"/>
    <w:rsid w:val="00413C24"/>
    <w:rsid w:val="00420409"/>
    <w:rsid w:val="00422B64"/>
    <w:rsid w:val="0043407E"/>
    <w:rsid w:val="004364DD"/>
    <w:rsid w:val="00436F3C"/>
    <w:rsid w:val="004568FF"/>
    <w:rsid w:val="004577FF"/>
    <w:rsid w:val="004911C5"/>
    <w:rsid w:val="00492B89"/>
    <w:rsid w:val="004C2F49"/>
    <w:rsid w:val="004D37F0"/>
    <w:rsid w:val="004E3B3C"/>
    <w:rsid w:val="00514D52"/>
    <w:rsid w:val="00516B66"/>
    <w:rsid w:val="005243A9"/>
    <w:rsid w:val="00531E52"/>
    <w:rsid w:val="00544CBF"/>
    <w:rsid w:val="00546A71"/>
    <w:rsid w:val="00577491"/>
    <w:rsid w:val="0058532B"/>
    <w:rsid w:val="005A5405"/>
    <w:rsid w:val="005A5EC4"/>
    <w:rsid w:val="005B27A0"/>
    <w:rsid w:val="005B6003"/>
    <w:rsid w:val="00602C5B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1B83"/>
    <w:rsid w:val="007135F8"/>
    <w:rsid w:val="00713F8E"/>
    <w:rsid w:val="007176F1"/>
    <w:rsid w:val="007233CC"/>
    <w:rsid w:val="00743CBD"/>
    <w:rsid w:val="007773BD"/>
    <w:rsid w:val="00780411"/>
    <w:rsid w:val="00782435"/>
    <w:rsid w:val="007927B4"/>
    <w:rsid w:val="00797DDB"/>
    <w:rsid w:val="007A7960"/>
    <w:rsid w:val="007B1A79"/>
    <w:rsid w:val="007B5C0D"/>
    <w:rsid w:val="007D00B8"/>
    <w:rsid w:val="007E5848"/>
    <w:rsid w:val="00815476"/>
    <w:rsid w:val="0081689C"/>
    <w:rsid w:val="00816CF4"/>
    <w:rsid w:val="00825303"/>
    <w:rsid w:val="008661BE"/>
    <w:rsid w:val="00872154"/>
    <w:rsid w:val="008749C1"/>
    <w:rsid w:val="00887F2F"/>
    <w:rsid w:val="00896C63"/>
    <w:rsid w:val="008A36BF"/>
    <w:rsid w:val="008A7A30"/>
    <w:rsid w:val="008E31AF"/>
    <w:rsid w:val="008E499C"/>
    <w:rsid w:val="009040A6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63F27"/>
    <w:rsid w:val="00A76E44"/>
    <w:rsid w:val="00A909F3"/>
    <w:rsid w:val="00A9576C"/>
    <w:rsid w:val="00A96534"/>
    <w:rsid w:val="00AC3332"/>
    <w:rsid w:val="00AD1D7D"/>
    <w:rsid w:val="00AD5DF2"/>
    <w:rsid w:val="00B04136"/>
    <w:rsid w:val="00B103F1"/>
    <w:rsid w:val="00B13372"/>
    <w:rsid w:val="00B24669"/>
    <w:rsid w:val="00B404C6"/>
    <w:rsid w:val="00B53C91"/>
    <w:rsid w:val="00B66105"/>
    <w:rsid w:val="00B933DE"/>
    <w:rsid w:val="00BB55C6"/>
    <w:rsid w:val="00BC4501"/>
    <w:rsid w:val="00BC5ECE"/>
    <w:rsid w:val="00BD7C52"/>
    <w:rsid w:val="00C305B2"/>
    <w:rsid w:val="00C37D16"/>
    <w:rsid w:val="00C41FC8"/>
    <w:rsid w:val="00C61B21"/>
    <w:rsid w:val="00C65AB0"/>
    <w:rsid w:val="00C834F9"/>
    <w:rsid w:val="00C84B8B"/>
    <w:rsid w:val="00C86180"/>
    <w:rsid w:val="00C877A3"/>
    <w:rsid w:val="00CA6F87"/>
    <w:rsid w:val="00CB6C47"/>
    <w:rsid w:val="00CB6EEB"/>
    <w:rsid w:val="00CB7855"/>
    <w:rsid w:val="00CE3D75"/>
    <w:rsid w:val="00CF39FD"/>
    <w:rsid w:val="00D043B7"/>
    <w:rsid w:val="00D10448"/>
    <w:rsid w:val="00D14E92"/>
    <w:rsid w:val="00D21063"/>
    <w:rsid w:val="00D24D87"/>
    <w:rsid w:val="00D333F4"/>
    <w:rsid w:val="00D445DA"/>
    <w:rsid w:val="00D70C09"/>
    <w:rsid w:val="00D75898"/>
    <w:rsid w:val="00DA7C3B"/>
    <w:rsid w:val="00DB664B"/>
    <w:rsid w:val="00DC3DCC"/>
    <w:rsid w:val="00DC4D8D"/>
    <w:rsid w:val="00DE209D"/>
    <w:rsid w:val="00DF2D28"/>
    <w:rsid w:val="00E0210E"/>
    <w:rsid w:val="00E0434A"/>
    <w:rsid w:val="00E144F1"/>
    <w:rsid w:val="00E40740"/>
    <w:rsid w:val="00E45E75"/>
    <w:rsid w:val="00E63AB2"/>
    <w:rsid w:val="00EA156E"/>
    <w:rsid w:val="00EA25A3"/>
    <w:rsid w:val="00EC6307"/>
    <w:rsid w:val="00ED5744"/>
    <w:rsid w:val="00EE5397"/>
    <w:rsid w:val="00EF54D8"/>
    <w:rsid w:val="00EF7E34"/>
    <w:rsid w:val="00F01EBD"/>
    <w:rsid w:val="00F06AD2"/>
    <w:rsid w:val="00F22FAA"/>
    <w:rsid w:val="00F50616"/>
    <w:rsid w:val="00F8428A"/>
    <w:rsid w:val="00F87685"/>
    <w:rsid w:val="00F91DB2"/>
    <w:rsid w:val="00FE077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1A1C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  <w:style w:type="paragraph" w:styleId="NormalWeb">
    <w:name w:val="Normal (Web)"/>
    <w:basedOn w:val="Normal"/>
    <w:uiPriority w:val="99"/>
    <w:rsid w:val="00A76E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4204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C442-369E-4D1B-A3DA-79FF24DD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2021-10-08T20:49:00Z</dcterms:created>
  <dcterms:modified xsi:type="dcterms:W3CDTF">2021-10-08T20:49:00Z</dcterms:modified>
</cp:coreProperties>
</file>