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02003FA"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1C26C9">
        <w:rPr>
          <w:b/>
          <w:color w:val="FFFFFF"/>
        </w:rPr>
        <w:t>4</w:t>
      </w:r>
      <w:r w:rsidR="00F93E9E">
        <w:rPr>
          <w:b/>
          <w:color w:val="FFFFFF"/>
        </w:rPr>
        <w:t>2</w:t>
      </w:r>
    </w:p>
    <w:p w14:paraId="56721806" w14:textId="2F6DACEA" w:rsidR="002E0A24" w:rsidRDefault="006D75CA" w:rsidP="00804E05">
      <w:pPr>
        <w:ind w:left="6663" w:right="-283"/>
        <w:jc w:val="center"/>
        <w:rPr>
          <w:b/>
          <w:color w:val="FFFFFF"/>
        </w:rPr>
      </w:pPr>
      <w:r>
        <w:rPr>
          <w:b/>
          <w:color w:val="002060"/>
        </w:rPr>
        <w:t>2</w:t>
      </w:r>
      <w:r w:rsidR="00B8162B">
        <w:rPr>
          <w:b/>
          <w:color w:val="002060"/>
        </w:rPr>
        <w:t>7</w:t>
      </w:r>
      <w:r>
        <w:rPr>
          <w:b/>
          <w:color w:val="002060"/>
        </w:rPr>
        <w:t xml:space="preserve"> de enero de </w:t>
      </w:r>
      <w:r w:rsidR="00EF6EC5">
        <w:rPr>
          <w:b/>
          <w:color w:val="002060"/>
        </w:rPr>
        <w:t>202</w:t>
      </w:r>
      <w:r>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7639A6DB" w14:textId="77777777" w:rsidR="00F93E9E" w:rsidRDefault="00F93E9E" w:rsidP="00F93E9E">
      <w:pPr>
        <w:pStyle w:val="Sinespaciado"/>
        <w:jc w:val="center"/>
        <w:rPr>
          <w:rFonts w:ascii="Arial" w:eastAsia="Calibri" w:hAnsi="Arial" w:cs="Arial"/>
          <w:b/>
          <w:sz w:val="24"/>
          <w:szCs w:val="24"/>
          <w:lang w:eastAsia="es-CO"/>
        </w:rPr>
      </w:pPr>
    </w:p>
    <w:p w14:paraId="00D51700" w14:textId="681E874E" w:rsidR="00F93E9E" w:rsidRPr="00B468C7" w:rsidRDefault="00F93E9E" w:rsidP="00F93E9E">
      <w:pPr>
        <w:pStyle w:val="Sinespaciado"/>
        <w:jc w:val="center"/>
        <w:rPr>
          <w:rFonts w:ascii="Arial" w:eastAsia="Calibri" w:hAnsi="Arial" w:cs="Arial"/>
          <w:b/>
          <w:sz w:val="24"/>
          <w:szCs w:val="24"/>
          <w:lang w:eastAsia="es-CO"/>
        </w:rPr>
      </w:pPr>
      <w:r w:rsidRPr="00B468C7">
        <w:rPr>
          <w:rFonts w:ascii="Arial" w:eastAsia="Calibri" w:hAnsi="Arial" w:cs="Arial"/>
          <w:b/>
          <w:sz w:val="24"/>
          <w:szCs w:val="24"/>
          <w:lang w:eastAsia="es-CO"/>
        </w:rPr>
        <w:t>ALCALDE GERMÁN CHAMORRO DE LA ROSA RESALTA LA IMPORTANCIA DEL AVANCE DEL 88.9% EN EL PLAN NACIONAL DE VACUNACIÓN CONTRA COVID-19</w:t>
      </w:r>
    </w:p>
    <w:p w14:paraId="09E01167" w14:textId="77777777" w:rsidR="00F93E9E" w:rsidRPr="00B468C7" w:rsidRDefault="00F93E9E" w:rsidP="00F93E9E">
      <w:pPr>
        <w:pStyle w:val="Sinespaciado"/>
        <w:jc w:val="both"/>
        <w:rPr>
          <w:rFonts w:ascii="Arial" w:eastAsia="Calibri" w:hAnsi="Arial" w:cs="Arial"/>
          <w:sz w:val="24"/>
          <w:szCs w:val="24"/>
          <w:lang w:eastAsia="es-CO"/>
        </w:rPr>
      </w:pPr>
    </w:p>
    <w:p w14:paraId="74084AF2" w14:textId="77777777" w:rsidR="00F93E9E" w:rsidRPr="00B468C7" w:rsidRDefault="00F93E9E" w:rsidP="00F93E9E">
      <w:pPr>
        <w:pStyle w:val="Sinespaciado"/>
        <w:jc w:val="both"/>
        <w:rPr>
          <w:rFonts w:ascii="Arial" w:eastAsia="Calibri" w:hAnsi="Arial" w:cs="Arial"/>
          <w:sz w:val="24"/>
          <w:szCs w:val="24"/>
          <w:lang w:eastAsia="es-CO"/>
        </w:rPr>
      </w:pPr>
      <w:r w:rsidRPr="00B468C7">
        <w:rPr>
          <w:rFonts w:ascii="Arial" w:eastAsia="Calibri" w:hAnsi="Arial" w:cs="Arial"/>
          <w:sz w:val="24"/>
          <w:szCs w:val="24"/>
          <w:lang w:eastAsia="es-CO"/>
        </w:rPr>
        <w:t>En un encuentro con periodistas para abordar la situación de covid-19 en el municipio, el Alcalde Germán Chamorro de la Rosa resaltó la importancia del avance en el Plan Nacional de Vacunación del 88.9%, lo que permitió soportar el cuarto pico de la pandemia después de las interacciones familiares y sociales producto de las festividades de fin de año y del Carnaval de Negros y Blancos, cuyo objetivo fue una reactivación económica segura.</w:t>
      </w:r>
    </w:p>
    <w:p w14:paraId="7D3029E6" w14:textId="77777777" w:rsidR="00F93E9E" w:rsidRPr="00B468C7" w:rsidRDefault="00F93E9E" w:rsidP="00F93E9E">
      <w:pPr>
        <w:pStyle w:val="Sinespaciado"/>
        <w:jc w:val="both"/>
        <w:rPr>
          <w:rFonts w:ascii="Arial" w:eastAsia="Calibri" w:hAnsi="Arial" w:cs="Arial"/>
          <w:sz w:val="24"/>
          <w:szCs w:val="24"/>
          <w:lang w:eastAsia="es-CO"/>
        </w:rPr>
      </w:pPr>
    </w:p>
    <w:p w14:paraId="3BC44814" w14:textId="77777777" w:rsidR="00F93E9E" w:rsidRPr="00B468C7" w:rsidRDefault="00F93E9E" w:rsidP="00F93E9E">
      <w:pPr>
        <w:pStyle w:val="Sinespaciado"/>
        <w:jc w:val="both"/>
        <w:rPr>
          <w:rFonts w:ascii="Arial" w:eastAsia="Calibri" w:hAnsi="Arial" w:cs="Arial"/>
          <w:sz w:val="24"/>
          <w:szCs w:val="24"/>
          <w:lang w:eastAsia="es-CO"/>
        </w:rPr>
      </w:pPr>
      <w:r w:rsidRPr="00B468C7">
        <w:rPr>
          <w:rFonts w:ascii="Arial" w:eastAsia="Calibri" w:hAnsi="Arial" w:cs="Arial"/>
          <w:sz w:val="24"/>
          <w:szCs w:val="24"/>
          <w:lang w:eastAsia="es-CO"/>
        </w:rPr>
        <w:t>“A pesar que Pasto recibe la presión de pacientes covid-19 de todos los municipios del Departamento, hoy nuestros indicadores son buenos. Nuestro compromiso es no bajar la guardia y la invitación a la comunidad es vacunarse con los biológicos efectivos disponibles y fortalecer las medidas de autocuidado”, sostuvo el Mandatario Local.</w:t>
      </w:r>
    </w:p>
    <w:p w14:paraId="740DF3EA" w14:textId="77777777" w:rsidR="00F93E9E" w:rsidRPr="00B468C7" w:rsidRDefault="00F93E9E" w:rsidP="00F93E9E">
      <w:pPr>
        <w:pStyle w:val="Sinespaciado"/>
        <w:jc w:val="both"/>
        <w:rPr>
          <w:rFonts w:ascii="Arial" w:eastAsia="Calibri" w:hAnsi="Arial" w:cs="Arial"/>
          <w:sz w:val="24"/>
          <w:szCs w:val="24"/>
          <w:lang w:eastAsia="es-CO"/>
        </w:rPr>
      </w:pPr>
    </w:p>
    <w:p w14:paraId="5653513E" w14:textId="77777777" w:rsidR="00F93E9E" w:rsidRPr="00B468C7" w:rsidRDefault="00F93E9E" w:rsidP="00F93E9E">
      <w:pPr>
        <w:pStyle w:val="Sinespaciado"/>
        <w:jc w:val="both"/>
        <w:rPr>
          <w:rFonts w:ascii="Arial" w:eastAsia="Calibri" w:hAnsi="Arial" w:cs="Arial"/>
          <w:sz w:val="24"/>
          <w:szCs w:val="24"/>
          <w:lang w:eastAsia="es-CO"/>
        </w:rPr>
      </w:pPr>
      <w:r w:rsidRPr="00B468C7">
        <w:rPr>
          <w:rFonts w:ascii="Arial" w:eastAsia="Calibri" w:hAnsi="Arial" w:cs="Arial"/>
          <w:sz w:val="24"/>
          <w:szCs w:val="24"/>
          <w:lang w:eastAsia="es-CO"/>
        </w:rPr>
        <w:t>Por su parte, el Secretario de Salud, Javier Andrés Ruano González, señaló que, debido a la vacunación, aunque cada día se registran muchos casos</w:t>
      </w:r>
      <w:r>
        <w:rPr>
          <w:rFonts w:ascii="Arial" w:eastAsia="Calibri" w:hAnsi="Arial" w:cs="Arial"/>
          <w:sz w:val="24"/>
          <w:szCs w:val="24"/>
          <w:lang w:eastAsia="es-CO"/>
        </w:rPr>
        <w:t xml:space="preserve"> positivos de covid-19, también</w:t>
      </w:r>
      <w:r w:rsidRPr="00B468C7">
        <w:rPr>
          <w:rFonts w:ascii="Arial" w:eastAsia="Calibri" w:hAnsi="Arial" w:cs="Arial"/>
          <w:sz w:val="24"/>
          <w:szCs w:val="24"/>
          <w:lang w:eastAsia="es-CO"/>
        </w:rPr>
        <w:t xml:space="preserve"> se tienen muchos recuperados y la ocupación de unidades de cuidados intensivo se mantienen en términos estables. </w:t>
      </w:r>
    </w:p>
    <w:p w14:paraId="55608D77" w14:textId="77777777" w:rsidR="00F93E9E" w:rsidRPr="00B468C7" w:rsidRDefault="00F93E9E" w:rsidP="00F93E9E">
      <w:pPr>
        <w:pStyle w:val="Sinespaciado"/>
        <w:jc w:val="both"/>
        <w:rPr>
          <w:rFonts w:ascii="Arial" w:eastAsia="Calibri" w:hAnsi="Arial" w:cs="Arial"/>
          <w:sz w:val="24"/>
          <w:szCs w:val="24"/>
          <w:lang w:eastAsia="es-CO"/>
        </w:rPr>
      </w:pPr>
    </w:p>
    <w:p w14:paraId="741FF52E" w14:textId="77777777" w:rsidR="00F93E9E" w:rsidRPr="00B468C7" w:rsidRDefault="00F93E9E" w:rsidP="00F93E9E">
      <w:pPr>
        <w:pStyle w:val="Sinespaciado"/>
        <w:jc w:val="both"/>
        <w:rPr>
          <w:rFonts w:ascii="Arial" w:eastAsia="Calibri" w:hAnsi="Arial" w:cs="Arial"/>
          <w:sz w:val="24"/>
          <w:szCs w:val="24"/>
          <w:lang w:eastAsia="es-CO"/>
        </w:rPr>
      </w:pPr>
      <w:r w:rsidRPr="00B468C7">
        <w:rPr>
          <w:rFonts w:ascii="Arial" w:eastAsia="Calibri" w:hAnsi="Arial" w:cs="Arial"/>
          <w:sz w:val="24"/>
          <w:szCs w:val="24"/>
          <w:lang w:eastAsia="es-CO"/>
        </w:rPr>
        <w:t>“El día que más casos de covid-19 se tuvo fue el 14 de enero con aproximadamente 400, después de esta fecha las cifras empiezan a descender; sin embargo, debemos tener en cuenta que la pandemia sigue”, señaló el funcionario.</w:t>
      </w:r>
    </w:p>
    <w:p w14:paraId="090DD595" w14:textId="77777777" w:rsidR="00F93E9E" w:rsidRPr="00B468C7" w:rsidRDefault="00F93E9E" w:rsidP="00F93E9E">
      <w:pPr>
        <w:pStyle w:val="Sinespaciado"/>
        <w:jc w:val="both"/>
        <w:rPr>
          <w:rFonts w:ascii="Arial" w:eastAsia="Calibri" w:hAnsi="Arial" w:cs="Arial"/>
          <w:sz w:val="24"/>
          <w:szCs w:val="24"/>
          <w:lang w:eastAsia="es-CO"/>
        </w:rPr>
      </w:pPr>
    </w:p>
    <w:p w14:paraId="72C76FF2" w14:textId="1CC31280" w:rsidR="00F93E9E" w:rsidRDefault="00F93E9E" w:rsidP="00F93E9E">
      <w:pPr>
        <w:pStyle w:val="Sinespaciado"/>
        <w:jc w:val="both"/>
        <w:rPr>
          <w:rFonts w:ascii="Arial" w:eastAsia="Calibri" w:hAnsi="Arial" w:cs="Arial"/>
          <w:sz w:val="24"/>
          <w:szCs w:val="24"/>
          <w:lang w:eastAsia="es-CO"/>
        </w:rPr>
      </w:pPr>
      <w:r w:rsidRPr="00B468C7">
        <w:rPr>
          <w:rFonts w:ascii="Arial" w:eastAsia="Calibri" w:hAnsi="Arial" w:cs="Arial"/>
          <w:sz w:val="24"/>
          <w:szCs w:val="24"/>
          <w:lang w:eastAsia="es-CO"/>
        </w:rPr>
        <w:t>Pasto tuvo durante cinco días, un desabastecimiento parcial en los puntos de vacunación al igual que todo el país, en especial con dosis de refuerzo, pero desde el miércoles 26 de enero el Instituto Departamental de Salud de Nariño confirmó el ajuste de lineamientos por parte del Ministerio de Salud y Protección Social y entregó biológicos a la Secretaría de Salud, quien a su vez los distribuyó en las instituciones prestadoras de servicios de salud con puntos habilitados.</w:t>
      </w:r>
    </w:p>
    <w:p w14:paraId="02A9848E" w14:textId="3C4EFD13" w:rsidR="00F93E9E" w:rsidRDefault="00F93E9E" w:rsidP="00F93E9E">
      <w:pPr>
        <w:pStyle w:val="Sinespaciado"/>
        <w:jc w:val="both"/>
        <w:rPr>
          <w:rFonts w:ascii="Arial" w:eastAsia="Calibri" w:hAnsi="Arial" w:cs="Arial"/>
          <w:sz w:val="24"/>
          <w:szCs w:val="24"/>
          <w:lang w:eastAsia="es-CO"/>
        </w:rPr>
      </w:pPr>
    </w:p>
    <w:p w14:paraId="3D4F924E" w14:textId="30AC80FF" w:rsidR="00F93E9E" w:rsidRDefault="00F93E9E" w:rsidP="00F93E9E">
      <w:pPr>
        <w:pStyle w:val="Sinespaciado"/>
        <w:jc w:val="both"/>
        <w:rPr>
          <w:rFonts w:ascii="Arial" w:eastAsia="Calibri" w:hAnsi="Arial" w:cs="Arial"/>
          <w:sz w:val="24"/>
          <w:szCs w:val="24"/>
          <w:lang w:eastAsia="es-CO"/>
        </w:rPr>
      </w:pPr>
    </w:p>
    <w:p w14:paraId="64DD7520" w14:textId="77777777" w:rsidR="00F93E9E" w:rsidRPr="00B468C7" w:rsidRDefault="00F93E9E" w:rsidP="00F93E9E">
      <w:pPr>
        <w:pStyle w:val="Sinespaciado"/>
        <w:jc w:val="both"/>
        <w:rPr>
          <w:rFonts w:ascii="Arial" w:eastAsia="Calibri" w:hAnsi="Arial" w:cs="Arial"/>
          <w:sz w:val="24"/>
          <w:szCs w:val="24"/>
          <w:lang w:eastAsia="es-CO"/>
        </w:rPr>
      </w:pPr>
    </w:p>
    <w:p w14:paraId="197DD86A" w14:textId="77777777" w:rsidR="00B8162B" w:rsidRDefault="00B8162B" w:rsidP="00B8162B">
      <w:pPr>
        <w:pStyle w:val="Sinespaciado"/>
        <w:jc w:val="both"/>
        <w:rPr>
          <w:rFonts w:ascii="Arial" w:hAnsi="Arial" w:cs="Arial"/>
          <w:sz w:val="24"/>
          <w:szCs w:val="24"/>
        </w:rPr>
      </w:pPr>
    </w:p>
    <w:p w14:paraId="49497394" w14:textId="77777777" w:rsidR="00B8162B" w:rsidRDefault="00B8162B" w:rsidP="00B8162B">
      <w:pPr>
        <w:pStyle w:val="Sinespaciado"/>
        <w:jc w:val="both"/>
        <w:rPr>
          <w:rFonts w:ascii="Arial" w:hAnsi="Arial" w:cs="Arial"/>
          <w:sz w:val="24"/>
          <w:szCs w:val="24"/>
        </w:rPr>
      </w:pPr>
    </w:p>
    <w:p w14:paraId="05BE052B" w14:textId="77777777" w:rsidR="00B8162B" w:rsidRDefault="00B8162B" w:rsidP="00B8162B">
      <w:pPr>
        <w:pStyle w:val="Sinespaciado"/>
        <w:jc w:val="both"/>
        <w:rPr>
          <w:rFonts w:ascii="Arial" w:hAnsi="Arial" w:cs="Arial"/>
          <w:sz w:val="24"/>
          <w:szCs w:val="24"/>
        </w:rPr>
      </w:pPr>
    </w:p>
    <w:p w14:paraId="4CD3AC5E" w14:textId="0FF0FC55"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6432" behindDoc="0" locked="0" layoutInCell="1" allowOverlap="1" wp14:anchorId="343FC49A" wp14:editId="3F7C4F2A">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55A55A2B" w:rsidR="00B8162B" w:rsidRPr="00B8162B" w:rsidRDefault="00F93E9E" w:rsidP="00B8162B">
                            <w:pPr>
                              <w:jc w:val="center"/>
                              <w:rPr>
                                <w:b/>
                                <w:color w:val="FFFFFF" w:themeColor="background1"/>
                              </w:rPr>
                            </w:pPr>
                            <w:r>
                              <w:rPr>
                                <w:b/>
                                <w:color w:val="FFFFFF" w:themeColor="background1"/>
                              </w:rPr>
                              <w:t>No. 042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55A55A2B" w:rsidR="00B8162B" w:rsidRPr="00B8162B" w:rsidRDefault="00F93E9E" w:rsidP="00B8162B">
                      <w:pPr>
                        <w:jc w:val="center"/>
                        <w:rPr>
                          <w:b/>
                          <w:color w:val="FFFFFF" w:themeColor="background1"/>
                        </w:rPr>
                      </w:pPr>
                      <w:r>
                        <w:rPr>
                          <w:b/>
                          <w:color w:val="FFFFFF" w:themeColor="background1"/>
                        </w:rPr>
                        <w:t>No. 042</w:t>
                      </w:r>
                    </w:p>
                  </w:txbxContent>
                </v:textbox>
                <w10:wrap type="square"/>
              </v:shape>
            </w:pict>
          </mc:Fallback>
        </mc:AlternateContent>
      </w:r>
      <w:bookmarkStart w:id="0" w:name="_GoBack"/>
      <w:r>
        <w:rPr>
          <w:noProof/>
          <w:lang w:eastAsia="es-CO"/>
        </w:rPr>
        <w:drawing>
          <wp:anchor distT="0" distB="0" distL="0" distR="0" simplePos="0" relativeHeight="251660288" behindDoc="1" locked="0" layoutInCell="1" hidden="0" allowOverlap="1" wp14:anchorId="6567B366" wp14:editId="5182C630">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bookmarkEnd w:id="0"/>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66401DEF">
                <wp:simplePos x="0" y="0"/>
                <wp:positionH relativeFrom="column">
                  <wp:posOffset>4225290</wp:posOffset>
                </wp:positionH>
                <wp:positionV relativeFrom="paragraph">
                  <wp:posOffset>137160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05D70401" w:rsidR="002F523C" w:rsidRPr="002F523C" w:rsidRDefault="006D75CA" w:rsidP="006D75CA">
                            <w:pPr>
                              <w:jc w:val="center"/>
                              <w:rPr>
                                <w:b/>
                                <w:color w:val="002060"/>
                              </w:rPr>
                            </w:pPr>
                            <w:r>
                              <w:rPr>
                                <w:b/>
                                <w:color w:val="002060"/>
                              </w:rPr>
                              <w:t>2</w:t>
                            </w:r>
                            <w:r w:rsidR="00B8162B">
                              <w:rPr>
                                <w:b/>
                                <w:color w:val="002060"/>
                              </w:rPr>
                              <w:t>7</w:t>
                            </w:r>
                            <w:r>
                              <w:rPr>
                                <w:b/>
                                <w:color w:val="002060"/>
                              </w:rPr>
                              <w:t xml:space="preserve"> de enero </w:t>
                            </w:r>
                            <w:r w:rsidR="002F523C" w:rsidRPr="002F523C">
                              <w:rPr>
                                <w:b/>
                                <w:color w:val="002060"/>
                              </w:rPr>
                              <w:t>de 202</w:t>
                            </w:r>
                            <w:r>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0.8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" filled="f" stroked="f">
                <v:textbox style="mso-fit-shape-to-text:t">
                  <w:txbxContent>
                    <w:p w14:paraId="033D250C" w14:textId="05D70401" w:rsidR="002F523C" w:rsidRPr="002F523C" w:rsidRDefault="006D75CA" w:rsidP="006D75CA">
                      <w:pPr>
                        <w:jc w:val="center"/>
                        <w:rPr>
                          <w:b/>
                          <w:color w:val="002060"/>
                        </w:rPr>
                      </w:pPr>
                      <w:r>
                        <w:rPr>
                          <w:b/>
                          <w:color w:val="002060"/>
                        </w:rPr>
                        <w:t>2</w:t>
                      </w:r>
                      <w:r w:rsidR="00B8162B">
                        <w:rPr>
                          <w:b/>
                          <w:color w:val="002060"/>
                        </w:rPr>
                        <w:t>7</w:t>
                      </w:r>
                      <w:r>
                        <w:rPr>
                          <w:b/>
                          <w:color w:val="002060"/>
                        </w:rPr>
                        <w:t xml:space="preserve"> de enero </w:t>
                      </w:r>
                      <w:r w:rsidR="002F523C" w:rsidRPr="002F523C">
                        <w:rPr>
                          <w:b/>
                          <w:color w:val="002060"/>
                        </w:rPr>
                        <w:t>de 202</w:t>
                      </w:r>
                      <w:r>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04872950" w14:textId="2210D194" w:rsidR="00B8162B" w:rsidRDefault="00B8162B" w:rsidP="00B8162B">
      <w:pPr>
        <w:pStyle w:val="Sinespaciado"/>
        <w:jc w:val="both"/>
        <w:rPr>
          <w:rFonts w:ascii="Arial" w:hAnsi="Arial" w:cs="Arial"/>
          <w:sz w:val="24"/>
          <w:szCs w:val="24"/>
        </w:rPr>
      </w:pPr>
    </w:p>
    <w:p w14:paraId="0A1B8BF4" w14:textId="77777777" w:rsidR="00F93E9E" w:rsidRPr="00F93E9E" w:rsidRDefault="00F93E9E" w:rsidP="00F93E9E">
      <w:pPr>
        <w:spacing w:after="0" w:line="240" w:lineRule="auto"/>
        <w:jc w:val="both"/>
        <w:rPr>
          <w:rFonts w:ascii="Arial" w:hAnsi="Arial" w:cs="Arial"/>
          <w:sz w:val="24"/>
          <w:szCs w:val="24"/>
        </w:rPr>
      </w:pPr>
      <w:r w:rsidRPr="00F93E9E">
        <w:rPr>
          <w:rFonts w:ascii="Arial" w:hAnsi="Arial" w:cs="Arial"/>
          <w:sz w:val="24"/>
          <w:szCs w:val="24"/>
        </w:rPr>
        <w:t xml:space="preserve">Actualmente, los puntos de vacunación disponen de los siguientes biológicos: </w:t>
      </w:r>
    </w:p>
    <w:p w14:paraId="5DD4B57A" w14:textId="77777777" w:rsidR="00F93E9E" w:rsidRPr="00F93E9E" w:rsidRDefault="00F93E9E" w:rsidP="00F93E9E">
      <w:pPr>
        <w:spacing w:after="0" w:line="240" w:lineRule="auto"/>
        <w:jc w:val="both"/>
        <w:rPr>
          <w:rFonts w:ascii="Arial" w:hAnsi="Arial" w:cs="Arial"/>
          <w:sz w:val="24"/>
          <w:szCs w:val="24"/>
        </w:rPr>
      </w:pPr>
    </w:p>
    <w:p w14:paraId="4442FF1C" w14:textId="77777777" w:rsidR="00F93E9E" w:rsidRPr="00F93E9E" w:rsidRDefault="00F93E9E" w:rsidP="00F93E9E">
      <w:pPr>
        <w:numPr>
          <w:ilvl w:val="0"/>
          <w:numId w:val="3"/>
        </w:numPr>
        <w:spacing w:after="0" w:line="240" w:lineRule="auto"/>
        <w:jc w:val="both"/>
        <w:rPr>
          <w:rFonts w:ascii="Arial" w:hAnsi="Arial" w:cs="Arial"/>
          <w:sz w:val="24"/>
          <w:szCs w:val="24"/>
        </w:rPr>
      </w:pPr>
      <w:r w:rsidRPr="00F93E9E">
        <w:rPr>
          <w:rFonts w:ascii="Arial" w:hAnsi="Arial" w:cs="Arial"/>
          <w:sz w:val="24"/>
          <w:szCs w:val="24"/>
        </w:rPr>
        <w:t>Janssen, dosis única para mayores de 18 años en adelante en población de zona urbana y para refuerzo homólogo.</w:t>
      </w:r>
    </w:p>
    <w:p w14:paraId="59419D54" w14:textId="77777777" w:rsidR="00F93E9E" w:rsidRPr="00F93E9E" w:rsidRDefault="00F93E9E" w:rsidP="00F93E9E">
      <w:pPr>
        <w:spacing w:after="0" w:line="240" w:lineRule="auto"/>
        <w:ind w:left="720"/>
        <w:jc w:val="both"/>
        <w:rPr>
          <w:rFonts w:ascii="Arial" w:hAnsi="Arial" w:cs="Arial"/>
          <w:sz w:val="24"/>
          <w:szCs w:val="24"/>
        </w:rPr>
      </w:pPr>
    </w:p>
    <w:p w14:paraId="453D7648" w14:textId="77777777" w:rsidR="00F93E9E" w:rsidRPr="00F93E9E" w:rsidRDefault="00F93E9E" w:rsidP="00F93E9E">
      <w:pPr>
        <w:numPr>
          <w:ilvl w:val="0"/>
          <w:numId w:val="3"/>
        </w:numPr>
        <w:spacing w:after="0" w:line="240" w:lineRule="auto"/>
        <w:jc w:val="both"/>
        <w:rPr>
          <w:rFonts w:ascii="Arial" w:hAnsi="Arial" w:cs="Arial"/>
          <w:sz w:val="24"/>
          <w:szCs w:val="24"/>
        </w:rPr>
      </w:pPr>
      <w:r w:rsidRPr="00F93E9E">
        <w:rPr>
          <w:rFonts w:ascii="Arial" w:hAnsi="Arial" w:cs="Arial"/>
          <w:sz w:val="24"/>
          <w:szCs w:val="24"/>
        </w:rPr>
        <w:t>Pfizer, para segundas dosis y mujeres gestantes a partir de la semana 12 y hasta los 40 días posparto y para población de 12 a 17 años, siempre y cuando haya existencias.</w:t>
      </w:r>
    </w:p>
    <w:p w14:paraId="61EF8F08" w14:textId="77777777" w:rsidR="00F93E9E" w:rsidRPr="00F93E9E" w:rsidRDefault="00F93E9E" w:rsidP="00F93E9E">
      <w:pPr>
        <w:spacing w:after="0" w:line="240" w:lineRule="auto"/>
        <w:jc w:val="both"/>
        <w:rPr>
          <w:rFonts w:ascii="Arial" w:hAnsi="Arial" w:cs="Arial"/>
          <w:sz w:val="24"/>
          <w:szCs w:val="24"/>
        </w:rPr>
      </w:pPr>
    </w:p>
    <w:p w14:paraId="3E4F0ECE" w14:textId="77777777" w:rsidR="00F93E9E" w:rsidRPr="00F93E9E" w:rsidRDefault="00F93E9E" w:rsidP="00F93E9E">
      <w:pPr>
        <w:numPr>
          <w:ilvl w:val="0"/>
          <w:numId w:val="3"/>
        </w:numPr>
        <w:spacing w:after="0" w:line="240" w:lineRule="auto"/>
        <w:jc w:val="both"/>
        <w:rPr>
          <w:rFonts w:ascii="Arial" w:hAnsi="Arial" w:cs="Arial"/>
          <w:sz w:val="24"/>
          <w:szCs w:val="24"/>
        </w:rPr>
      </w:pPr>
      <w:r w:rsidRPr="00F93E9E">
        <w:rPr>
          <w:rFonts w:ascii="Arial" w:hAnsi="Arial" w:cs="Arial"/>
          <w:sz w:val="24"/>
          <w:szCs w:val="24"/>
        </w:rPr>
        <w:t>Moderna, para segundas dosis, dosis con refuerzo heterólogo y para población de 12 a 17 años, si hay existencias.</w:t>
      </w:r>
    </w:p>
    <w:p w14:paraId="79F7DA10" w14:textId="77777777" w:rsidR="00F93E9E" w:rsidRPr="00F93E9E" w:rsidRDefault="00F93E9E" w:rsidP="00F93E9E">
      <w:pPr>
        <w:spacing w:after="0" w:line="240" w:lineRule="auto"/>
        <w:jc w:val="both"/>
        <w:rPr>
          <w:rFonts w:ascii="Arial" w:hAnsi="Arial" w:cs="Arial"/>
          <w:sz w:val="24"/>
          <w:szCs w:val="24"/>
        </w:rPr>
      </w:pPr>
    </w:p>
    <w:p w14:paraId="347580DD" w14:textId="77777777" w:rsidR="00F93E9E" w:rsidRPr="00F93E9E" w:rsidRDefault="00F93E9E" w:rsidP="00F93E9E">
      <w:pPr>
        <w:numPr>
          <w:ilvl w:val="0"/>
          <w:numId w:val="3"/>
        </w:numPr>
        <w:spacing w:after="0" w:line="240" w:lineRule="auto"/>
        <w:jc w:val="both"/>
        <w:rPr>
          <w:rFonts w:ascii="Arial" w:hAnsi="Arial" w:cs="Arial"/>
          <w:sz w:val="24"/>
          <w:szCs w:val="24"/>
        </w:rPr>
      </w:pPr>
      <w:r w:rsidRPr="00F93E9E">
        <w:rPr>
          <w:rFonts w:ascii="Arial" w:hAnsi="Arial" w:cs="Arial"/>
          <w:sz w:val="24"/>
          <w:szCs w:val="24"/>
        </w:rPr>
        <w:t>Sinovac, para primeras o segundas dosis en la población de 3 a 11 años y para dosis de refuerzo homólogo por solicitud.</w:t>
      </w:r>
    </w:p>
    <w:p w14:paraId="1ADD6B3D" w14:textId="77777777" w:rsidR="00F93E9E" w:rsidRPr="00F93E9E" w:rsidRDefault="00F93E9E" w:rsidP="00F93E9E">
      <w:pPr>
        <w:spacing w:after="0" w:line="240" w:lineRule="auto"/>
        <w:jc w:val="both"/>
        <w:rPr>
          <w:rFonts w:ascii="Arial" w:hAnsi="Arial" w:cs="Arial"/>
          <w:sz w:val="24"/>
          <w:szCs w:val="24"/>
        </w:rPr>
      </w:pPr>
    </w:p>
    <w:p w14:paraId="5AE7A036" w14:textId="3B67CB8B" w:rsidR="004455E4" w:rsidRPr="002F523C" w:rsidRDefault="00F93E9E" w:rsidP="00F93E9E">
      <w:pPr>
        <w:pStyle w:val="Sinespaciado"/>
        <w:jc w:val="both"/>
        <w:rPr>
          <w:rFonts w:ascii="Arial" w:hAnsi="Arial" w:cs="Arial"/>
          <w:sz w:val="24"/>
        </w:rPr>
      </w:pPr>
      <w:r w:rsidRPr="00F93E9E">
        <w:rPr>
          <w:rFonts w:ascii="Arial" w:eastAsia="Calibri" w:hAnsi="Arial" w:cs="Arial"/>
          <w:sz w:val="24"/>
          <w:szCs w:val="24"/>
          <w:lang w:eastAsia="es-CO"/>
        </w:rPr>
        <w:t>Se está a la espera de la llegada de la vacuna de AstraZeneca para dosis de refuerzo.</w:t>
      </w: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162B"/>
    <w:rsid w:val="00B82196"/>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2022-01-28T03:27:00Z</dcterms:created>
  <dcterms:modified xsi:type="dcterms:W3CDTF">2022-01-28T03:27:00Z</dcterms:modified>
</cp:coreProperties>
</file>