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6CA" w:rsidRDefault="00E3220A">
      <w:pPr>
        <w:pStyle w:val="Textoindependiente"/>
        <w:spacing w:before="6"/>
        <w:rPr>
          <w:rFonts w:ascii="Times New Roman"/>
          <w:sz w:val="26"/>
        </w:rPr>
      </w:pPr>
      <w:r>
        <w:rPr>
          <w:noProof/>
          <w:lang w:val="es-CO" w:eastAsia="es-CO"/>
        </w:rPr>
        <w:drawing>
          <wp:anchor distT="0" distB="0" distL="0" distR="0" simplePos="0" relativeHeight="487566336" behindDoc="1" locked="0" layoutInCell="1" allowOverlap="1">
            <wp:simplePos x="0" y="0"/>
            <wp:positionH relativeFrom="page">
              <wp:posOffset>181257</wp:posOffset>
            </wp:positionH>
            <wp:positionV relativeFrom="page">
              <wp:posOffset>151765</wp:posOffset>
            </wp:positionV>
            <wp:extent cx="7461250" cy="97514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61250" cy="9751428"/>
                    </a:xfrm>
                    <a:prstGeom prst="rect">
                      <a:avLst/>
                    </a:prstGeom>
                  </pic:spPr>
                </pic:pic>
              </a:graphicData>
            </a:graphic>
          </wp:anchor>
        </w:drawing>
      </w:r>
    </w:p>
    <w:p w:rsidR="00DF16CA" w:rsidRDefault="00E3220A" w:rsidP="00416D0A">
      <w:pPr>
        <w:spacing w:before="56"/>
        <w:ind w:right="1082"/>
        <w:jc w:val="right"/>
        <w:rPr>
          <w:rFonts w:ascii="Calibri"/>
          <w:b/>
        </w:rPr>
      </w:pPr>
      <w:r w:rsidRPr="00D9093F">
        <w:rPr>
          <w:rFonts w:ascii="Calibri"/>
          <w:b/>
          <w:noProof/>
          <w:color w:val="0D223C"/>
          <w:lang w:val="es-CO" w:eastAsia="es-CO"/>
        </w:rPr>
        <mc:AlternateContent>
          <mc:Choice Requires="wps">
            <w:drawing>
              <wp:anchor distT="45720" distB="45720" distL="114300" distR="114300" simplePos="0" relativeHeight="487568384" behindDoc="0" locked="0" layoutInCell="1" allowOverlap="1">
                <wp:simplePos x="0" y="0"/>
                <wp:positionH relativeFrom="column">
                  <wp:posOffset>4749165</wp:posOffset>
                </wp:positionH>
                <wp:positionV relativeFrom="paragraph">
                  <wp:posOffset>20320</wp:posOffset>
                </wp:positionV>
                <wp:extent cx="6953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rsidR="00D9093F" w:rsidRPr="00D9093F" w:rsidRDefault="00D9093F">
                            <w:pPr>
                              <w:rPr>
                                <w:rFonts w:asciiTheme="minorHAnsi" w:hAnsiTheme="minorHAnsi" w:cstheme="minorHAnsi"/>
                                <w:b/>
                                <w:color w:val="002060"/>
                              </w:rPr>
                            </w:pPr>
                            <w:r w:rsidRPr="00D9093F">
                              <w:rPr>
                                <w:rFonts w:asciiTheme="minorHAnsi" w:hAnsiTheme="minorHAnsi" w:cstheme="minorHAnsi"/>
                                <w:b/>
                                <w:color w:val="002060"/>
                              </w:rPr>
                              <w:t>No. 00</w:t>
                            </w:r>
                            <w:r w:rsidR="00927D45">
                              <w:rPr>
                                <w:rFonts w:asciiTheme="minorHAnsi" w:hAnsiTheme="minorHAnsi" w:cstheme="minorHAnsi"/>
                                <w:b/>
                                <w:color w:val="00206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73.95pt;margin-top:1.6pt;width:54.75pt;height:110.6pt;z-index:48756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" filled="f" stroked="f">
                <v:textbox style="mso-fit-shape-to-text:t">
                  <w:txbxContent>
                    <w:p w:rsidR="00D9093F" w:rsidRPr="00D9093F" w:rsidRDefault="00D9093F">
                      <w:pPr>
                        <w:rPr>
                          <w:rFonts w:asciiTheme="minorHAnsi" w:hAnsiTheme="minorHAnsi" w:cstheme="minorHAnsi"/>
                          <w:b/>
                          <w:color w:val="002060"/>
                        </w:rPr>
                      </w:pPr>
                      <w:r w:rsidRPr="00D9093F">
                        <w:rPr>
                          <w:rFonts w:asciiTheme="minorHAnsi" w:hAnsiTheme="minorHAnsi" w:cstheme="minorHAnsi"/>
                          <w:b/>
                          <w:color w:val="002060"/>
                        </w:rPr>
                        <w:t>No. 00</w:t>
                      </w:r>
                      <w:r w:rsidR="00927D45">
                        <w:rPr>
                          <w:rFonts w:asciiTheme="minorHAnsi" w:hAnsiTheme="minorHAnsi" w:cstheme="minorHAnsi"/>
                          <w:b/>
                          <w:color w:val="002060"/>
                        </w:rPr>
                        <w:t>9</w:t>
                      </w:r>
                    </w:p>
                  </w:txbxContent>
                </v:textbox>
                <w10:wrap type="square"/>
              </v:shape>
            </w:pict>
          </mc:Fallback>
        </mc:AlternateContent>
      </w:r>
      <w:r w:rsidR="00416D0A">
        <w:rPr>
          <w:rFonts w:ascii="Calibri"/>
          <w:b/>
          <w:color w:val="0D223C"/>
        </w:rPr>
        <w:t xml:space="preserve">   </w:t>
      </w:r>
    </w:p>
    <w:p w:rsidR="00DF16CA" w:rsidRDefault="00DF16CA">
      <w:pPr>
        <w:pStyle w:val="Textoindependiente"/>
        <w:rPr>
          <w:rFonts w:ascii="Calibri"/>
          <w:b/>
          <w:sz w:val="22"/>
        </w:rPr>
      </w:pPr>
    </w:p>
    <w:p w:rsidR="00E3220A" w:rsidRDefault="00E3220A" w:rsidP="00E3220A">
      <w:pPr>
        <w:jc w:val="right"/>
        <w:rPr>
          <w:rFonts w:ascii="Arial"/>
          <w:i/>
        </w:rPr>
      </w:pPr>
    </w:p>
    <w:p w:rsidR="00C131B6" w:rsidRDefault="00C131B6" w:rsidP="00E3220A">
      <w:pPr>
        <w:jc w:val="right"/>
        <w:rPr>
          <w:rFonts w:ascii="Arial"/>
          <w:i/>
        </w:rPr>
      </w:pPr>
    </w:p>
    <w:p w:rsidR="00DF16CA" w:rsidRDefault="00416D0A" w:rsidP="00D913F1">
      <w:pPr>
        <w:jc w:val="right"/>
        <w:rPr>
          <w:rFonts w:ascii="Arial"/>
          <w:i/>
        </w:rPr>
      </w:pPr>
      <w:r>
        <w:rPr>
          <w:rFonts w:ascii="Arial"/>
          <w:i/>
        </w:rPr>
        <w:t>Pasto,</w:t>
      </w:r>
      <w:r>
        <w:rPr>
          <w:rFonts w:ascii="Arial"/>
          <w:i/>
          <w:spacing w:val="-4"/>
        </w:rPr>
        <w:t xml:space="preserve"> </w:t>
      </w:r>
      <w:r w:rsidR="00E3220A">
        <w:rPr>
          <w:rFonts w:ascii="Arial"/>
          <w:i/>
        </w:rPr>
        <w:t>1</w:t>
      </w:r>
      <w:r w:rsidR="00927D45">
        <w:rPr>
          <w:rFonts w:ascii="Arial"/>
          <w:i/>
        </w:rPr>
        <w:t>5</w:t>
      </w:r>
      <w:r w:rsidR="003878F3">
        <w:rPr>
          <w:rFonts w:ascii="Arial"/>
          <w:i/>
        </w:rPr>
        <w:t xml:space="preserve"> </w:t>
      </w:r>
      <w:r w:rsidR="0085692E">
        <w:rPr>
          <w:rFonts w:ascii="Arial"/>
          <w:i/>
        </w:rPr>
        <w:t xml:space="preserve">de </w:t>
      </w:r>
      <w:r w:rsidR="00D913F1">
        <w:rPr>
          <w:rFonts w:ascii="Arial"/>
          <w:i/>
        </w:rPr>
        <w:t>julio</w:t>
      </w:r>
      <w:r w:rsidR="0085692E">
        <w:rPr>
          <w:rFonts w:ascii="Arial"/>
          <w:i/>
        </w:rPr>
        <w:t xml:space="preserve"> </w:t>
      </w:r>
      <w:r>
        <w:rPr>
          <w:rFonts w:ascii="Arial"/>
          <w:i/>
        </w:rPr>
        <w:t>de</w:t>
      </w:r>
      <w:r>
        <w:rPr>
          <w:rFonts w:ascii="Arial"/>
          <w:i/>
          <w:spacing w:val="-4"/>
        </w:rPr>
        <w:t xml:space="preserve"> </w:t>
      </w:r>
      <w:r>
        <w:rPr>
          <w:rFonts w:ascii="Arial"/>
          <w:i/>
        </w:rPr>
        <w:t>2022</w:t>
      </w:r>
    </w:p>
    <w:p w:rsidR="00927D45" w:rsidRPr="00927D45" w:rsidRDefault="00927D45" w:rsidP="00927D45">
      <w:pPr>
        <w:rPr>
          <w:rFonts w:ascii="Arial" w:hAnsi="Arial" w:cs="Arial"/>
          <w:b/>
          <w:sz w:val="24"/>
          <w:szCs w:val="24"/>
        </w:rPr>
      </w:pPr>
    </w:p>
    <w:p w:rsidR="00927D45" w:rsidRPr="00927D45" w:rsidRDefault="00927D45" w:rsidP="00927D45">
      <w:pPr>
        <w:jc w:val="center"/>
        <w:rPr>
          <w:rFonts w:ascii="Arial" w:hAnsi="Arial" w:cs="Arial"/>
          <w:b/>
          <w:sz w:val="24"/>
          <w:szCs w:val="24"/>
        </w:rPr>
      </w:pP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La Secretaría de Salud informa a la ciudadanía que, luego de las visitas de inspección a los servicios de urgencias de la red pública y privada de Pasto el 13 de julio del año en curso, se descarta que en el municipio se registre una alta ocupación en las instituciones prestadoras de salud (IPS), debido a la presencia de la bacteria Helicobacter Pylori.</w:t>
      </w:r>
    </w:p>
    <w:p w:rsidR="00927D45" w:rsidRPr="00C131B6" w:rsidRDefault="00927D45" w:rsidP="00C131B6">
      <w:pPr>
        <w:jc w:val="both"/>
        <w:rPr>
          <w:rFonts w:ascii="Arial" w:hAnsi="Arial" w:cs="Arial"/>
          <w:bCs/>
          <w:sz w:val="24"/>
          <w:szCs w:val="24"/>
        </w:rPr>
      </w:pP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Para verificar la información, la Subsecretaría de Seguridad Social de la Secretaría de Salud, realizó visitas de inspección a los servicios de urgencias de la red pública y privada de Pasto, en las que se encontró que la oferta de camillas en el servicio de urgencias con fecha del 13 de julio es de 398, con una ocupación de 285 pacientes, lo que equivale al 71.6%.</w:t>
      </w:r>
    </w:p>
    <w:p w:rsidR="00927D45" w:rsidRPr="00C131B6" w:rsidRDefault="00927D45" w:rsidP="00C131B6">
      <w:pPr>
        <w:jc w:val="both"/>
        <w:rPr>
          <w:rFonts w:ascii="Arial" w:hAnsi="Arial" w:cs="Arial"/>
          <w:bCs/>
          <w:sz w:val="24"/>
          <w:szCs w:val="24"/>
        </w:rPr>
      </w:pP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 xml:space="preserve">Al hacer la revisión detallada de los servicios, se encontró que las primeras causas de diagnóstico son: </w:t>
      </w:r>
    </w:p>
    <w:p w:rsidR="00927D45" w:rsidRPr="00C131B6" w:rsidRDefault="00927D45" w:rsidP="00C131B6">
      <w:pPr>
        <w:jc w:val="both"/>
        <w:rPr>
          <w:rFonts w:ascii="Arial" w:hAnsi="Arial" w:cs="Arial"/>
          <w:bCs/>
          <w:sz w:val="24"/>
          <w:szCs w:val="24"/>
        </w:rPr>
      </w:pP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1. Infección de vías urinarias, 25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2. Cálculos en la vía biliar, 21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3. Dolor abdominal, 16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4. Trastorno de ansiedad, 11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5. Enfermedad pulmonar obstructiva crónica, 10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6. Neumonía, 8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7. Celulitis, 5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8. Hipertensión arterial, 5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9. Absceso, 5 casos.</w:t>
      </w:r>
    </w:p>
    <w:p w:rsidR="00927D45" w:rsidRPr="00C131B6" w:rsidRDefault="00927D45" w:rsidP="00C131B6">
      <w:pPr>
        <w:jc w:val="both"/>
        <w:rPr>
          <w:rFonts w:ascii="Arial" w:hAnsi="Arial" w:cs="Arial"/>
          <w:bCs/>
          <w:sz w:val="24"/>
          <w:szCs w:val="24"/>
        </w:rPr>
      </w:pPr>
      <w:r w:rsidRPr="00C131B6">
        <w:rPr>
          <w:rFonts w:ascii="Arial" w:hAnsi="Arial" w:cs="Arial"/>
          <w:bCs/>
          <w:sz w:val="24"/>
          <w:szCs w:val="24"/>
        </w:rPr>
        <w:t>10. Gastroenteritis, 4 casos.</w:t>
      </w:r>
    </w:p>
    <w:p w:rsidR="00927D45" w:rsidRPr="00C131B6" w:rsidRDefault="00927D45" w:rsidP="00C131B6">
      <w:pPr>
        <w:jc w:val="both"/>
        <w:rPr>
          <w:rFonts w:ascii="Arial" w:hAnsi="Arial" w:cs="Arial"/>
          <w:bCs/>
          <w:sz w:val="24"/>
          <w:szCs w:val="24"/>
        </w:rPr>
      </w:pPr>
    </w:p>
    <w:p w:rsidR="00DF16CA" w:rsidRPr="00C131B6" w:rsidRDefault="00927D45" w:rsidP="00C131B6">
      <w:pPr>
        <w:jc w:val="both"/>
        <w:rPr>
          <w:rFonts w:ascii="Arial" w:hAnsi="Arial" w:cs="Arial"/>
          <w:bCs/>
          <w:sz w:val="24"/>
          <w:szCs w:val="24"/>
        </w:rPr>
      </w:pPr>
      <w:r w:rsidRPr="00C131B6">
        <w:rPr>
          <w:rFonts w:ascii="Arial" w:hAnsi="Arial" w:cs="Arial"/>
          <w:bCs/>
          <w:sz w:val="24"/>
          <w:szCs w:val="24"/>
        </w:rPr>
        <w:t>Por lo anterior, se puede concluir que no existe una alta demanda de servicios, ni tampoco se puede establecer que la ocupación actual esta principalmente derivada de la bacteria Helicobacter Pylori.</w:t>
      </w:r>
    </w:p>
    <w:sectPr w:rsidR="00DF16CA" w:rsidRPr="00C131B6" w:rsidSect="00416D0A">
      <w:type w:val="continuous"/>
      <w:pgSz w:w="12240" w:h="15840"/>
      <w:pgMar w:top="1500" w:right="1608"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3206"/>
    <w:multiLevelType w:val="hybridMultilevel"/>
    <w:tmpl w:val="1E52A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413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CA"/>
    <w:rsid w:val="002308B7"/>
    <w:rsid w:val="003878F3"/>
    <w:rsid w:val="00416D0A"/>
    <w:rsid w:val="00615336"/>
    <w:rsid w:val="0085692E"/>
    <w:rsid w:val="008C1BC1"/>
    <w:rsid w:val="00927D45"/>
    <w:rsid w:val="00C131B6"/>
    <w:rsid w:val="00D9093F"/>
    <w:rsid w:val="00D913F1"/>
    <w:rsid w:val="00DF16CA"/>
    <w:rsid w:val="00E322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FABB"/>
  <w15:docId w15:val="{6C63AE4F-9196-48E3-9BC4-D72BB07A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 María</cp:lastModifiedBy>
  <cp:revision>2</cp:revision>
  <dcterms:created xsi:type="dcterms:W3CDTF">2022-07-16T03:32:00Z</dcterms:created>
  <dcterms:modified xsi:type="dcterms:W3CDTF">2022-07-16T03:32:00Z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2022-04-23T00:00:00Z</vt:filetime>
  </property>
  <property fmtid="{D5CDD505-2E9C-101B-9397-08002B2CF9AE}" pid="3" name="Creator">
    <vt:lpwstr>Microsoft Word</vt:lpwstr>
  </property>
  <property fmtid="{D5CDD505-2E9C-101B-9397-08002B2CF9AE}" pid="4" name="LastSaved">
    <vt:filetime>2022-04-23T00:00:00Z</vt:filetime>
  </property>
</Properties>
</file>