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049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049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23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febrero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trav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de jornadas de sano esparcimiento en el Centro Vida, la 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a de Bienestar Social impulsa el cuidado de adultos mayores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La Alcald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de Bienestar Social, realiz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una jornada de sano esparcimiento con los adultos mayores que hacen parte del Centro Vida y los cuales se encuentran en situaci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vulnerabilidad. El objetivo de esta jornada fue consolidar la oferta y servicios que brinda este establecimiento a los adultos mayores que se encuentran desprotegidos.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la secretaria de Bienestar Social, Diana Catalina Zambrano, durante el encuentro se expuso el trabajo de la dependencia en favor de los adultos mayores vulnerables. As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mismo la funcionaria indic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que el Centro Vida cuenta con diferentes talleres para que se aproveche al 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ximo el tiempo libre de los adultos mayores.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Queremos dar a conocer nuestra oferta institucional y lo que hacemos desde nuestra dependencia con nuestros adultos mayores. Contamos con talleres internos de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sica, danza, manualidades, teatro, entre otros servicios. Esperamos continuar con el apoyo a nuestros adultos mayores vulnerables y generarles calidad de vida y salud mental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Diana Catalina Zambrano.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De igual manera, la beneficiaria del Centro Vida, Ana Ortiz, indic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que el apoyo de la Administraci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Municipal ha sido importante para mejorar su calidad de vida. Ante ello, agradeci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el acompa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amiento de la Alcald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por siempre respaldar a las personas vulnerables del municipio.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Aqu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nos tratan como si fu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ramos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de colegio. Hay grupos de trabajo que nos atienden como si fueran parte de nuestra familia. Gracias a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porque es importante realizar nuevamente las actividades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sicas que nos mantienen bien y con vida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finaliz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Ana Ortiz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