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052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052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26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febrero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Pasto presente en Anato, la vitrina tur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stica m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importante de Suram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rica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Desde el 28 de febrero hasta el primero de marzo en la ciudad de Bogot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 vivir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feria Anato, la vitrina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importante de Suram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rica en donde Pasto dir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presente con diferentes muestras culturales y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sticas que reflejar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la riqueza del municipio. Este proceso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ado por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la cual se encargar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exponer el potencial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 y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 de toda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subsecretaria de Fomento, Catalina Rosas,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hacia la ciudad de Bogot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 desplazar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delegaci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la cual buscar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impulsar el turismo para el municipio.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la funcionaria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varios artesanos y cultores del municipio llegar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 Corferias para visibilizar el potencial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 que tiene Pasto.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"Queremos promover el turismo y la reactivaci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 del municipio. Vamos a promover lo que Pasto tiene y lo hermoso que es. Nuestros patrimonios como el Carnaval de Negros y Blancos, el Barniz Mopa Mopa, entre otros,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expuestos en Anato. Todo esto fortalecer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nuestra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Catalina Rosas.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igual manera, la subsecretaria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hay un compromiso total 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y del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 para que el turismo, el sector artesanal y gastron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mico se consolide con este tipo de encuentros.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"El compromiso es total. El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or alcalde ha respaldo 100% a los diferentes sectores sociales. Queremos vender a Pasto como una tierra de patrimonios", finaliz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Catalina Rosas.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