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053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053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27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febrero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se articula a AECID y ONU H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bitat para trabajar en procesos ambientales sostenibles 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reunieron representantes de AECID Colombia y ONU 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bitat, para exponer un trabajo conjunto con la Oficina de Asuntos Internacionales para implementar procesos y estrategias ambientales sostenibles en las diferentes comunas y sectores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proyecto pretende financiar el desarrollo sostenible del municipio para mitigar los riesgos existentes en poblaciones vulnerables por cuenta del cambio clim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tico. En este proceso vienen trabajando varios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 los cuales financiar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 este proceso en Colombia y en Pasto como  municipio seleccionado para el proyecto.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responsable de programas de AECID Colombia, Borja Serrador,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eligi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Pasto en este proceso porque es una ciudad prioritaria para AECID por su importancia social y geogr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fica. Adicionalmente, el funcionario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articular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diferentes organizaciones para financiar este proceso realizado en el sur de Colombia.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"Se ha comenzando un nuevo proceso con la presente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con la cual tenemos una buena relaci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Esta es una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prioritaria para Espa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 Se implementar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programa para trabajar el desarrollo sostenible en la ciudad. Se incorporar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variables ambientales para mitigar los riesgos existentes en temas ambientales",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Borja Serrador.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coordinador de los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 andinos de ONU 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bitat, Ro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Chitti,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proyecto tiene el objetivo de fortalecer la resiliencia urbana de las comunidades.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funcionario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identificar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los barrios de la ciudad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afectados por el cambio clim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 y en donde se trabajar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proyectos financiados por parte de fondos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globales.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