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073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073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14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tab/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apoy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minga comunitaria para el mejoramiento vial en el corregimiento de Santa B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rbara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Con el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nimo de mejorar la movilidad en el corregimiento de Santa B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rbara,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Pasto,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Infraestructura, apoy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una minga comunitaria realizada en esta zona rural del sur de Pasto en la cual se pretende garantizar el transporte hacia la zona debido al cierre de la 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principal que conecta con la represa del 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o Bobo.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Sobre el particular, el subsecretario de Infraestructura Rural, Mario Benavides,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el objetivo de esta minga es adecuar las 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para facilitar y garantizar el transporte de los alimentos que se producen en esta zona rural. Adicionalmente, el funcionario dijo que con el mejoramiento de la 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se busca potencializar el turismo a largo plazo.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 w:hint="default"/>
          <w:sz w:val="24"/>
          <w:szCs w:val="24"/>
          <w:rtl w:val="1"/>
          <w:lang w:val="ar-SA" w:bidi="ar-SA"/>
        </w:rPr>
        <w:t>“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minga es importante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porque son las 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pt-PT"/>
        </w:rPr>
        <w:t>nicas v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as que nos favorecen y debemos ver y mantener nuestra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carretera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pidiendo esa ayuda a las entidades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que nos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colaboran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con el recebo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. Queremos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agradecerle a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</w:rPr>
        <w:t>a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de Pasto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porque se ha presentado con la maquinaria y el soporte, ya que sino no podr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amos hacer este proceso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”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</w:t>
      </w:r>
      <w:r>
        <w:rPr>
          <w:rStyle w:val="Ninguno"/>
          <w:rFonts w:ascii="Century Gothic" w:hAnsi="Century Gothic"/>
          <w:sz w:val="24"/>
          <w:szCs w:val="24"/>
          <w:rtl w:val="0"/>
        </w:rPr>
        <w:t xml:space="preserve">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Century Gothic" w:hAnsi="Century Gothic"/>
          <w:sz w:val="24"/>
          <w:szCs w:val="24"/>
          <w:rtl w:val="0"/>
        </w:rPr>
        <w:t>anifest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la presidenta de la vereda Alto de Santa B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rbara, Leidy Jojoa.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Finalmente,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reiter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su compromiso para seguir trabajando en el mejoramiento vial de esta zona rural del sur de Pasto.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Ante ello, se espera que se sigan liderando este tipo de jornadas en las cuales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apoyar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la respectiva maquinaria para la ejecuci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de las obras.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