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074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074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14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Con la presencia del embajador de Rep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blica Dominicana en Colombia, la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establece una agenda de trabajo bilateral en turismo, cultura, econom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e inversi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con el pa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 caribe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o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las instalaciones de la Universidad Cooperativa de Colombia,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particip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un encuentro con el embajador de Rep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blica Dominicana en Colombia, F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lix Aracena Vargas, en donde se acord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una agenda bilateral para fortalecer procesos de cultura, turismo, econom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e inversi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mismo, es importante mencionar que una delegaci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artesanos del Carnaval de Negros y Blancos se encuentra actualmente en el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caribe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 participando de un intercambio cultural que hace parte de este proceso de hermanamiento entre los dos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ses.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el jefe de la Oficina de Asuntos Internacionales, Aimer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ngel Restrepo, en dicha reuni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se busc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fortalecer alianzas estrat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gicas entre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y la Embajada de Rep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blica Dominicana en Colombia. Adicionalmente el funcionario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establecer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una mesa de trabajo con los empresarios de la regi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para coordinar la exportaci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productos a este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"Como lo manifest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alcalde de Pasto,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Toro, nuestro municipio es una tierra de oportunidades y tiene el potencial necesario para ser visibilizado en materia empresarial",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Aimer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ngel Restrepo.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el embajador de Rep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blica Dominicana en Colombia, F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lix Aracena Vargas,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debe trabajar conjuntamente entre Colombia y su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ya que son dos econom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as muy fuertes en el continente.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"Hay que desarrollar una sinergia entre los dos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ses. Tenemos un potencial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 y de producci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n. Debemos complementarnos. Tenemos un mercado de 30 millones de consumidores que son importantes en este proceso", sostuvo el embajador. 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