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18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trav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de mercados campesinos,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apoya a productoras del corregimiento de Obonuco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parque Rumipamba,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Agricultura lider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mercado campesino con mujeres productoras del corregimiento de Obonuco las cuales comercializaron alimentos en el marco de un proyecto de seguridad y soberan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alimentaria apoyado por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Municipal y Agrosavia.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Agricultura, Silvia Alejandra Pupiales, este proceso benefici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40 mujeres residentes en los sectores de Playa Alta y San Felipe del corregimiento de Obonuco. Estas actividades, 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 funcionaria, son importantes porque la ciudadan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conoce estas actividades que se desarrollan en la zona rural del municipio y apoyan a estas mujeres productoras.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Estos encuentros culturales son importantes para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porque estamos fortaleciendo nuestro campo y la agroindustria. Queremos empoderar a la mujer rural y campesina. Agradecemos el apoyo de las dependencias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por visibilizar a las mujeres", dijo la secretaria de Mujeres, Orientaciones Sexuales e Identidades de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nero,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Cristina Rivera.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Finalmente, la emprendedora Sonia Solano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de Pasto por este tipo de espacios comerciales en donde se puede visibilizar su trabajo dentro de la sociedad.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