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sz w:val="24"/>
          <w:szCs w:val="24"/>
          <w:rtl w:val="0"/>
          <w:lang w:val="es-ES_tradnl"/>
        </w:rPr>
        <w:t xml:space="preserve">19 </w:t>
      </w:r>
      <w:r>
        <w:rPr>
          <w:rStyle w:val="Ninguno"/>
          <w:sz w:val="24"/>
          <w:szCs w:val="24"/>
          <w:rtl w:val="0"/>
          <w:lang w:val="es-ES_tradnl"/>
        </w:rPr>
        <w:t>de marzo</w:t>
      </w:r>
      <w:r>
        <w:rPr>
          <w:rStyle w:val="Ninguno"/>
          <w:sz w:val="24"/>
          <w:szCs w:val="24"/>
          <w:rtl w:val="0"/>
          <w:lang w:val="it-IT"/>
        </w:rPr>
        <w:t xml:space="preserve"> del 2024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 la elecci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los nuevos miembros de la Mesa Municipal de Asuntos Religiosos</w:t>
      </w: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En una reuni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sostenida en las instalaciones de 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Pasto se llev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a cabo la elecci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 los nuevos miembros de la Mesa Municipal de Asuntos Religiosos quienes participar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activamente de todos los procesos p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blicos de la mano con la Administraci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Municipal y en la consolidaci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 del Plan Municipal de Desarrollo.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trabajadora social de la Subsecretar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Convivencia y Derechos Humanos, Mar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Eugenia Chamorro, se eligieron democr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ticamente a los 6 miembros desde diferentes entidades religiosas para conformar dicho comit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. Es importante tener en cuenta que, seg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n la funcionaria, estas acciones se realizan bajo la pol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 xml:space="preserve">blica del 14 de diciembre del 2021 en donde se garantiza la libertad religiosa que conlleve al respeto de las dogmas de cada ciudadano residente en Pasto.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"Esta reuni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fue importante porque elegimos al Comit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rtl w:val="0"/>
          <w:lang w:val="es-ES_tradnl"/>
        </w:rPr>
        <w:t>Intersectorial de Asuntos Religiosos en donde a trav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de este mecanismo tendremos un di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logo con las instituciones p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 xml:space="preserve">blicas para cooperar con las congregaciones. Tenemos que promover el respeto a la libertad religiosa", dijo el nuevo integrante de la Mesa de Asuntos Religiosos, Darienzo 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 xml:space="preserve">lvarez.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Finalmente, desde la Administraci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Municipal se ratific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compromiso de trabajar de la mano con las entidades religiosas y promover un respeto hacia las ideolog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as diferentes. As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rtl w:val="0"/>
          <w:lang w:val="es-ES_tradnl"/>
        </w:rPr>
        <w:t>mismo, se espera cumplir, dentro del Plan Municipal de Desarrollo, con los compromisos adquiridos con la pol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 xml:space="preserve">blica del sector religioso.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cs="Century Gothic" w:hAnsi="Century Gothic" w:eastAsia="Century Gothic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