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instal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Mesa Municipal de Participaci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Lgtbi - Osiegd 2024-2027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el auditorio de la Alcald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Pasto se llev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cabo el acto de posesi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Mesa Municipal de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Lg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tbi </w:t>
      </w:r>
      <w:r>
        <w:rPr>
          <w:rFonts w:ascii="Century Gothic" w:hAnsi="Century Gothic" w:hint="default"/>
          <w:sz w:val="24"/>
          <w:szCs w:val="24"/>
          <w:rtl w:val="0"/>
        </w:rPr>
        <w:t xml:space="preserve">–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Osiegd, en conmemoraci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al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</w:rPr>
        <w:t xml:space="preserve">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nternacional contra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H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omofobia,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ransfobia y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ifobia. Doce integrantes pertenecientes a la comunidad diversa conformaron esta mesa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recibieron reconocimientos por parte del alcalde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s Toro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;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 secretaria de Mujeres, Orientaciones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</w:t>
      </w:r>
      <w:r>
        <w:rPr>
          <w:rFonts w:ascii="Century Gothic" w:hAnsi="Century Gothic"/>
          <w:sz w:val="24"/>
          <w:szCs w:val="24"/>
          <w:rtl w:val="0"/>
          <w:lang w:val="pt-PT"/>
        </w:rPr>
        <w:t>xuales e Identidades de 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nero, Jaqueline Castillo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; </w:t>
      </w:r>
      <w:r>
        <w:rPr>
          <w:rFonts w:ascii="Century Gothic" w:hAnsi="Century Gothic"/>
          <w:sz w:val="24"/>
          <w:szCs w:val="24"/>
          <w:rtl w:val="0"/>
          <w:lang w:val="pt-PT"/>
        </w:rPr>
        <w:t>la subsecretaria de Planeaci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n con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</w:t>
      </w:r>
      <w:r>
        <w:rPr>
          <w:rFonts w:ascii="Century Gothic" w:hAnsi="Century Gothic"/>
          <w:sz w:val="24"/>
          <w:szCs w:val="24"/>
          <w:rtl w:val="0"/>
          <w:lang w:val="fr-FR"/>
        </w:rPr>
        <w:t xml:space="preserve">nfoque de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nero, Sof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a Santacruz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;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y la concejala Mar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a Alejandra Guerrero.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Tenemos que hacer un plan de acci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en articulaci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con esta poblaci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para establecer los proyectos que vamos a trabajar y as</w:t>
      </w:r>
      <w:r>
        <w:rPr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poder incluir sus propuestas en el Plan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pt-PT"/>
        </w:rPr>
        <w:t>Municipal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de Desarrollo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las tem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ticas de empoderamiento econ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mico, gobernanza y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pol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tica ya que esta ha sido una de las comunidades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afectadas por la violencia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fr-FR"/>
        </w:rPr>
        <w:t>expres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la secretaria de Mujeres, Orientaciones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pt-PT"/>
        </w:rPr>
        <w:t>exuales e Identidades de 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nero, Jaqueline Castillo.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El seguimiento permanente del plan de acci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la Pol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para la Diversidad Sexual y de 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neros estar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cargo de la Mesa de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gtbi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 el Consejo Ciudadano de Mujeres del municipio de Pasto, cuya funci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it-IT"/>
        </w:rPr>
        <w:t>n primordial ser</w:t>
      </w:r>
      <w:r>
        <w:rPr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nl-NL"/>
        </w:rPr>
        <w:t>la veedur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a la ejecuci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fr-FR"/>
        </w:rPr>
        <w:t>n de la pol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y la presentaci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un informe anual de seguimiento teniendo en cuenta los indicadores que se proponen para cada 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nea estrat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</w:rPr>
        <w:t>gica.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 base fundamental de la mesa va a ser exigir la implementaci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fr-FR"/>
        </w:rPr>
        <w:t>n de la pol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aprobada el 24 de diciembre de 2019. Invitamos a los j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 que hacen parte de la comunidad diversa a empoderar nuestras banderas y liderar procesos de participaci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ciudadana. No tengamos miedo de aceptar quienes somos y alcemos el orgullo de serlo,</w:t>
      </w:r>
      <w:r>
        <w:rPr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Fonts w:ascii="Century Gothic" w:hAnsi="Century Gothic"/>
          <w:sz w:val="24"/>
          <w:szCs w:val="24"/>
          <w:rtl w:val="0"/>
        </w:rPr>
        <w:t>declar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Representante de las Diversidades Sexuales y de G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it-IT"/>
        </w:rPr>
        <w:t>nero, Artix Elle Metanoia.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outline w:val="0"/>
          <w:color w:val="1f1f1f"/>
          <w:sz w:val="24"/>
          <w:szCs w:val="24"/>
          <w:rtl w:val="0"/>
          <w:lang w:val="it-IT"/>
          <w14:textFill>
            <w14:solidFill>
              <w14:srgbClr w14:val="1F1F1F"/>
            </w14:solidFill>
          </w14:textFill>
        </w:rPr>
        <w:t xml:space="preserve">Finalmente, la </w:t>
      </w:r>
      <w:r>
        <w:rPr>
          <w:rStyle w:val="Ninguno"/>
          <w:rFonts w:ascii="Century Gothic" w:hAnsi="Century Gothic"/>
          <w:outline w:val="0"/>
          <w:color w:val="1f1f1f"/>
          <w:sz w:val="24"/>
          <w:szCs w:val="24"/>
          <w:rtl w:val="0"/>
          <w:lang w:val="es-ES_tradnl"/>
          <w14:textFill>
            <w14:solidFill>
              <w14:srgbClr w14:val="1F1F1F"/>
            </w14:solidFill>
          </w14:textFill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 xml:space="preserve">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Fonts w:ascii="Century Gothic" w:hAnsi="Century Gothic"/>
          <w:sz w:val="24"/>
          <w:szCs w:val="24"/>
          <w:rtl w:val="0"/>
          <w:lang w:val="pt-PT"/>
        </w:rPr>
        <w:t>unicipal reafirm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su compromiso inclusivo y democr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tico con la poblaci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 Lg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tbi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para asegurar el cumplimiento de las pol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>ticas p</w:t>
      </w:r>
      <w:r>
        <w:rPr>
          <w:rFonts w:ascii="Century Gothic" w:hAnsi="Century Gothic" w:hint="default"/>
          <w:sz w:val="24"/>
          <w:szCs w:val="24"/>
          <w:rtl w:val="0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blicas en curso y la plena garant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sus derechos.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