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24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insumos para la reconstrucci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reservorio de agua de la asociaci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La Toma en Mocondino Alto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las fuertes lluvias presentadas el mes de marzo, el reservorio de agua de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Toma del corregimiento de Mocondino sufri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graves afectaciones que perjudic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servicio de agua en la zona, ante ello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materiales e insumos para la reconstrucci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dicho reservorio.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Agricultura, Silvia Pupiales,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25 familias se benefician de este reservorio de agua en todos los procesos agr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colas y pecuarios. Es por ello que,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funcionaria, era necesaria esta reconstrucci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garantizar el suministro de agua a esta zona del oriente de Pasto.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"Hicimos la entrega de material para la reconstrucci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reservorio de Mocondino Alto que fue destruido por la avalancha del mes de marzo. La comunidad nos hizo la solicitud para que atendamos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Hicimos un censo y recopilamos la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necesaria para poder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 a los afectados",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Silvia Pupiales.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la comunidad residente en la zona agradeci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apoyo y presencia del alcalde Nicolas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 quien ratific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su compromiso para seguir liderando acciones inmediatas en favor del bienestar de las comunidades rurales de la capital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ense.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