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14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del segundo taller Agrodigital en el corregimiento de Mocondino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corregimiento de Mocondino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apoy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segundo taller Agrodigital con el cual se busca capacitar en marketing digital a los campesinos y agricultores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 Esta iniciativa es liderada por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Colombiana de Comercio Electr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nico y se viene realizando en diferentes zonas del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coordinadora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 del proyecto Agrodigital, Juliana Molina, con este proceso se pretende que los productores puedan llegar a los consumidores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medio digital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comercialicen sus productos. De igual manera, la funcionaria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se han liderado 50 capacitaciones y se espera realizar 200 encuentros durante todo el proceso.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"Estos espacios son beneficiosos ya que en la comunidad existe un desconocimiento en marketing digital y redes sociales. Queremos acabar con la brecha que existe entre el campesino y los temas digitales.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ayudamos a nuestros padres y abuelos en estos procesos. Queremos que los capaciten para compartir conocimientos", dijo la edil del corregimiento de Mocondino, Daniela Jojoa.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 la Asociaci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Agropecuaria La Toma, Fabio Naspir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ha sido importante como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ha apoyado en estos procesos de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venta de los productos agr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colas para todos los campesinos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 con el apoyo en este tipo de espacios,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y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capacitar a los productores rurales en temas digitales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mejorar su calidad de vida y optimizar sus ventas.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