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exposici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24 emprendimientos,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mico dio apertura 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Territorio Tur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stico y Creativo La 27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´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iniciativa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mico, se dio apertura 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Territorio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Creativo La 27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donde se exponen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24 emprendimientos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sticos, artesanales y culturales en la carrera 27 con calle 17 - 47.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visita al sector comercial,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iniciativa busca estimular el turismo en Pasto y su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 Adicionalmente, el mandatario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este proceso participan ideas de de negocio del corregimiento de El Encano al cual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impulsando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turismo luego de las afectaciones sufridas por las fuertes lluvias.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beneficio es para todos en Pasto porque este es un punto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que nos ayuda a reafirmar lo que estamos trabajando en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estas actividades. Hay artesan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Mopa Mopa, bisuter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alimentos, entre otras cosas", dijo 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gu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Elizabeth Mora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buena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impulsar el turismo social en Pasto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innovaci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participante del encuentro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visitar esta feria la cual se realiza durante la semana del 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haciendo un esfuerzo entre todos los emprendedores y operadores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sticos. Queremos que la gente venga y nos ayude a promover porque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fortalecemos la cultura y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Pasto", dijo la participante del encuentro Norma Reyna.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