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21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Crece demanda de servicios de urgencias en Pasto,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hace recomendaciones a comunidad y red prestadora de servicios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Ante el aumento en las 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ltimas semanas de infecciones respiratorias agudas que han llevado a la poblaci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infantil y adulta al aumento del uso de los servicios de salud que ha generado una sobresaturaci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de los servicios de urgencias de las instituciones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ospitalarias de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gundo y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ercer nivel de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iudad de Pasto, espec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ficamente de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los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ospitales: Universitario Departamental de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Fundaci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Hospital San Pedro y Hospital Infantil Los 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ngeles, dichas instituciones han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declarado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alerta roja por sobreocupaci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de los servicios de salud.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Por lo tanto, se insta a la comunidad del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unicipio de Pasto asumir con responsabilidad el uso de los servicios de urgencias y acudir a ellos solo en casos extremadamente graves.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Se solicita tambi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 la Empresa Social del Estado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 Pasto Salud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E.S.E.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aumentar la frecuencia de sus servicios asistenciales con el fin de atender casos prioritarios y desescalonar los pacientes que acuden a los servicios de urgencias, de la misma manera a las EAPB Entidades Promotoras de Salud del R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gimen Contributivo y del R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gimen Subsidiado que hacen presencia en el municipio hacer uso adecuado del sistema de contra referencia para que los pacientes que se encuentran hospitalizados en el nivel dos y tres de atenci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puedan seguir sus tratamientos en la medida de lo posible en primer nivel de complejidad.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La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Salud de Pasto recomienda a la ciudadan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intensificar las medidas de autocuidado y prevenci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como el lavado de manos (m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nimo 20 segundos con agua, jab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o alcohol glicerinado), ventilaci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espacios cerrados, uso de tapabocas y una buena hidrataci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n, as</w:t>
      </w:r>
      <w:r>
        <w:rPr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pt-PT"/>
        </w:rPr>
        <w:t>como completar esquemas de vacunaci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 toda la familia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e</w:t>
      </w:r>
      <w:r>
        <w:rPr>
          <w:rFonts w:ascii="Century Gothic" w:hAnsi="Century Gothic"/>
          <w:sz w:val="24"/>
          <w:szCs w:val="24"/>
          <w:rtl w:val="0"/>
        </w:rPr>
        <w:t>spec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ficamente la vacuna contra influenza en grupos priorizados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p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oblaci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infantil de 6 a 23 meses de edad, poblaci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mayor de 60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</w:rPr>
        <w:t>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 edad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gestantes a partir de la semana 14, familiares y convivientes de los menores de 18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de edad </w:t>
      </w:r>
      <w:r>
        <w:rPr>
          <w:rFonts w:ascii="Century Gothic" w:hAnsi="Century Gothic"/>
          <w:sz w:val="24"/>
          <w:szCs w:val="24"/>
          <w:rtl w:val="0"/>
          <w:lang w:val="it-IT"/>
        </w:rPr>
        <w:t>con c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ncer y talento humano en salud.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