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246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246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20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del lanzamiento de la V versi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feria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otex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las instalaciones del Hotel Morasurco se realiz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lanzamiento de la V versi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la feria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otex con la cual se busca fortalecer la moda sostenible y la cadena productiva. Del encuentro particip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mico, junto a Procolombia, 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mara Colombiana de Confecciones, Gobernaci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o, 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mara de Comercio de Pasto, entre otras instituciones.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Esta feria abierta al p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pt-PT"/>
        </w:rPr>
        <w:t>blico se realizar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los 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29, 30 y 31 de agosto en el Hotel Morasurco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en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donde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se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 contar</w:t>
      </w:r>
      <w:r>
        <w:rPr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con la participaci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174 stand entre industria local, nacional e internacional, 10 pasarelas, 10 conferencistas internacionales entre los 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s destacados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cnico de f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tbol </w:t>
      </w:r>
      <w:r>
        <w:rPr>
          <w:rFonts w:ascii="Century Gothic" w:hAnsi="Century Gothic"/>
          <w:sz w:val="24"/>
          <w:szCs w:val="24"/>
          <w:rtl w:val="0"/>
          <w:lang w:val="de-DE"/>
        </w:rPr>
        <w:t>Francisco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Maturana y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la periodista </w:t>
      </w:r>
      <w:r>
        <w:rPr>
          <w:rFonts w:ascii="Century Gothic" w:hAnsi="Century Gothic"/>
          <w:sz w:val="24"/>
          <w:szCs w:val="24"/>
          <w:rtl w:val="0"/>
        </w:rPr>
        <w:t>Mar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it-IT"/>
        </w:rPr>
        <w:t>a del Pilar Casta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</w:rPr>
        <w:t>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;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eventos culturales y degustaciones gastron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pt-PT"/>
        </w:rPr>
        <w:t>micas.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Sobre el encuentro, la subsecretaria de Fomento, Catalina Rosas, indic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esta feria permitir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reactivar el sector hotelero, tur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stico y gastron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 de Pasto. Adicionalmente, la funcionaria se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se han identificado algunos emprendimientos los cuales ser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apoyados desde la institucionalidad.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enero de este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empezamos la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 que aport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la infraestructura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junto 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El objetivo de esta feria es que los emprendedores logren negocios internacionales con Ecuador, Bolivia, Per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Chile y que puedan ampliar su capacidad exportadora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, recalc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residente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Colombiana de la Confecci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Regional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o, Dar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o Gonz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lez.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acciones,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para trabajar sobre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mica de los distintos sectores comerciales del municipio. </w:t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