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253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253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24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Subsecretar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Turismo apoy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limpieza y recolecci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residuos en la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al corregimiento de El Encano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apoyo de la comunidad del corregimiento de El Encano,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Subsecretaria de Turismo, apoy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limpieza y recolecci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residuos en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que conduce al corregimiento de El Encano. Durante varias horas de trabajo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adecuar este trayecto que conduce a uno de los destinos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importantes de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"Con el apoyo de los lancheros de la Laguna de la Cocha realizamos esta labor social que fue una iniciativa de ellos. Se limpi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tramo que conduce de la Divina Pastora hacia el sector de El Puerto. Hay una responsabilidad social por parte de la comunidad con su territorio",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Turismo, Braulio Hidalgo.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lanchero Robert Figueroa,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ante el incremento de basura en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al corregimiento de El Encano, se propuso esta jornada la cual fue un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xito y se espera que contin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meses con el apoyo de la comunidad y la institucionalidad.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"Agradecemos a la comunidad y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el apoyo a la jornada de aseo. Queremos proteger el medio ambiente y a la Laguna de la Cocha. Invitamos a los turistas, ciclistas, entre otros, a tener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conciencia y no botar basura en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a", dijo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 la vereda El Puerto, Arturo Josa.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apoyar estas jornadas de limpieza que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cuidar el medio ambiente y embellecer esta zona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del municipio.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