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309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309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8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octubre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En Pasto se aplicaron m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de 6.300 vacunas durante la Segunda Jornada Nacional de Intensificaci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Vacunaci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 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La Alcald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 Salud, lider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la Segunda Jornada Nacional de Intensificaci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 Vacunaci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en donde se aplicaron 6.383 dosis de vacunas para prevenir el Virus del Papiloma Humano, VPH. Este proceso fue acompa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ado por las IPS las cuales aplicaron estos biol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gicos durante estas jornadas que se ampliar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durante los pr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ximos meses.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"El equipo a cargo del Programa Ampliado de Inmunizaci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n, PAI, coordin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acciones interinstitucionales en el anterior mes de septiembre que permitieron lograr este balance positivo de biol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gicos aplicados a ni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os, ni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as, adolescentes, mujeres en estado de gestaci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n, adultos mayores, entre otros", dijo la secretaria de Salud, Maryluz Castillo.</w:t>
      </w:r>
    </w:p>
    <w:p>
      <w:pPr>
        <w:pStyle w:val="Cuerpo A"/>
        <w:jc w:val="both"/>
      </w:pPr>
      <w:r>
        <w:rPr>
          <w:rFonts w:ascii="Century Gothic" w:hAnsi="Century Gothic"/>
          <w:sz w:val="24"/>
          <w:szCs w:val="24"/>
          <w:rtl w:val="0"/>
          <w:lang w:val="es-ES_tradnl"/>
        </w:rPr>
        <w:t>De igual manera, la funcionaria precis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que se avanza en la sensibilizaci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para que los ni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os, ni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as y adolescentes se vacunen contra el VPH el cual es causante de cancer de c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rvix y cancer de mam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, principalmente en las mujeres. Ante ello, se espera intensificar estas jornadas en el sector educativo para llegar con los biol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gicos a m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s personas. </w:t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