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11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particip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de la Asamblea Intersectorial L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ctea liderada por el Ministerio de Agricultura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Con total 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xito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Asamblea Intersectorial 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ctea la cual fue liderada por el Ministerio de Agricultura y que fue apoyada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Agricultura. Durante el encuentro se analiz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mica que hoy afronta el sector lechero y las ayudas que brindar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el Gobierno Nacional para que los productores locales mejoren sus ingresos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"Atendimos este llamado y comit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para trabajar en favor del sector 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cteo y conocer las inquietudes que tienen. Queremos trabajar sobre estrategias para apoyarlos y fortalecer su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a. Nuestro municipio tiene un sector rural importante y por eso debemos generar estrategias en estas mesas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cnicas", dijo el alcalde (e), Diego Pa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 Mart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nez.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viceministra de Asuntos Agropecuarios, Xiomara Ortega,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el Gobierno Nacional incluir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en una estrategia en donde se busca entregar beneficios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para los productores rurales por un valor aproximado de 70 mil millones de pesos. Adicionalmente, la funcionaria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fortalecer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las compras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blicas locales para que las instituciones puedan adquirir y comercializar estos alimentos.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"Este es un excelente espacio donde podemos expresar la problem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tica que nos aqueja en el campo. Los Gobiernos pasados acabaron el campo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ense y colombiano. Estamos afectados por los bajos precios en la compra del litro de leche. Esto nos tiene en caos y queremos que el Gobierno Nacional formalice la agroindustria de los productos 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cteos",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asistente al evento, F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lix Pantoja.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