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326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326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21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octubre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Carnaval de Negros y Blancos se tom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acto de apertura de la COP16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cultural y musical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170 artistas del Carnaval de Negros y Blancos, se di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apertura oficial a la zona verde de la COP16 la cual se vivi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Bulevar del Rio en la ciudad de Cali. La delegaci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 presente en el evento fue liderada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Municipal,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Ambiental.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felices por este encuentro. Agradecemos al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y al equipo del Ministerio de Ambiente para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proceso sea una realidad. Hoy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hubo buen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amiento del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blico cale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esta iniciativa de articular la cultura con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este tipo de eventos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El recibimiento fue espectacular porque sentimos el calor de la gente. Tenemos una serie de proyectos para el tratamiento de agua en El Encano y el cuidado de nuestros humedales en esta zona", dijo la secretaria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Ambiental, Victoria Benavides.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funcionario del Ministerio del Ambiente, Fernando Garc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Pasto en la zona verde de la COP16 fue un total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xito. Adicionalmente, el funcionario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buena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su ministerio con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para que la fiesta en la COP16 fuera por parte de la delegaci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el secretario de Indoamericanto, Jaime Chazatar,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presentaci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Carnaval de Negros y Blancos en la ciudad de Cali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muchos turistas lleguen a Pasto en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festividades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impulsar el carnaval como Patrimonio Cultural Inmaterial de la UNESCO.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 un honor porque representamos nuestro carnaval. Tuvimos una gran responsabilidad y seguramente cumplimos con nuestro trabajo",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artista,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