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336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336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29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y Contralor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visitaron y verificaron la situaci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jur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dica de la sede del barrio Lorenzo del Colegio Ciudad de Pasto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Riesgo del Desastre, junto a la Contralor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General de la Rep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visitaron el Colegio Ciudad de Pasto, sede Lorenzo, para verificar su estado actual y la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jur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dica que impiden su pleno funcionamiento.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el encuentro,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Toro, recorri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dichas instalaciones y constat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estado de la infraestructura del Teatro Pasto el cual tiene una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contractual que impide su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Ante ello el mandatario municipal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comunidad que se 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celeridad a la liquidaci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este contrato vigente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poder trabajar en sus mejoras y que no represente un riesgo para la comunidad educativa.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contratos en el Teatro Pasto que impiden obras complementarias en esta sede del Colegio Ciudad de Pasto. Hay unos tiempos con la Contralor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esperamos que muy pronto se solucione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jur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dica. Hay proceso que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deben ser apoyados por la comunidad del barrio Lorenzo en temas como el uso de la cancha de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tbol, entre otros", dijo la secretaria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Piedad Figueroa.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rector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 Ciudad de Pasto,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Guancha,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fue positiva la visita del alcalde,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Toro, a esta sede ya que existe una esperanza para que el proceso avance y estas instalaciones puedan entrar en funcionamiento. 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dialogado con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Lorenzo para que haya un acceso controlado de los estudiantes a la cancha de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tbol. La comunidad ha mostrado buena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compartir espacios. Agradecemos la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compromiso del alcalde para tratar estas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rector Jos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Guancha.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