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4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del festival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ces y Sabores Campesinos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la Subsecretar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Fomento impulsa la reactivaci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mica de las zonas rurales de Pasto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corregimiento de El Encano 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festival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Ra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ces y Sabores Campesinos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en donde se impuls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reactivaci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mica de la zona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venta de productos locales y muestras culturales. Esta iniciativa fue liderada por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Subsecretar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Fomento, y espera llegar 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zonas rurales del municipio.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subsecretaria de Fomento, Catalina Rosas,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estos festivales buscan apoyar los emprendimientos y trabajos de los campesinos de Pasto. Adicionalmente, la funcionaria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las personas que llegan al corregimiento de El Encano pueden impulsar el turismo y conocer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la zona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los gu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y empresas dedicadas a promover la belleza del sector.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"Represent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mujer campesina del corregimiento de El Encano y estamos celebrando este festival que nos da la oportunidad de vender nuestros productos naturales y reci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 cosechados. Tenemos artesan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as, plantas ornamentales y todo nuestro potencial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para la gente que venga a visitarnos",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der campesina, Betty Cuar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el asistente al evento Edgar Montilla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este tipo de eventos e 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promover los sitios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sticos del municipio de Pasto junto al trabajo de los campesinos. 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