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21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Ambiental socializ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la fase II y III del Centro de Bienestar Animal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auditorio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fase II y III del Centro de Bienestar Animal, CBA, con el cual se espera brindar una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digna y de calidad a los animales que se encuentren en condiciones vulnerables. Del encuentro participaron asociaciones animalistas quienes expresaron 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este proyecto liderado por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estas dos fases del CBA tiene un valor de aproximadamente $4.852 millones y se proyecta construir dos consultorios veterinarios, gateras, aumentar la capacidad de albergue de perros, 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un quir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fano, aulas pedag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gicas,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reas de lavado, zona de cuarentena y nuevos equipos veterinarios para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ptima de los animales.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apoyando este proceso el cual ya tiene actualizado los dise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el presupuesto para su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financiamiento. Estamos bajo una normatividad de bienestar animal que cumpliremos con este proyecto que garantizar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cuidado de los animales. Crearemos un programa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 como lo plasmamos en el Plan Municipal de Desarrollo",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Ambiental, Victoria Benavides.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consejera municipal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ciudadana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animal,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Antonia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rdenas,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trabajo y buena voluntad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 para mejorar las condiciones del CBA.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alcalde nos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existe un cr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dito para mejorar el CBA y concluir las fases de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pendientes. Queremos que los animales reciban una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veterinaria y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entren en un proceso de adopci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responsable",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Antonia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rdenas.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