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370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370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27 de noviembre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Llamado al auto cuidado y a la responsabilidad personal y familia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r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por caso de menor de edad lesionado con 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it-IT"/>
        </w:rPr>
        <w:t>lvora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Un vehemente llamado a padres de familia, autoridades, docentes y comunidad en general hizo 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 de Pasto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 xml:space="preserve">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Salud, frente a la responsabilidad en la manipulaci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nl-NL"/>
        </w:rPr>
        <w:t>n de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lvora, en especial por parte de menores de edad.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Lamentablemente </w:t>
      </w:r>
      <w:r>
        <w:rPr>
          <w:rStyle w:val="Ninguno"/>
          <w:rFonts w:ascii="Century Gothic" w:hAnsi="Century Gothic"/>
          <w:sz w:val="24"/>
          <w:szCs w:val="24"/>
          <w:rtl w:val="0"/>
        </w:rPr>
        <w:t>se confirm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que un estudiante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</w:rPr>
        <w:t>de 17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de edad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de-DE"/>
        </w:rPr>
        <w:t>sufri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lesiones en sus extremidades superiores como consecuencia de uso indebido de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 en una actividad por fuera de la instituci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n educativa.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 xml:space="preserve">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ecretaria de Salud, Mary Luz Castillo Rosero, indic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pese a los esfuerzos realizados y las distintas campa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de sensibilizaci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desarrolladas en instituciones educativas, barrios, comunas, corregimientos, plazas de mercado, instituciones y en el espacio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blico, no existe una conciencia de autocuidado frente a la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 y este hecho deja lamentables consecuencias.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responsabilidad en el autocuidado y la prevenci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lesiones no 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 recae en las autoridades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ya que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es un deber de cada persona, de los padres de familia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 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lamentable que una persona tan corta edad sufra estas lesiones. Desde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Salud hacemos un llamado tambi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 quienes almacenan y comercializan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lvora,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ya que esto un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delito que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se vuelve </w:t>
      </w:r>
      <w:r>
        <w:rPr>
          <w:rStyle w:val="Ninguno"/>
          <w:rFonts w:ascii="Century Gothic" w:hAnsi="Century Gothic"/>
          <w:sz w:val="24"/>
          <w:szCs w:val="24"/>
          <w:rtl w:val="0"/>
        </w:rPr>
        <w:t>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grave si este material se le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vendiendo a menores de edad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”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indic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funcionaria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.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Adicionalmente, l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secretaria Mary Luz Castillo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inform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mensualmente,  desde principios del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</w:rPr>
        <w:t>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se re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ne el comit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prevenci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lesionados por uso de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lvora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para articular acciones desde todas las instancias que permitan la prevenci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la sensibilizaci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frente a estos lamentables hechos y por ello reiter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llamado a la comunidad para que no compre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lvora.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l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a funcionaria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 necesario incrementar los operativos tendientes a la incautaci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este material y la sanci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quienes los comercializan.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right"/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#PastoMejorSinP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lvora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