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23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a de Agricultura impuso bandas a las candidatas al reinando del Festival del Cuy y la Cultura Campesina 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  <w:lang w:val="es-ES_tradnl"/>
        </w:rPr>
        <w:t>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Agricultura,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imposici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bandas a las candidatas al reinado del Festival del Cuy y la Cultura Campesina quienes representan a los 17 corregimientos del municipio. En total fueron 12 candidatas las que recibieron la banda por parte de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Municipal.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 secretaria de Agricultura, Silvia Pupiales,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a las candidatas se las capacit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en temas relacionados al concurso, protocolo, pasarela y todo lo relacionado en gastronom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a, especialmente en el cuy. Adicionalmente, la funcionaria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la ganadora del reinado deber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tener la capacidad de representar a los 17 corregimientos de Pasto y exponer su riqueza cultural.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"Estoy representando el corregimiento de Mapachico y quiero visibilizar nuestra cultura. Esta experiencia es gratificante y muy grande y agradecemos por la ayuda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en temas como pasarela y presentaci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 Quien sea que se lleve la corona esperamos que nos representen de la mejor manera", dijo la candidata Pamela Jurado.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ahora se espera con gran expectativa la coronaci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reina del Festival del Cuy y la Cultura Campesina el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ximo 27 de diciembre en las instalaciones de la Instituci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Educativa Municipal 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cnico Industrial.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