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22.xml" ContentType="application/vnd.openxmlformats-officedocument.drawingml.chart+xml"/>
  <Default Extension="xlsx" ContentType="application/vnd.openxmlformats-officedocument.spreadsheetml.sheet"/>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51.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61.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57.xml" ContentType="application/vnd.openxmlformats-officedocument.themeOverride+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60.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CD6" w:rsidRDefault="009D6CD6" w:rsidP="00B74052">
      <w:pPr>
        <w:spacing w:after="0" w:line="240" w:lineRule="auto"/>
        <w:jc w:val="center"/>
        <w:rPr>
          <w:rFonts w:ascii="Century Gothic" w:hAnsi="Century Gothic"/>
          <w:b/>
          <w:sz w:val="28"/>
          <w:szCs w:val="28"/>
        </w:rPr>
      </w:pPr>
    </w:p>
    <w:p w:rsidR="00B74052" w:rsidRPr="00551D21" w:rsidRDefault="005351D0" w:rsidP="00B74052">
      <w:pPr>
        <w:spacing w:after="0" w:line="240" w:lineRule="auto"/>
        <w:jc w:val="center"/>
        <w:rPr>
          <w:rFonts w:ascii="Century Gothic" w:hAnsi="Century Gothic"/>
          <w:b/>
          <w:sz w:val="28"/>
          <w:szCs w:val="28"/>
        </w:rPr>
      </w:pPr>
      <w:r>
        <w:rPr>
          <w:rFonts w:ascii="Century Gothic" w:hAnsi="Century Gothic"/>
          <w:b/>
          <w:sz w:val="28"/>
          <w:szCs w:val="28"/>
        </w:rPr>
        <w:t>I</w:t>
      </w:r>
      <w:r w:rsidR="00B74052" w:rsidRPr="00551D21">
        <w:rPr>
          <w:rFonts w:ascii="Century Gothic" w:hAnsi="Century Gothic"/>
          <w:b/>
          <w:sz w:val="28"/>
          <w:szCs w:val="28"/>
        </w:rPr>
        <w:t xml:space="preserve">NFORME DE </w:t>
      </w:r>
      <w:r w:rsidR="003F2E89">
        <w:rPr>
          <w:rFonts w:ascii="Century Gothic" w:hAnsi="Century Gothic"/>
          <w:b/>
          <w:sz w:val="28"/>
          <w:szCs w:val="28"/>
        </w:rPr>
        <w:t xml:space="preserve">GESTIÓN </w:t>
      </w:r>
      <w:r w:rsidR="002F44A5">
        <w:rPr>
          <w:rFonts w:ascii="Century Gothic" w:hAnsi="Century Gothic"/>
          <w:b/>
          <w:sz w:val="28"/>
          <w:szCs w:val="28"/>
        </w:rPr>
        <w:t>PARA LA GARANTÍA</w:t>
      </w:r>
      <w:r>
        <w:rPr>
          <w:rFonts w:ascii="Century Gothic" w:hAnsi="Century Gothic"/>
          <w:b/>
          <w:sz w:val="28"/>
          <w:szCs w:val="28"/>
        </w:rPr>
        <w:t xml:space="preserve"> DE LOS DERECHOS DE LA PRIMERA INFANCIA, INF</w:t>
      </w:r>
      <w:r w:rsidR="0059027D">
        <w:rPr>
          <w:rFonts w:ascii="Century Gothic" w:hAnsi="Century Gothic"/>
          <w:b/>
          <w:sz w:val="28"/>
          <w:szCs w:val="28"/>
        </w:rPr>
        <w:t>A</w:t>
      </w:r>
      <w:r>
        <w:rPr>
          <w:rFonts w:ascii="Century Gothic" w:hAnsi="Century Gothic"/>
          <w:b/>
          <w:sz w:val="28"/>
          <w:szCs w:val="28"/>
        </w:rPr>
        <w:t>NCIA, ADOLESCENCIA Y JUVENTUD</w:t>
      </w:r>
      <w:r w:rsidR="0059027D">
        <w:rPr>
          <w:rFonts w:ascii="Century Gothic" w:hAnsi="Century Gothic"/>
          <w:b/>
          <w:sz w:val="28"/>
          <w:szCs w:val="28"/>
        </w:rPr>
        <w:t xml:space="preserve"> 2012-2015</w:t>
      </w:r>
    </w:p>
    <w:p w:rsidR="00B74052" w:rsidRDefault="00B74052" w:rsidP="00B74052">
      <w:pPr>
        <w:spacing w:after="0" w:line="240" w:lineRule="auto"/>
        <w:jc w:val="both"/>
        <w:rPr>
          <w:rFonts w:ascii="Century Gothic" w:hAnsi="Century Gothic"/>
          <w:b/>
          <w:sz w:val="28"/>
          <w:szCs w:val="28"/>
        </w:rPr>
      </w:pPr>
    </w:p>
    <w:p w:rsidR="00E733BC" w:rsidRDefault="004A79F5" w:rsidP="00E733BC">
      <w:pPr>
        <w:spacing w:after="0" w:line="240" w:lineRule="auto"/>
        <w:jc w:val="center"/>
        <w:rPr>
          <w:rFonts w:ascii="Century Gothic" w:hAnsi="Century Gothic"/>
          <w:b/>
          <w:sz w:val="28"/>
          <w:szCs w:val="28"/>
        </w:rPr>
      </w:pPr>
      <w:r>
        <w:rPr>
          <w:rFonts w:ascii="Century Gothic" w:hAnsi="Century Gothic"/>
          <w:b/>
          <w:noProof/>
          <w:sz w:val="28"/>
          <w:szCs w:val="28"/>
          <w:lang w:val="es-ES" w:eastAsia="es-ES"/>
        </w:rPr>
        <w:drawing>
          <wp:anchor distT="0" distB="0" distL="114300" distR="114300" simplePos="0" relativeHeight="251671552" behindDoc="0" locked="0" layoutInCell="1" allowOverlap="1">
            <wp:simplePos x="0" y="0"/>
            <wp:positionH relativeFrom="margin">
              <wp:align>center</wp:align>
            </wp:positionH>
            <wp:positionV relativeFrom="paragraph">
              <wp:posOffset>367665</wp:posOffset>
            </wp:positionV>
            <wp:extent cx="4686935" cy="3998595"/>
            <wp:effectExtent l="19050" t="0" r="0" b="0"/>
            <wp:wrapTopAndBottom/>
            <wp:docPr id="87" name="Imagen 87" descr="C:\Users\NATHALY\Downloads\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Y\Downloads\IMAGEN.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935" cy="3998595"/>
                    </a:xfrm>
                    <a:prstGeom prst="rect">
                      <a:avLst/>
                    </a:prstGeom>
                    <a:noFill/>
                    <a:ln>
                      <a:noFill/>
                    </a:ln>
                  </pic:spPr>
                </pic:pic>
              </a:graphicData>
            </a:graphic>
          </wp:anchor>
        </w:drawing>
      </w:r>
    </w:p>
    <w:p w:rsidR="004A79F5" w:rsidRDefault="004A79F5" w:rsidP="00E733BC">
      <w:pPr>
        <w:spacing w:after="0" w:line="240" w:lineRule="auto"/>
        <w:jc w:val="center"/>
        <w:rPr>
          <w:rFonts w:ascii="Century Gothic" w:hAnsi="Century Gothic"/>
          <w:b/>
          <w:sz w:val="28"/>
          <w:szCs w:val="28"/>
        </w:rPr>
      </w:pPr>
    </w:p>
    <w:p w:rsidR="004A79F5" w:rsidRDefault="004A79F5" w:rsidP="00E733BC">
      <w:pPr>
        <w:spacing w:after="0" w:line="240" w:lineRule="auto"/>
        <w:jc w:val="center"/>
        <w:rPr>
          <w:rFonts w:ascii="Century Gothic" w:hAnsi="Century Gothic"/>
          <w:b/>
          <w:sz w:val="28"/>
          <w:szCs w:val="28"/>
        </w:rPr>
      </w:pPr>
    </w:p>
    <w:p w:rsidR="00B74052" w:rsidRPr="00E733BC" w:rsidRDefault="00142217" w:rsidP="00E733BC">
      <w:pPr>
        <w:spacing w:after="0" w:line="240" w:lineRule="auto"/>
        <w:jc w:val="center"/>
        <w:rPr>
          <w:rFonts w:ascii="Century Gothic" w:hAnsi="Century Gothic"/>
          <w:b/>
          <w:sz w:val="28"/>
          <w:szCs w:val="28"/>
        </w:rPr>
      </w:pPr>
      <w:r>
        <w:rPr>
          <w:rFonts w:ascii="Century Gothic" w:hAnsi="Century Gothic"/>
          <w:b/>
          <w:sz w:val="28"/>
          <w:szCs w:val="28"/>
        </w:rPr>
        <w:t>HAROLD GUERRERO LÓPE</w:t>
      </w:r>
      <w:r w:rsidR="00E733BC">
        <w:rPr>
          <w:rFonts w:ascii="Century Gothic" w:hAnsi="Century Gothic"/>
          <w:b/>
          <w:sz w:val="28"/>
          <w:szCs w:val="28"/>
        </w:rPr>
        <w:t xml:space="preserve">Z </w:t>
      </w:r>
    </w:p>
    <w:p w:rsidR="00B74052" w:rsidRPr="00551D21" w:rsidRDefault="00B74052" w:rsidP="00B74052">
      <w:pPr>
        <w:spacing w:after="0" w:line="240" w:lineRule="auto"/>
        <w:jc w:val="center"/>
        <w:rPr>
          <w:rFonts w:ascii="Century Gothic" w:hAnsi="Century Gothic"/>
          <w:b/>
          <w:sz w:val="28"/>
          <w:szCs w:val="28"/>
        </w:rPr>
      </w:pPr>
      <w:r>
        <w:rPr>
          <w:rFonts w:ascii="Century Gothic" w:hAnsi="Century Gothic"/>
          <w:b/>
          <w:sz w:val="28"/>
          <w:szCs w:val="28"/>
        </w:rPr>
        <w:t>AL</w:t>
      </w:r>
      <w:r w:rsidRPr="00551D21">
        <w:rPr>
          <w:rFonts w:ascii="Century Gothic" w:hAnsi="Century Gothic"/>
          <w:b/>
          <w:sz w:val="28"/>
          <w:szCs w:val="28"/>
        </w:rPr>
        <w:t>CALDIA DE PASTO</w:t>
      </w:r>
    </w:p>
    <w:p w:rsidR="00B74052" w:rsidRPr="00551D21" w:rsidRDefault="00B74052" w:rsidP="00B74052">
      <w:pPr>
        <w:spacing w:after="0" w:line="240" w:lineRule="auto"/>
        <w:jc w:val="center"/>
        <w:rPr>
          <w:rFonts w:ascii="Century Gothic" w:hAnsi="Century Gothic"/>
          <w:b/>
          <w:sz w:val="28"/>
          <w:szCs w:val="28"/>
        </w:rPr>
      </w:pPr>
      <w:r w:rsidRPr="00551D21">
        <w:rPr>
          <w:rFonts w:ascii="Century Gothic" w:hAnsi="Century Gothic"/>
          <w:b/>
          <w:sz w:val="28"/>
          <w:szCs w:val="28"/>
        </w:rPr>
        <w:t>2015</w:t>
      </w:r>
    </w:p>
    <w:p w:rsidR="00B74052" w:rsidRPr="00551D21" w:rsidRDefault="00B74052" w:rsidP="00B74052">
      <w:pPr>
        <w:spacing w:after="0" w:line="240" w:lineRule="auto"/>
        <w:jc w:val="both"/>
        <w:rPr>
          <w:rFonts w:ascii="Century Gothic" w:hAnsi="Century Gothic"/>
          <w:b/>
          <w:sz w:val="28"/>
          <w:szCs w:val="28"/>
        </w:rPr>
      </w:pPr>
    </w:p>
    <w:p w:rsidR="00B74052" w:rsidRDefault="00B74052" w:rsidP="00B74052">
      <w:pPr>
        <w:spacing w:after="0" w:line="240" w:lineRule="auto"/>
        <w:jc w:val="both"/>
        <w:rPr>
          <w:rFonts w:ascii="Century Gothic" w:hAnsi="Century Gothic"/>
          <w:sz w:val="24"/>
          <w:szCs w:val="24"/>
        </w:rPr>
      </w:pPr>
    </w:p>
    <w:p w:rsidR="007B694B" w:rsidRDefault="007B694B" w:rsidP="00B74052">
      <w:pPr>
        <w:spacing w:after="0" w:line="240" w:lineRule="auto"/>
        <w:jc w:val="both"/>
        <w:rPr>
          <w:rFonts w:ascii="Century Gothic" w:hAnsi="Century Gothic"/>
          <w:sz w:val="24"/>
          <w:szCs w:val="24"/>
        </w:rPr>
        <w:sectPr w:rsidR="007B694B" w:rsidSect="00215ED6">
          <w:headerReference w:type="default" r:id="rId9"/>
          <w:footerReference w:type="default" r:id="rId10"/>
          <w:pgSz w:w="12240" w:h="15840"/>
          <w:pgMar w:top="1588" w:right="1701" w:bottom="1418" w:left="1701" w:header="0" w:footer="1134" w:gutter="0"/>
          <w:cols w:space="708"/>
          <w:docGrid w:linePitch="360"/>
        </w:sectPr>
      </w:pPr>
    </w:p>
    <w:p w:rsidR="006A72F0" w:rsidRPr="006A72F0" w:rsidRDefault="006A72F0" w:rsidP="004A0604">
      <w:pPr>
        <w:spacing w:after="0" w:line="240" w:lineRule="auto"/>
        <w:rPr>
          <w:b/>
        </w:rPr>
      </w:pPr>
    </w:p>
    <w:p w:rsidR="006A72F0" w:rsidRDefault="004A0604" w:rsidP="004A0604">
      <w:pPr>
        <w:tabs>
          <w:tab w:val="center" w:pos="4419"/>
          <w:tab w:val="left" w:pos="7935"/>
        </w:tabs>
        <w:spacing w:after="0" w:line="240" w:lineRule="auto"/>
        <w:rPr>
          <w:b/>
        </w:rPr>
      </w:pPr>
      <w:r>
        <w:rPr>
          <w:b/>
        </w:rPr>
        <w:tab/>
      </w:r>
      <w:r w:rsidR="006A72F0" w:rsidRPr="006A72F0">
        <w:rPr>
          <w:b/>
        </w:rPr>
        <w:t>INFORME DE GESTIÓN A LA CIUDADANÍA</w:t>
      </w:r>
      <w:r>
        <w:rPr>
          <w:b/>
        </w:rPr>
        <w:tab/>
      </w:r>
    </w:p>
    <w:p w:rsidR="00F1345F" w:rsidRDefault="00F1345F" w:rsidP="006A72F0">
      <w:pPr>
        <w:spacing w:after="0" w:line="240" w:lineRule="auto"/>
        <w:jc w:val="center"/>
        <w:rPr>
          <w:b/>
        </w:rPr>
      </w:pPr>
    </w:p>
    <w:p w:rsidR="00F1345F" w:rsidRPr="006A72F0" w:rsidRDefault="00F1345F" w:rsidP="006A72F0">
      <w:pPr>
        <w:spacing w:after="0" w:line="240" w:lineRule="auto"/>
        <w:jc w:val="center"/>
        <w:rPr>
          <w:b/>
        </w:rPr>
      </w:pPr>
    </w:p>
    <w:p w:rsidR="006A72F0" w:rsidRPr="006A72F0" w:rsidRDefault="006A72F0" w:rsidP="00B74052">
      <w:pPr>
        <w:spacing w:after="0" w:line="240" w:lineRule="auto"/>
        <w:jc w:val="both"/>
      </w:pPr>
      <w:r w:rsidRPr="006A72F0">
        <w:t xml:space="preserve">Índice </w:t>
      </w:r>
    </w:p>
    <w:p w:rsidR="00F1345F" w:rsidRDefault="00F1345F" w:rsidP="007C07DB">
      <w:pPr>
        <w:tabs>
          <w:tab w:val="left" w:pos="7860"/>
        </w:tabs>
        <w:spacing w:after="0" w:line="240" w:lineRule="auto"/>
        <w:jc w:val="both"/>
        <w:rPr>
          <w:rFonts w:ascii="Century Gothic" w:hAnsi="Century Gothic"/>
          <w:sz w:val="24"/>
          <w:szCs w:val="24"/>
        </w:rPr>
      </w:pPr>
    </w:p>
    <w:sdt>
      <w:sdtPr>
        <w:rPr>
          <w:rFonts w:asciiTheme="minorHAnsi" w:eastAsiaTheme="minorHAnsi" w:hAnsiTheme="minorHAnsi" w:cstheme="minorBidi"/>
          <w:color w:val="auto"/>
          <w:sz w:val="22"/>
          <w:szCs w:val="22"/>
          <w:lang w:val="es-ES" w:eastAsia="en-US"/>
        </w:rPr>
        <w:id w:val="1636215404"/>
        <w:docPartObj>
          <w:docPartGallery w:val="Table of Contents"/>
          <w:docPartUnique/>
        </w:docPartObj>
      </w:sdtPr>
      <w:sdtEndPr>
        <w:rPr>
          <w:b/>
          <w:bCs/>
        </w:rPr>
      </w:sdtEndPr>
      <w:sdtContent>
        <w:p w:rsidR="004A0604" w:rsidRDefault="004A0604">
          <w:pPr>
            <w:pStyle w:val="TtulodeTDC"/>
          </w:pPr>
          <w:r>
            <w:rPr>
              <w:lang w:val="es-ES"/>
            </w:rPr>
            <w:t>Contenido</w:t>
          </w:r>
        </w:p>
        <w:p w:rsidR="004A0604" w:rsidRDefault="00222418">
          <w:pPr>
            <w:pStyle w:val="TDC1"/>
            <w:tabs>
              <w:tab w:val="left" w:pos="440"/>
              <w:tab w:val="right" w:leader="dot" w:pos="8828"/>
            </w:tabs>
            <w:rPr>
              <w:rFonts w:eastAsiaTheme="minorEastAsia"/>
              <w:noProof/>
              <w:lang w:eastAsia="es-CO"/>
            </w:rPr>
          </w:pPr>
          <w:r w:rsidRPr="00222418">
            <w:fldChar w:fldCharType="begin"/>
          </w:r>
          <w:r w:rsidR="004A0604">
            <w:instrText xml:space="preserve"> TOC \o "1-3" \h \z \u </w:instrText>
          </w:r>
          <w:r w:rsidRPr="00222418">
            <w:fldChar w:fldCharType="separate"/>
          </w:r>
          <w:hyperlink w:anchor="_Toc437375990" w:history="1">
            <w:r w:rsidR="004A0604" w:rsidRPr="00EA5E7E">
              <w:rPr>
                <w:rStyle w:val="Hipervnculo"/>
                <w:rFonts w:asciiTheme="majorHAnsi" w:eastAsia="Calibri" w:hAnsiTheme="majorHAnsi"/>
                <w:b/>
                <w:noProof/>
              </w:rPr>
              <w:t>1.</w:t>
            </w:r>
            <w:r w:rsidR="004A0604">
              <w:rPr>
                <w:rFonts w:eastAsiaTheme="minorEastAsia"/>
                <w:noProof/>
                <w:lang w:eastAsia="es-CO"/>
              </w:rPr>
              <w:tab/>
            </w:r>
            <w:r w:rsidR="004A0604" w:rsidRPr="00EA5E7E">
              <w:rPr>
                <w:rStyle w:val="Hipervnculo"/>
                <w:rFonts w:asciiTheme="majorHAnsi" w:eastAsia="Calibri" w:hAnsiTheme="majorHAnsi"/>
                <w:b/>
                <w:noProof/>
              </w:rPr>
              <w:t>PRESENTACIÓN</w:t>
            </w:r>
            <w:r w:rsidR="004A0604">
              <w:rPr>
                <w:noProof/>
                <w:webHidden/>
              </w:rPr>
              <w:tab/>
            </w:r>
            <w:r>
              <w:rPr>
                <w:noProof/>
                <w:webHidden/>
              </w:rPr>
              <w:fldChar w:fldCharType="begin"/>
            </w:r>
            <w:r w:rsidR="004A0604">
              <w:rPr>
                <w:noProof/>
                <w:webHidden/>
              </w:rPr>
              <w:instrText xml:space="preserve"> PAGEREF _Toc437375990 \h </w:instrText>
            </w:r>
            <w:r>
              <w:rPr>
                <w:noProof/>
                <w:webHidden/>
              </w:rPr>
            </w:r>
            <w:r>
              <w:rPr>
                <w:noProof/>
                <w:webHidden/>
              </w:rPr>
              <w:fldChar w:fldCharType="separate"/>
            </w:r>
            <w:r w:rsidR="004C11CB">
              <w:rPr>
                <w:noProof/>
                <w:webHidden/>
              </w:rPr>
              <w:t>4</w:t>
            </w:r>
            <w:r>
              <w:rPr>
                <w:noProof/>
                <w:webHidden/>
              </w:rPr>
              <w:fldChar w:fldCharType="end"/>
            </w:r>
          </w:hyperlink>
        </w:p>
        <w:p w:rsidR="004A0604" w:rsidRDefault="00222418">
          <w:pPr>
            <w:pStyle w:val="TDC1"/>
            <w:tabs>
              <w:tab w:val="left" w:pos="440"/>
              <w:tab w:val="right" w:leader="dot" w:pos="8828"/>
            </w:tabs>
            <w:rPr>
              <w:rFonts w:eastAsiaTheme="minorEastAsia"/>
              <w:noProof/>
              <w:lang w:eastAsia="es-CO"/>
            </w:rPr>
          </w:pPr>
          <w:hyperlink w:anchor="_Toc437375991" w:history="1">
            <w:r w:rsidR="004A0604" w:rsidRPr="00EA5E7E">
              <w:rPr>
                <w:rStyle w:val="Hipervnculo"/>
                <w:b/>
                <w:noProof/>
              </w:rPr>
              <w:t>2.</w:t>
            </w:r>
            <w:r w:rsidR="004A0604">
              <w:rPr>
                <w:rFonts w:eastAsiaTheme="minorEastAsia"/>
                <w:noProof/>
                <w:lang w:eastAsia="es-CO"/>
              </w:rPr>
              <w:tab/>
            </w:r>
            <w:r w:rsidR="004A0604" w:rsidRPr="00EA5E7E">
              <w:rPr>
                <w:rStyle w:val="Hipervnculo"/>
                <w:b/>
                <w:noProof/>
                <w:lang w:val="es-ES"/>
              </w:rPr>
              <w:t>INT</w:t>
            </w:r>
            <w:r w:rsidR="004A0604" w:rsidRPr="00EA5E7E">
              <w:rPr>
                <w:rStyle w:val="Hipervnculo"/>
                <w:b/>
                <w:noProof/>
              </w:rPr>
              <w:t>RODUCCIÓN</w:t>
            </w:r>
            <w:r w:rsidR="004A0604">
              <w:rPr>
                <w:noProof/>
                <w:webHidden/>
              </w:rPr>
              <w:tab/>
            </w:r>
            <w:r>
              <w:rPr>
                <w:noProof/>
                <w:webHidden/>
              </w:rPr>
              <w:fldChar w:fldCharType="begin"/>
            </w:r>
            <w:r w:rsidR="004A0604">
              <w:rPr>
                <w:noProof/>
                <w:webHidden/>
              </w:rPr>
              <w:instrText xml:space="preserve"> PAGEREF _Toc437375991 \h </w:instrText>
            </w:r>
            <w:r>
              <w:rPr>
                <w:noProof/>
                <w:webHidden/>
              </w:rPr>
            </w:r>
            <w:r>
              <w:rPr>
                <w:noProof/>
                <w:webHidden/>
              </w:rPr>
              <w:fldChar w:fldCharType="separate"/>
            </w:r>
            <w:r w:rsidR="004C11CB">
              <w:rPr>
                <w:noProof/>
                <w:webHidden/>
              </w:rPr>
              <w:t>5</w:t>
            </w:r>
            <w:r>
              <w:rPr>
                <w:noProof/>
                <w:webHidden/>
              </w:rPr>
              <w:fldChar w:fldCharType="end"/>
            </w:r>
          </w:hyperlink>
        </w:p>
        <w:p w:rsidR="004A0604" w:rsidRDefault="00222418">
          <w:pPr>
            <w:pStyle w:val="TDC1"/>
            <w:tabs>
              <w:tab w:val="left" w:pos="440"/>
              <w:tab w:val="right" w:leader="dot" w:pos="8828"/>
            </w:tabs>
            <w:rPr>
              <w:rFonts w:eastAsiaTheme="minorEastAsia"/>
              <w:noProof/>
              <w:lang w:eastAsia="es-CO"/>
            </w:rPr>
          </w:pPr>
          <w:hyperlink w:anchor="_Toc437375992" w:history="1">
            <w:r w:rsidR="004A0604" w:rsidRPr="00EA5E7E">
              <w:rPr>
                <w:rStyle w:val="Hipervnculo"/>
                <w:rFonts w:cs="Arial"/>
                <w:b/>
                <w:noProof/>
              </w:rPr>
              <w:t>3.</w:t>
            </w:r>
            <w:r w:rsidR="004A0604">
              <w:rPr>
                <w:rFonts w:eastAsiaTheme="minorEastAsia"/>
                <w:noProof/>
                <w:lang w:eastAsia="es-CO"/>
              </w:rPr>
              <w:tab/>
            </w:r>
            <w:r w:rsidR="004A0604" w:rsidRPr="00EA5E7E">
              <w:rPr>
                <w:rStyle w:val="Hipervnculo"/>
                <w:b/>
                <w:noProof/>
              </w:rPr>
              <w:t>INFORMACIÓN DEL CONTEXTO</w:t>
            </w:r>
            <w:r w:rsidR="004A0604">
              <w:rPr>
                <w:noProof/>
                <w:webHidden/>
              </w:rPr>
              <w:tab/>
            </w:r>
            <w:r>
              <w:rPr>
                <w:noProof/>
                <w:webHidden/>
              </w:rPr>
              <w:fldChar w:fldCharType="begin"/>
            </w:r>
            <w:r w:rsidR="004A0604">
              <w:rPr>
                <w:noProof/>
                <w:webHidden/>
              </w:rPr>
              <w:instrText xml:space="preserve"> PAGEREF _Toc437375992 \h </w:instrText>
            </w:r>
            <w:r>
              <w:rPr>
                <w:noProof/>
                <w:webHidden/>
              </w:rPr>
            </w:r>
            <w:r>
              <w:rPr>
                <w:noProof/>
                <w:webHidden/>
              </w:rPr>
              <w:fldChar w:fldCharType="separate"/>
            </w:r>
            <w:r w:rsidR="004C11CB">
              <w:rPr>
                <w:noProof/>
                <w:webHidden/>
              </w:rPr>
              <w:t>7</w:t>
            </w:r>
            <w:r>
              <w:rPr>
                <w:noProof/>
                <w:webHidden/>
              </w:rPr>
              <w:fldChar w:fldCharType="end"/>
            </w:r>
          </w:hyperlink>
        </w:p>
        <w:p w:rsidR="004A0604" w:rsidRDefault="00222418">
          <w:pPr>
            <w:pStyle w:val="TDC1"/>
            <w:tabs>
              <w:tab w:val="right" w:leader="dot" w:pos="8828"/>
            </w:tabs>
            <w:rPr>
              <w:rFonts w:eastAsiaTheme="minorEastAsia"/>
              <w:noProof/>
              <w:lang w:eastAsia="es-CO"/>
            </w:rPr>
          </w:pPr>
          <w:hyperlink w:anchor="_Toc437375993" w:history="1">
            <w:r w:rsidR="004A0604" w:rsidRPr="00EA5E7E">
              <w:rPr>
                <w:rStyle w:val="Hipervnculo"/>
                <w:b/>
                <w:noProof/>
                <w:lang w:val="es-MX"/>
              </w:rPr>
              <w:t>3.1 CONTEXTO GEOGRÁFICO/DEMOGRÁFICO Y SITUACIONAL DEL MUNICIPIO DE PASTO</w:t>
            </w:r>
            <w:r w:rsidR="004A0604">
              <w:rPr>
                <w:noProof/>
                <w:webHidden/>
              </w:rPr>
              <w:tab/>
            </w:r>
            <w:r>
              <w:rPr>
                <w:noProof/>
                <w:webHidden/>
              </w:rPr>
              <w:fldChar w:fldCharType="begin"/>
            </w:r>
            <w:r w:rsidR="004A0604">
              <w:rPr>
                <w:noProof/>
                <w:webHidden/>
              </w:rPr>
              <w:instrText xml:space="preserve"> PAGEREF _Toc437375993 \h </w:instrText>
            </w:r>
            <w:r>
              <w:rPr>
                <w:noProof/>
                <w:webHidden/>
              </w:rPr>
            </w:r>
            <w:r>
              <w:rPr>
                <w:noProof/>
                <w:webHidden/>
              </w:rPr>
              <w:fldChar w:fldCharType="separate"/>
            </w:r>
            <w:r w:rsidR="004C11CB">
              <w:rPr>
                <w:noProof/>
                <w:webHidden/>
              </w:rPr>
              <w:t>7</w:t>
            </w:r>
            <w:r>
              <w:rPr>
                <w:noProof/>
                <w:webHidden/>
              </w:rPr>
              <w:fldChar w:fldCharType="end"/>
            </w:r>
          </w:hyperlink>
        </w:p>
        <w:p w:rsidR="004A0604" w:rsidRPr="003F5757" w:rsidRDefault="00222418">
          <w:pPr>
            <w:pStyle w:val="TDC2"/>
            <w:tabs>
              <w:tab w:val="right" w:leader="dot" w:pos="8828"/>
            </w:tabs>
            <w:rPr>
              <w:rFonts w:eastAsiaTheme="minorEastAsia"/>
              <w:noProof/>
              <w:lang w:eastAsia="es-CO"/>
            </w:rPr>
          </w:pPr>
          <w:hyperlink w:anchor="_Toc437375995" w:history="1">
            <w:r w:rsidR="004A0604" w:rsidRPr="003F5757">
              <w:rPr>
                <w:rStyle w:val="Hipervnculo"/>
                <w:noProof/>
              </w:rPr>
              <w:t>3.1.1 NÚMERO DE HABITANTES EN EL MUNICIPIO:</w:t>
            </w:r>
            <w:r w:rsidR="004A0604" w:rsidRPr="003F5757">
              <w:rPr>
                <w:noProof/>
                <w:webHidden/>
              </w:rPr>
              <w:tab/>
            </w:r>
            <w:r w:rsidRPr="003F5757">
              <w:rPr>
                <w:noProof/>
                <w:webHidden/>
              </w:rPr>
              <w:fldChar w:fldCharType="begin"/>
            </w:r>
            <w:r w:rsidR="004A0604" w:rsidRPr="003F5757">
              <w:rPr>
                <w:noProof/>
                <w:webHidden/>
              </w:rPr>
              <w:instrText xml:space="preserve"> PAGEREF _Toc437375995 \h </w:instrText>
            </w:r>
            <w:r w:rsidRPr="003F5757">
              <w:rPr>
                <w:noProof/>
                <w:webHidden/>
              </w:rPr>
            </w:r>
            <w:r w:rsidRPr="003F5757">
              <w:rPr>
                <w:noProof/>
                <w:webHidden/>
              </w:rPr>
              <w:fldChar w:fldCharType="separate"/>
            </w:r>
            <w:r w:rsidR="004C11CB">
              <w:rPr>
                <w:noProof/>
                <w:webHidden/>
              </w:rPr>
              <w:t>8</w:t>
            </w:r>
            <w:r w:rsidRPr="003F5757">
              <w:rPr>
                <w:noProof/>
                <w:webHidden/>
              </w:rPr>
              <w:fldChar w:fldCharType="end"/>
            </w:r>
          </w:hyperlink>
        </w:p>
        <w:p w:rsidR="004A0604" w:rsidRPr="003F5757" w:rsidRDefault="00222418">
          <w:pPr>
            <w:pStyle w:val="TDC2"/>
            <w:tabs>
              <w:tab w:val="right" w:leader="dot" w:pos="8828"/>
            </w:tabs>
            <w:rPr>
              <w:rFonts w:eastAsiaTheme="minorEastAsia"/>
              <w:noProof/>
              <w:lang w:eastAsia="es-CO"/>
            </w:rPr>
          </w:pPr>
          <w:hyperlink w:anchor="_Toc437375996" w:history="1">
            <w:r w:rsidR="004A0604" w:rsidRPr="003F5757">
              <w:rPr>
                <w:rStyle w:val="Hipervnculo"/>
                <w:rFonts w:asciiTheme="majorHAnsi" w:hAnsiTheme="majorHAnsi" w:cs="Arial"/>
                <w:noProof/>
              </w:rPr>
              <w:t>3.1.2 DISTRIBUCIÓN POR SEXO:</w:t>
            </w:r>
            <w:r w:rsidR="004A0604" w:rsidRPr="003F5757">
              <w:rPr>
                <w:noProof/>
                <w:webHidden/>
              </w:rPr>
              <w:tab/>
            </w:r>
            <w:r w:rsidRPr="003F5757">
              <w:rPr>
                <w:noProof/>
                <w:webHidden/>
              </w:rPr>
              <w:fldChar w:fldCharType="begin"/>
            </w:r>
            <w:r w:rsidR="004A0604" w:rsidRPr="003F5757">
              <w:rPr>
                <w:noProof/>
                <w:webHidden/>
              </w:rPr>
              <w:instrText xml:space="preserve"> PAGEREF _Toc437375996 \h </w:instrText>
            </w:r>
            <w:r w:rsidRPr="003F5757">
              <w:rPr>
                <w:noProof/>
                <w:webHidden/>
              </w:rPr>
            </w:r>
            <w:r w:rsidRPr="003F5757">
              <w:rPr>
                <w:noProof/>
                <w:webHidden/>
              </w:rPr>
              <w:fldChar w:fldCharType="separate"/>
            </w:r>
            <w:r w:rsidR="004C11CB">
              <w:rPr>
                <w:noProof/>
                <w:webHidden/>
              </w:rPr>
              <w:t>8</w:t>
            </w:r>
            <w:r w:rsidRPr="003F5757">
              <w:rPr>
                <w:noProof/>
                <w:webHidden/>
              </w:rPr>
              <w:fldChar w:fldCharType="end"/>
            </w:r>
          </w:hyperlink>
        </w:p>
        <w:p w:rsidR="004A0604" w:rsidRPr="003F5757" w:rsidRDefault="00222418">
          <w:pPr>
            <w:pStyle w:val="TDC2"/>
            <w:tabs>
              <w:tab w:val="right" w:leader="dot" w:pos="8828"/>
            </w:tabs>
            <w:rPr>
              <w:rFonts w:eastAsiaTheme="minorEastAsia"/>
              <w:noProof/>
              <w:lang w:eastAsia="es-CO"/>
            </w:rPr>
          </w:pPr>
          <w:hyperlink w:anchor="_Toc437375997" w:history="1">
            <w:r w:rsidR="004A0604" w:rsidRPr="003F5757">
              <w:rPr>
                <w:rStyle w:val="Hipervnculo"/>
                <w:rFonts w:asciiTheme="majorHAnsi" w:hAnsiTheme="majorHAnsi" w:cs="Arial"/>
                <w:noProof/>
              </w:rPr>
              <w:t>3.1.3 DIMENSIÓN SOCIO-ECONÓMICA:</w:t>
            </w:r>
            <w:r w:rsidR="004A0604" w:rsidRPr="003F5757">
              <w:rPr>
                <w:noProof/>
                <w:webHidden/>
              </w:rPr>
              <w:tab/>
            </w:r>
            <w:r w:rsidRPr="003F5757">
              <w:rPr>
                <w:noProof/>
                <w:webHidden/>
              </w:rPr>
              <w:fldChar w:fldCharType="begin"/>
            </w:r>
            <w:r w:rsidR="004A0604" w:rsidRPr="003F5757">
              <w:rPr>
                <w:noProof/>
                <w:webHidden/>
              </w:rPr>
              <w:instrText xml:space="preserve"> PAGEREF _Toc437375997 \h </w:instrText>
            </w:r>
            <w:r w:rsidRPr="003F5757">
              <w:rPr>
                <w:noProof/>
                <w:webHidden/>
              </w:rPr>
            </w:r>
            <w:r w:rsidRPr="003F5757">
              <w:rPr>
                <w:noProof/>
                <w:webHidden/>
              </w:rPr>
              <w:fldChar w:fldCharType="separate"/>
            </w:r>
            <w:r w:rsidR="004C11CB">
              <w:rPr>
                <w:noProof/>
                <w:webHidden/>
              </w:rPr>
              <w:t>8</w:t>
            </w:r>
            <w:r w:rsidRPr="003F5757">
              <w:rPr>
                <w:noProof/>
                <w:webHidden/>
              </w:rPr>
              <w:fldChar w:fldCharType="end"/>
            </w:r>
          </w:hyperlink>
        </w:p>
        <w:p w:rsidR="004A0604" w:rsidRPr="003F5757" w:rsidRDefault="00222418">
          <w:pPr>
            <w:pStyle w:val="TDC2"/>
            <w:tabs>
              <w:tab w:val="right" w:leader="dot" w:pos="8828"/>
            </w:tabs>
            <w:rPr>
              <w:rFonts w:eastAsiaTheme="minorEastAsia"/>
              <w:noProof/>
              <w:lang w:eastAsia="es-CO"/>
            </w:rPr>
          </w:pPr>
          <w:hyperlink w:anchor="_Toc437375998" w:history="1">
            <w:r w:rsidR="004A0604" w:rsidRPr="003F5757">
              <w:rPr>
                <w:rStyle w:val="Hipervnculo"/>
                <w:rFonts w:asciiTheme="majorHAnsi" w:hAnsiTheme="majorHAnsi" w:cs="Arial"/>
                <w:noProof/>
              </w:rPr>
              <w:t>3.1.4 DIMENSIÓN AMBIENTAL:</w:t>
            </w:r>
            <w:r w:rsidR="004A0604" w:rsidRPr="003F5757">
              <w:rPr>
                <w:noProof/>
                <w:webHidden/>
              </w:rPr>
              <w:tab/>
            </w:r>
            <w:r w:rsidRPr="003F5757">
              <w:rPr>
                <w:noProof/>
                <w:webHidden/>
              </w:rPr>
              <w:fldChar w:fldCharType="begin"/>
            </w:r>
            <w:r w:rsidR="004A0604" w:rsidRPr="003F5757">
              <w:rPr>
                <w:noProof/>
                <w:webHidden/>
              </w:rPr>
              <w:instrText xml:space="preserve"> PAGEREF _Toc437375998 \h </w:instrText>
            </w:r>
            <w:r w:rsidRPr="003F5757">
              <w:rPr>
                <w:noProof/>
                <w:webHidden/>
              </w:rPr>
            </w:r>
            <w:r w:rsidRPr="003F5757">
              <w:rPr>
                <w:noProof/>
                <w:webHidden/>
              </w:rPr>
              <w:fldChar w:fldCharType="separate"/>
            </w:r>
            <w:r w:rsidR="004C11CB">
              <w:rPr>
                <w:noProof/>
                <w:webHidden/>
              </w:rPr>
              <w:t>10</w:t>
            </w:r>
            <w:r w:rsidRPr="003F5757">
              <w:rPr>
                <w:noProof/>
                <w:webHidden/>
              </w:rPr>
              <w:fldChar w:fldCharType="end"/>
            </w:r>
          </w:hyperlink>
        </w:p>
        <w:p w:rsidR="004A0604" w:rsidRDefault="00222418">
          <w:pPr>
            <w:pStyle w:val="TDC1"/>
            <w:tabs>
              <w:tab w:val="left" w:pos="440"/>
              <w:tab w:val="right" w:leader="dot" w:pos="8828"/>
            </w:tabs>
            <w:rPr>
              <w:rFonts w:eastAsiaTheme="minorEastAsia"/>
              <w:noProof/>
              <w:lang w:eastAsia="es-CO"/>
            </w:rPr>
          </w:pPr>
          <w:hyperlink w:anchor="_Toc437375999" w:history="1">
            <w:r w:rsidR="004A0604" w:rsidRPr="00EA5E7E">
              <w:rPr>
                <w:rStyle w:val="Hipervnculo"/>
                <w:b/>
                <w:noProof/>
              </w:rPr>
              <w:t>4.</w:t>
            </w:r>
            <w:r w:rsidR="004A0604">
              <w:rPr>
                <w:rFonts w:eastAsiaTheme="minorEastAsia"/>
                <w:noProof/>
                <w:lang w:eastAsia="es-CO"/>
              </w:rPr>
              <w:tab/>
            </w:r>
            <w:r w:rsidR="004A0604" w:rsidRPr="00EA5E7E">
              <w:rPr>
                <w:rStyle w:val="Hipervnculo"/>
                <w:b/>
                <w:noProof/>
              </w:rPr>
              <w:t>ANÁLISIS GASTO PÚBLICO SOCIAL Y GASTO PÚBLICO EN NIÑEZ Y JUVENTUD</w:t>
            </w:r>
            <w:r w:rsidR="004A0604">
              <w:rPr>
                <w:noProof/>
                <w:webHidden/>
              </w:rPr>
              <w:tab/>
            </w:r>
            <w:r>
              <w:rPr>
                <w:noProof/>
                <w:webHidden/>
              </w:rPr>
              <w:fldChar w:fldCharType="begin"/>
            </w:r>
            <w:r w:rsidR="004A0604">
              <w:rPr>
                <w:noProof/>
                <w:webHidden/>
              </w:rPr>
              <w:instrText xml:space="preserve"> PAGEREF _Toc437375999 \h </w:instrText>
            </w:r>
            <w:r>
              <w:rPr>
                <w:noProof/>
                <w:webHidden/>
              </w:rPr>
            </w:r>
            <w:r>
              <w:rPr>
                <w:noProof/>
                <w:webHidden/>
              </w:rPr>
              <w:fldChar w:fldCharType="separate"/>
            </w:r>
            <w:r w:rsidR="004C11CB">
              <w:rPr>
                <w:noProof/>
                <w:webHidden/>
              </w:rPr>
              <w:t>11</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00" w:history="1">
            <w:r w:rsidR="004A0604" w:rsidRPr="00EA5E7E">
              <w:rPr>
                <w:rStyle w:val="Hipervnculo"/>
                <w:noProof/>
              </w:rPr>
              <w:t>4.1 GASTO PÚBLICO SOCIAL</w:t>
            </w:r>
            <w:r w:rsidR="004A0604">
              <w:rPr>
                <w:noProof/>
                <w:webHidden/>
              </w:rPr>
              <w:tab/>
            </w:r>
            <w:r>
              <w:rPr>
                <w:noProof/>
                <w:webHidden/>
              </w:rPr>
              <w:fldChar w:fldCharType="begin"/>
            </w:r>
            <w:r w:rsidR="004A0604">
              <w:rPr>
                <w:noProof/>
                <w:webHidden/>
              </w:rPr>
              <w:instrText xml:space="preserve"> PAGEREF _Toc437376000 \h </w:instrText>
            </w:r>
            <w:r>
              <w:rPr>
                <w:noProof/>
                <w:webHidden/>
              </w:rPr>
            </w:r>
            <w:r>
              <w:rPr>
                <w:noProof/>
                <w:webHidden/>
              </w:rPr>
              <w:fldChar w:fldCharType="separate"/>
            </w:r>
            <w:r w:rsidR="004C11CB">
              <w:rPr>
                <w:noProof/>
                <w:webHidden/>
              </w:rPr>
              <w:t>11</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01" w:history="1">
            <w:r w:rsidR="004A0604" w:rsidRPr="00EA5E7E">
              <w:rPr>
                <w:rStyle w:val="Hipervnculo"/>
                <w:noProof/>
              </w:rPr>
              <w:t>4.1.1 GASTO PÚBLICO EN NIÑEZ</w:t>
            </w:r>
            <w:r w:rsidR="004A0604">
              <w:rPr>
                <w:noProof/>
                <w:webHidden/>
              </w:rPr>
              <w:tab/>
            </w:r>
            <w:r>
              <w:rPr>
                <w:noProof/>
                <w:webHidden/>
              </w:rPr>
              <w:fldChar w:fldCharType="begin"/>
            </w:r>
            <w:r w:rsidR="004A0604">
              <w:rPr>
                <w:noProof/>
                <w:webHidden/>
              </w:rPr>
              <w:instrText xml:space="preserve"> PAGEREF _Toc437376001 \h </w:instrText>
            </w:r>
            <w:r>
              <w:rPr>
                <w:noProof/>
                <w:webHidden/>
              </w:rPr>
            </w:r>
            <w:r>
              <w:rPr>
                <w:noProof/>
                <w:webHidden/>
              </w:rPr>
              <w:fldChar w:fldCharType="separate"/>
            </w:r>
            <w:r w:rsidR="004C11CB">
              <w:rPr>
                <w:noProof/>
                <w:webHidden/>
              </w:rPr>
              <w:t>14</w:t>
            </w:r>
            <w:r>
              <w:rPr>
                <w:noProof/>
                <w:webHidden/>
              </w:rPr>
              <w:fldChar w:fldCharType="end"/>
            </w:r>
          </w:hyperlink>
        </w:p>
        <w:p w:rsidR="004A0604" w:rsidRDefault="00222418">
          <w:pPr>
            <w:pStyle w:val="TDC2"/>
            <w:tabs>
              <w:tab w:val="left" w:pos="1100"/>
              <w:tab w:val="right" w:leader="dot" w:pos="8828"/>
            </w:tabs>
            <w:rPr>
              <w:rFonts w:eastAsiaTheme="minorEastAsia"/>
              <w:noProof/>
              <w:lang w:eastAsia="es-CO"/>
            </w:rPr>
          </w:pPr>
          <w:hyperlink w:anchor="_Toc437376002" w:history="1">
            <w:r w:rsidR="004A0604" w:rsidRPr="00EA5E7E">
              <w:rPr>
                <w:rStyle w:val="Hipervnculo"/>
                <w:noProof/>
              </w:rPr>
              <w:t>4.1.2</w:t>
            </w:r>
            <w:r w:rsidR="00041382">
              <w:rPr>
                <w:rFonts w:eastAsiaTheme="minorEastAsia"/>
                <w:noProof/>
                <w:lang w:eastAsia="es-CO"/>
              </w:rPr>
              <w:t xml:space="preserve"> </w:t>
            </w:r>
            <w:r w:rsidR="004A0604" w:rsidRPr="00EA5E7E">
              <w:rPr>
                <w:rStyle w:val="Hipervnculo"/>
                <w:noProof/>
              </w:rPr>
              <w:t>GASTO PÚBLICO EN JUVENTUD</w:t>
            </w:r>
            <w:r w:rsidR="004A0604">
              <w:rPr>
                <w:noProof/>
                <w:webHidden/>
              </w:rPr>
              <w:tab/>
            </w:r>
            <w:r>
              <w:rPr>
                <w:noProof/>
                <w:webHidden/>
              </w:rPr>
              <w:fldChar w:fldCharType="begin"/>
            </w:r>
            <w:r w:rsidR="004A0604">
              <w:rPr>
                <w:noProof/>
                <w:webHidden/>
              </w:rPr>
              <w:instrText xml:space="preserve"> PAGEREF _Toc437376002 \h </w:instrText>
            </w:r>
            <w:r>
              <w:rPr>
                <w:noProof/>
                <w:webHidden/>
              </w:rPr>
            </w:r>
            <w:r>
              <w:rPr>
                <w:noProof/>
                <w:webHidden/>
              </w:rPr>
              <w:fldChar w:fldCharType="separate"/>
            </w:r>
            <w:r w:rsidR="004C11CB">
              <w:rPr>
                <w:noProof/>
                <w:webHidden/>
              </w:rPr>
              <w:t>14</w:t>
            </w:r>
            <w:r>
              <w:rPr>
                <w:noProof/>
                <w:webHidden/>
              </w:rPr>
              <w:fldChar w:fldCharType="end"/>
            </w:r>
          </w:hyperlink>
        </w:p>
        <w:p w:rsidR="004A0604" w:rsidRDefault="00222418">
          <w:pPr>
            <w:pStyle w:val="TDC1"/>
            <w:tabs>
              <w:tab w:val="left" w:pos="440"/>
              <w:tab w:val="right" w:leader="dot" w:pos="8828"/>
            </w:tabs>
            <w:rPr>
              <w:rFonts w:eastAsiaTheme="minorEastAsia"/>
              <w:noProof/>
              <w:lang w:eastAsia="es-CO"/>
            </w:rPr>
          </w:pPr>
          <w:hyperlink w:anchor="_Toc437376003" w:history="1">
            <w:r w:rsidR="004A0604" w:rsidRPr="00EA5E7E">
              <w:rPr>
                <w:rStyle w:val="Hipervnculo"/>
                <w:rFonts w:asciiTheme="majorHAnsi" w:hAnsiTheme="majorHAnsi"/>
                <w:b/>
                <w:noProof/>
              </w:rPr>
              <w:t>5.</w:t>
            </w:r>
            <w:r w:rsidR="004A0604">
              <w:rPr>
                <w:rFonts w:eastAsiaTheme="minorEastAsia"/>
                <w:noProof/>
                <w:lang w:eastAsia="es-CO"/>
              </w:rPr>
              <w:tab/>
            </w:r>
            <w:r w:rsidR="004A0604" w:rsidRPr="00EA5E7E">
              <w:rPr>
                <w:rStyle w:val="Hipervnculo"/>
                <w:rFonts w:asciiTheme="majorHAnsi" w:hAnsiTheme="majorHAnsi"/>
                <w:b/>
                <w:noProof/>
              </w:rPr>
              <w:t>ARQUITECTURA INSTITUCIONAL</w:t>
            </w:r>
            <w:r w:rsidR="004A0604">
              <w:rPr>
                <w:noProof/>
                <w:webHidden/>
              </w:rPr>
              <w:tab/>
            </w:r>
            <w:r>
              <w:rPr>
                <w:noProof/>
                <w:webHidden/>
              </w:rPr>
              <w:fldChar w:fldCharType="begin"/>
            </w:r>
            <w:r w:rsidR="004A0604">
              <w:rPr>
                <w:noProof/>
                <w:webHidden/>
              </w:rPr>
              <w:instrText xml:space="preserve"> PAGEREF _Toc437376003 \h </w:instrText>
            </w:r>
            <w:r>
              <w:rPr>
                <w:noProof/>
                <w:webHidden/>
              </w:rPr>
            </w:r>
            <w:r>
              <w:rPr>
                <w:noProof/>
                <w:webHidden/>
              </w:rPr>
              <w:fldChar w:fldCharType="separate"/>
            </w:r>
            <w:r w:rsidR="004C11CB">
              <w:rPr>
                <w:noProof/>
                <w:webHidden/>
              </w:rPr>
              <w:t>15</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04" w:history="1">
            <w:r w:rsidR="004A0604" w:rsidRPr="003F5757">
              <w:rPr>
                <w:rStyle w:val="Hipervnculo"/>
                <w:noProof/>
              </w:rPr>
              <w:t>5.1 INSTANCIAS POBLACIONALES RESPONSABLES DE ACCIÓN PÚBLICA</w:t>
            </w:r>
            <w:r w:rsidR="004A0604">
              <w:rPr>
                <w:noProof/>
                <w:webHidden/>
              </w:rPr>
              <w:tab/>
            </w:r>
            <w:r>
              <w:rPr>
                <w:noProof/>
                <w:webHidden/>
              </w:rPr>
              <w:fldChar w:fldCharType="begin"/>
            </w:r>
            <w:r w:rsidR="004A0604">
              <w:rPr>
                <w:noProof/>
                <w:webHidden/>
              </w:rPr>
              <w:instrText xml:space="preserve"> PAGEREF _Toc437376004 \h </w:instrText>
            </w:r>
            <w:r>
              <w:rPr>
                <w:noProof/>
                <w:webHidden/>
              </w:rPr>
            </w:r>
            <w:r>
              <w:rPr>
                <w:noProof/>
                <w:webHidden/>
              </w:rPr>
              <w:fldChar w:fldCharType="separate"/>
            </w:r>
            <w:r w:rsidR="004C11CB">
              <w:rPr>
                <w:noProof/>
                <w:webHidden/>
              </w:rPr>
              <w:t>16</w:t>
            </w:r>
            <w:r>
              <w:rPr>
                <w:noProof/>
                <w:webHidden/>
              </w:rPr>
              <w:fldChar w:fldCharType="end"/>
            </w:r>
          </w:hyperlink>
        </w:p>
        <w:p w:rsidR="004A0604" w:rsidRDefault="00222418">
          <w:pPr>
            <w:pStyle w:val="TDC1"/>
            <w:tabs>
              <w:tab w:val="left" w:pos="440"/>
              <w:tab w:val="right" w:leader="dot" w:pos="8828"/>
            </w:tabs>
            <w:rPr>
              <w:rFonts w:eastAsiaTheme="minorEastAsia"/>
              <w:noProof/>
              <w:lang w:eastAsia="es-CO"/>
            </w:rPr>
          </w:pPr>
          <w:hyperlink w:anchor="_Toc437376005" w:history="1">
            <w:r w:rsidR="004A0604" w:rsidRPr="00EA5E7E">
              <w:rPr>
                <w:rStyle w:val="Hipervnculo"/>
                <w:b/>
                <w:noProof/>
              </w:rPr>
              <w:t>6.</w:t>
            </w:r>
            <w:r w:rsidR="004A0604">
              <w:rPr>
                <w:rFonts w:eastAsiaTheme="minorEastAsia"/>
                <w:noProof/>
                <w:lang w:eastAsia="es-CO"/>
              </w:rPr>
              <w:tab/>
            </w:r>
            <w:r w:rsidR="004A0604" w:rsidRPr="00EA5E7E">
              <w:rPr>
                <w:rStyle w:val="Hipervnculo"/>
                <w:b/>
                <w:noProof/>
              </w:rPr>
              <w:t>ANALISIS DE INFORMACIÓN</w:t>
            </w:r>
            <w:r w:rsidR="004A0604">
              <w:rPr>
                <w:noProof/>
                <w:webHidden/>
              </w:rPr>
              <w:tab/>
            </w:r>
            <w:r>
              <w:rPr>
                <w:noProof/>
                <w:webHidden/>
              </w:rPr>
              <w:fldChar w:fldCharType="begin"/>
            </w:r>
            <w:r w:rsidR="004A0604">
              <w:rPr>
                <w:noProof/>
                <w:webHidden/>
              </w:rPr>
              <w:instrText xml:space="preserve"> PAGEREF _Toc437376005 \h </w:instrText>
            </w:r>
            <w:r>
              <w:rPr>
                <w:noProof/>
                <w:webHidden/>
              </w:rPr>
            </w:r>
            <w:r>
              <w:rPr>
                <w:noProof/>
                <w:webHidden/>
              </w:rPr>
              <w:fldChar w:fldCharType="separate"/>
            </w:r>
            <w:r w:rsidR="004C11CB">
              <w:rPr>
                <w:noProof/>
                <w:webHidden/>
              </w:rPr>
              <w:t>16</w:t>
            </w:r>
            <w:r>
              <w:rPr>
                <w:noProof/>
                <w:webHidden/>
              </w:rPr>
              <w:fldChar w:fldCharType="end"/>
            </w:r>
          </w:hyperlink>
        </w:p>
        <w:p w:rsidR="004A0604" w:rsidRDefault="00222418">
          <w:pPr>
            <w:pStyle w:val="TDC1"/>
            <w:tabs>
              <w:tab w:val="right" w:leader="dot" w:pos="8828"/>
            </w:tabs>
            <w:rPr>
              <w:rFonts w:eastAsiaTheme="minorEastAsia"/>
              <w:noProof/>
              <w:lang w:eastAsia="es-CO"/>
            </w:rPr>
          </w:pPr>
          <w:hyperlink w:anchor="_Toc437376006" w:history="1">
            <w:r w:rsidR="004A0604" w:rsidRPr="00041382">
              <w:rPr>
                <w:rStyle w:val="Hipervnculo"/>
                <w:b/>
                <w:noProof/>
              </w:rPr>
              <w:t>6.1 CICLO VITAL: PRIMERA INFANCIA</w:t>
            </w:r>
            <w:r w:rsidR="004A0604">
              <w:rPr>
                <w:noProof/>
                <w:webHidden/>
              </w:rPr>
              <w:tab/>
            </w:r>
            <w:r>
              <w:rPr>
                <w:noProof/>
                <w:webHidden/>
              </w:rPr>
              <w:fldChar w:fldCharType="begin"/>
            </w:r>
            <w:r w:rsidR="004A0604">
              <w:rPr>
                <w:noProof/>
                <w:webHidden/>
              </w:rPr>
              <w:instrText xml:space="preserve"> PAGEREF _Toc437376006 \h </w:instrText>
            </w:r>
            <w:r>
              <w:rPr>
                <w:noProof/>
                <w:webHidden/>
              </w:rPr>
            </w:r>
            <w:r>
              <w:rPr>
                <w:noProof/>
                <w:webHidden/>
              </w:rPr>
              <w:fldChar w:fldCharType="separate"/>
            </w:r>
            <w:r w:rsidR="004C11CB">
              <w:rPr>
                <w:noProof/>
                <w:webHidden/>
              </w:rPr>
              <w:t>16</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07" w:history="1">
            <w:r w:rsidR="004A0604" w:rsidRPr="00EA5E7E">
              <w:rPr>
                <w:rStyle w:val="Hipervnculo"/>
                <w:noProof/>
              </w:rPr>
              <w:t>6.1.1 CATEGORIA DE DERECHOS A LA EXISTENCIA</w:t>
            </w:r>
            <w:r w:rsidR="004A0604">
              <w:rPr>
                <w:noProof/>
                <w:webHidden/>
              </w:rPr>
              <w:tab/>
            </w:r>
            <w:r>
              <w:rPr>
                <w:noProof/>
                <w:webHidden/>
              </w:rPr>
              <w:fldChar w:fldCharType="begin"/>
            </w:r>
            <w:r w:rsidR="004A0604">
              <w:rPr>
                <w:noProof/>
                <w:webHidden/>
              </w:rPr>
              <w:instrText xml:space="preserve"> PAGEREF _Toc437376007 \h </w:instrText>
            </w:r>
            <w:r>
              <w:rPr>
                <w:noProof/>
                <w:webHidden/>
              </w:rPr>
            </w:r>
            <w:r>
              <w:rPr>
                <w:noProof/>
                <w:webHidden/>
              </w:rPr>
              <w:fldChar w:fldCharType="separate"/>
            </w:r>
            <w:r w:rsidR="004C11CB">
              <w:rPr>
                <w:noProof/>
                <w:webHidden/>
              </w:rPr>
              <w:t>16</w:t>
            </w:r>
            <w:r>
              <w:rPr>
                <w:noProof/>
                <w:webHidden/>
              </w:rPr>
              <w:fldChar w:fldCharType="end"/>
            </w:r>
          </w:hyperlink>
        </w:p>
        <w:p w:rsidR="004A0604" w:rsidRDefault="00222418" w:rsidP="004A0604">
          <w:pPr>
            <w:pStyle w:val="TDC2"/>
            <w:tabs>
              <w:tab w:val="right" w:leader="dot" w:pos="8828"/>
            </w:tabs>
            <w:rPr>
              <w:rFonts w:eastAsiaTheme="minorEastAsia"/>
              <w:noProof/>
              <w:lang w:eastAsia="es-CO"/>
            </w:rPr>
          </w:pPr>
          <w:hyperlink w:anchor="_Toc437376008" w:history="1">
            <w:r w:rsidR="004A0604" w:rsidRPr="00EA5E7E">
              <w:rPr>
                <w:rStyle w:val="Hipervnculo"/>
                <w:noProof/>
              </w:rPr>
              <w:t>6.1.2 CATEGORIA DE DERECHOS AL DESARROLLO</w:t>
            </w:r>
            <w:r w:rsidR="004A0604">
              <w:rPr>
                <w:noProof/>
                <w:webHidden/>
              </w:rPr>
              <w:tab/>
            </w:r>
            <w:r>
              <w:rPr>
                <w:noProof/>
                <w:webHidden/>
              </w:rPr>
              <w:fldChar w:fldCharType="begin"/>
            </w:r>
            <w:r w:rsidR="004A0604">
              <w:rPr>
                <w:noProof/>
                <w:webHidden/>
              </w:rPr>
              <w:instrText xml:space="preserve"> PAGEREF _Toc437376008 \h </w:instrText>
            </w:r>
            <w:r>
              <w:rPr>
                <w:noProof/>
                <w:webHidden/>
              </w:rPr>
            </w:r>
            <w:r>
              <w:rPr>
                <w:noProof/>
                <w:webHidden/>
              </w:rPr>
              <w:fldChar w:fldCharType="separate"/>
            </w:r>
            <w:r w:rsidR="004C11CB">
              <w:rPr>
                <w:noProof/>
                <w:webHidden/>
              </w:rPr>
              <w:t>83</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54" w:history="1">
            <w:r w:rsidR="004A0604" w:rsidRPr="00EA5E7E">
              <w:rPr>
                <w:rStyle w:val="Hipervnculo"/>
                <w:noProof/>
              </w:rPr>
              <w:t>6.1.3 CATEGORÍA DE DERECHOS A LA CIUDADANÍA</w:t>
            </w:r>
            <w:r w:rsidR="004A0604">
              <w:rPr>
                <w:noProof/>
                <w:webHidden/>
              </w:rPr>
              <w:tab/>
            </w:r>
            <w:r>
              <w:rPr>
                <w:noProof/>
                <w:webHidden/>
              </w:rPr>
              <w:fldChar w:fldCharType="begin"/>
            </w:r>
            <w:r w:rsidR="004A0604">
              <w:rPr>
                <w:noProof/>
                <w:webHidden/>
              </w:rPr>
              <w:instrText xml:space="preserve"> PAGEREF _Toc437376054 \h </w:instrText>
            </w:r>
            <w:r>
              <w:rPr>
                <w:noProof/>
                <w:webHidden/>
              </w:rPr>
            </w:r>
            <w:r>
              <w:rPr>
                <w:noProof/>
                <w:webHidden/>
              </w:rPr>
              <w:fldChar w:fldCharType="separate"/>
            </w:r>
            <w:r w:rsidR="004C11CB">
              <w:rPr>
                <w:noProof/>
                <w:webHidden/>
              </w:rPr>
              <w:t>106</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55" w:history="1">
            <w:r w:rsidR="004A0604" w:rsidRPr="00EA5E7E">
              <w:rPr>
                <w:rStyle w:val="Hipervnculo"/>
                <w:noProof/>
              </w:rPr>
              <w:t>6.1.4 CATEGORÍA DERECHOS A LA PROTECCIÓN</w:t>
            </w:r>
            <w:r w:rsidR="004A0604">
              <w:rPr>
                <w:noProof/>
                <w:webHidden/>
              </w:rPr>
              <w:tab/>
            </w:r>
            <w:r>
              <w:rPr>
                <w:noProof/>
                <w:webHidden/>
              </w:rPr>
              <w:fldChar w:fldCharType="begin"/>
            </w:r>
            <w:r w:rsidR="004A0604">
              <w:rPr>
                <w:noProof/>
                <w:webHidden/>
              </w:rPr>
              <w:instrText xml:space="preserve"> PAGEREF _Toc437376055 \h </w:instrText>
            </w:r>
            <w:r>
              <w:rPr>
                <w:noProof/>
                <w:webHidden/>
              </w:rPr>
            </w:r>
            <w:r>
              <w:rPr>
                <w:noProof/>
                <w:webHidden/>
              </w:rPr>
              <w:fldChar w:fldCharType="separate"/>
            </w:r>
            <w:r w:rsidR="004C11CB">
              <w:rPr>
                <w:noProof/>
                <w:webHidden/>
              </w:rPr>
              <w:t>107</w:t>
            </w:r>
            <w:r>
              <w:rPr>
                <w:noProof/>
                <w:webHidden/>
              </w:rPr>
              <w:fldChar w:fldCharType="end"/>
            </w:r>
          </w:hyperlink>
        </w:p>
        <w:p w:rsidR="004A0604" w:rsidRDefault="00222418">
          <w:pPr>
            <w:pStyle w:val="TDC1"/>
            <w:tabs>
              <w:tab w:val="left" w:pos="660"/>
              <w:tab w:val="right" w:leader="dot" w:pos="8828"/>
            </w:tabs>
            <w:rPr>
              <w:rFonts w:eastAsiaTheme="minorEastAsia"/>
              <w:noProof/>
              <w:lang w:eastAsia="es-CO"/>
            </w:rPr>
          </w:pPr>
          <w:hyperlink w:anchor="_Toc437376057" w:history="1">
            <w:r w:rsidR="004A0604" w:rsidRPr="00041382">
              <w:rPr>
                <w:rStyle w:val="Hipervnculo"/>
                <w:b/>
                <w:noProof/>
              </w:rPr>
              <w:t>6.2</w:t>
            </w:r>
            <w:r w:rsidR="00041382">
              <w:rPr>
                <w:rFonts w:eastAsiaTheme="minorEastAsia"/>
                <w:b/>
                <w:noProof/>
                <w:lang w:eastAsia="es-CO"/>
              </w:rPr>
              <w:t xml:space="preserve"> </w:t>
            </w:r>
            <w:r w:rsidR="004A0604" w:rsidRPr="00041382">
              <w:rPr>
                <w:rStyle w:val="Hipervnculo"/>
                <w:b/>
                <w:noProof/>
              </w:rPr>
              <w:t>CICLO VITAL: INFANCIA</w:t>
            </w:r>
            <w:r w:rsidR="004A0604">
              <w:rPr>
                <w:noProof/>
                <w:webHidden/>
              </w:rPr>
              <w:tab/>
            </w:r>
            <w:r>
              <w:rPr>
                <w:noProof/>
                <w:webHidden/>
              </w:rPr>
              <w:fldChar w:fldCharType="begin"/>
            </w:r>
            <w:r w:rsidR="004A0604">
              <w:rPr>
                <w:noProof/>
                <w:webHidden/>
              </w:rPr>
              <w:instrText xml:space="preserve"> PAGEREF _Toc437376057 \h </w:instrText>
            </w:r>
            <w:r>
              <w:rPr>
                <w:noProof/>
                <w:webHidden/>
              </w:rPr>
            </w:r>
            <w:r>
              <w:rPr>
                <w:noProof/>
                <w:webHidden/>
              </w:rPr>
              <w:fldChar w:fldCharType="separate"/>
            </w:r>
            <w:r w:rsidR="004C11CB">
              <w:rPr>
                <w:noProof/>
                <w:webHidden/>
              </w:rPr>
              <w:t>144</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58" w:history="1">
            <w:r w:rsidR="004A0604" w:rsidRPr="00EA5E7E">
              <w:rPr>
                <w:rStyle w:val="Hipervnculo"/>
                <w:noProof/>
              </w:rPr>
              <w:t>6.2.1 CATEGORIA DE DERECHOS A LA EXISTENCIA</w:t>
            </w:r>
            <w:r w:rsidR="004A0604">
              <w:rPr>
                <w:noProof/>
                <w:webHidden/>
              </w:rPr>
              <w:tab/>
            </w:r>
            <w:r>
              <w:rPr>
                <w:noProof/>
                <w:webHidden/>
              </w:rPr>
              <w:fldChar w:fldCharType="begin"/>
            </w:r>
            <w:r w:rsidR="004A0604">
              <w:rPr>
                <w:noProof/>
                <w:webHidden/>
              </w:rPr>
              <w:instrText xml:space="preserve"> PAGEREF _Toc437376058 \h </w:instrText>
            </w:r>
            <w:r>
              <w:rPr>
                <w:noProof/>
                <w:webHidden/>
              </w:rPr>
            </w:r>
            <w:r>
              <w:rPr>
                <w:noProof/>
                <w:webHidden/>
              </w:rPr>
              <w:fldChar w:fldCharType="separate"/>
            </w:r>
            <w:r w:rsidR="004C11CB">
              <w:rPr>
                <w:noProof/>
                <w:webHidden/>
              </w:rPr>
              <w:t>144</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59" w:history="1">
            <w:r w:rsidR="004A0604" w:rsidRPr="00EA5E7E">
              <w:rPr>
                <w:rStyle w:val="Hipervnculo"/>
                <w:noProof/>
              </w:rPr>
              <w:t>6.2.2 CATEGORÍA DE DERECHOS AL DESARROLLO</w:t>
            </w:r>
            <w:r w:rsidR="004A0604">
              <w:rPr>
                <w:noProof/>
                <w:webHidden/>
              </w:rPr>
              <w:tab/>
            </w:r>
            <w:r>
              <w:rPr>
                <w:noProof/>
                <w:webHidden/>
              </w:rPr>
              <w:fldChar w:fldCharType="begin"/>
            </w:r>
            <w:r w:rsidR="004A0604">
              <w:rPr>
                <w:noProof/>
                <w:webHidden/>
              </w:rPr>
              <w:instrText xml:space="preserve"> PAGEREF _Toc437376059 \h </w:instrText>
            </w:r>
            <w:r>
              <w:rPr>
                <w:noProof/>
                <w:webHidden/>
              </w:rPr>
            </w:r>
            <w:r>
              <w:rPr>
                <w:noProof/>
                <w:webHidden/>
              </w:rPr>
              <w:fldChar w:fldCharType="separate"/>
            </w:r>
            <w:r w:rsidR="004C11CB">
              <w:rPr>
                <w:noProof/>
                <w:webHidden/>
              </w:rPr>
              <w:t>165</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60" w:history="1">
            <w:r w:rsidR="004A0604" w:rsidRPr="00EA5E7E">
              <w:rPr>
                <w:rStyle w:val="Hipervnculo"/>
                <w:noProof/>
              </w:rPr>
              <w:t>6.2.3 CATEGORÍA DERECHOS  A LA PROTECCIÓN</w:t>
            </w:r>
            <w:r w:rsidR="004A0604">
              <w:rPr>
                <w:noProof/>
                <w:webHidden/>
              </w:rPr>
              <w:tab/>
            </w:r>
            <w:r>
              <w:rPr>
                <w:noProof/>
                <w:webHidden/>
              </w:rPr>
              <w:fldChar w:fldCharType="begin"/>
            </w:r>
            <w:r w:rsidR="004A0604">
              <w:rPr>
                <w:noProof/>
                <w:webHidden/>
              </w:rPr>
              <w:instrText xml:space="preserve"> PAGEREF _Toc437376060 \h </w:instrText>
            </w:r>
            <w:r>
              <w:rPr>
                <w:noProof/>
                <w:webHidden/>
              </w:rPr>
            </w:r>
            <w:r>
              <w:rPr>
                <w:noProof/>
                <w:webHidden/>
              </w:rPr>
              <w:fldChar w:fldCharType="separate"/>
            </w:r>
            <w:r w:rsidR="004C11CB">
              <w:rPr>
                <w:noProof/>
                <w:webHidden/>
              </w:rPr>
              <w:t>166</w:t>
            </w:r>
            <w:r>
              <w:rPr>
                <w:noProof/>
                <w:webHidden/>
              </w:rPr>
              <w:fldChar w:fldCharType="end"/>
            </w:r>
          </w:hyperlink>
        </w:p>
        <w:p w:rsidR="004A0604" w:rsidRDefault="00222418">
          <w:pPr>
            <w:pStyle w:val="TDC1"/>
            <w:tabs>
              <w:tab w:val="right" w:leader="dot" w:pos="8828"/>
            </w:tabs>
            <w:rPr>
              <w:rFonts w:eastAsiaTheme="minorEastAsia"/>
              <w:noProof/>
              <w:lang w:eastAsia="es-CO"/>
            </w:rPr>
          </w:pPr>
          <w:hyperlink w:anchor="_Toc437376061" w:history="1">
            <w:r w:rsidR="004A0604" w:rsidRPr="00041382">
              <w:rPr>
                <w:rStyle w:val="Hipervnculo"/>
                <w:b/>
                <w:noProof/>
              </w:rPr>
              <w:t>6.3 CICLO VITAL ADOLESCENCIA</w:t>
            </w:r>
            <w:r w:rsidR="004A0604">
              <w:rPr>
                <w:noProof/>
                <w:webHidden/>
              </w:rPr>
              <w:tab/>
            </w:r>
            <w:r>
              <w:rPr>
                <w:noProof/>
                <w:webHidden/>
              </w:rPr>
              <w:fldChar w:fldCharType="begin"/>
            </w:r>
            <w:r w:rsidR="004A0604">
              <w:rPr>
                <w:noProof/>
                <w:webHidden/>
              </w:rPr>
              <w:instrText xml:space="preserve"> PAGEREF _Toc437376061 \h </w:instrText>
            </w:r>
            <w:r>
              <w:rPr>
                <w:noProof/>
                <w:webHidden/>
              </w:rPr>
            </w:r>
            <w:r>
              <w:rPr>
                <w:noProof/>
                <w:webHidden/>
              </w:rPr>
              <w:fldChar w:fldCharType="separate"/>
            </w:r>
            <w:r w:rsidR="004C11CB">
              <w:rPr>
                <w:noProof/>
                <w:webHidden/>
              </w:rPr>
              <w:t>204</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62" w:history="1">
            <w:r w:rsidR="004A0604" w:rsidRPr="00EA5E7E">
              <w:rPr>
                <w:rStyle w:val="Hipervnculo"/>
                <w:noProof/>
              </w:rPr>
              <w:t>6.3.1 CATEGORIA DE DERECHOS A LA EXISTENCIA</w:t>
            </w:r>
            <w:r w:rsidR="004A0604">
              <w:rPr>
                <w:noProof/>
                <w:webHidden/>
              </w:rPr>
              <w:tab/>
            </w:r>
            <w:r>
              <w:rPr>
                <w:noProof/>
                <w:webHidden/>
              </w:rPr>
              <w:fldChar w:fldCharType="begin"/>
            </w:r>
            <w:r w:rsidR="004A0604">
              <w:rPr>
                <w:noProof/>
                <w:webHidden/>
              </w:rPr>
              <w:instrText xml:space="preserve"> PAGEREF _Toc437376062 \h </w:instrText>
            </w:r>
            <w:r>
              <w:rPr>
                <w:noProof/>
                <w:webHidden/>
              </w:rPr>
            </w:r>
            <w:r>
              <w:rPr>
                <w:noProof/>
                <w:webHidden/>
              </w:rPr>
              <w:fldChar w:fldCharType="separate"/>
            </w:r>
            <w:r w:rsidR="004C11CB">
              <w:rPr>
                <w:noProof/>
                <w:webHidden/>
              </w:rPr>
              <w:t>204</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63" w:history="1">
            <w:r w:rsidR="004A0604" w:rsidRPr="00EA5E7E">
              <w:rPr>
                <w:rStyle w:val="Hipervnculo"/>
                <w:noProof/>
              </w:rPr>
              <w:t>6.3.2 CATEGORÍA DERECHO AL DESARROLLO</w:t>
            </w:r>
            <w:r w:rsidR="004A0604">
              <w:rPr>
                <w:noProof/>
                <w:webHidden/>
              </w:rPr>
              <w:tab/>
            </w:r>
            <w:r>
              <w:rPr>
                <w:noProof/>
                <w:webHidden/>
              </w:rPr>
              <w:fldChar w:fldCharType="begin"/>
            </w:r>
            <w:r w:rsidR="004A0604">
              <w:rPr>
                <w:noProof/>
                <w:webHidden/>
              </w:rPr>
              <w:instrText xml:space="preserve"> PAGEREF _Toc437376063 \h </w:instrText>
            </w:r>
            <w:r>
              <w:rPr>
                <w:noProof/>
                <w:webHidden/>
              </w:rPr>
            </w:r>
            <w:r>
              <w:rPr>
                <w:noProof/>
                <w:webHidden/>
              </w:rPr>
              <w:fldChar w:fldCharType="separate"/>
            </w:r>
            <w:r w:rsidR="004C11CB">
              <w:rPr>
                <w:noProof/>
                <w:webHidden/>
              </w:rPr>
              <w:t>219</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64" w:history="1">
            <w:r w:rsidR="004A0604" w:rsidRPr="00EA5E7E">
              <w:rPr>
                <w:rStyle w:val="Hipervnculo"/>
                <w:noProof/>
              </w:rPr>
              <w:t>6.3.3 CATEGORÍA DERECHO A LA PROTECCIÓN</w:t>
            </w:r>
            <w:r w:rsidR="004A0604">
              <w:rPr>
                <w:noProof/>
                <w:webHidden/>
              </w:rPr>
              <w:tab/>
            </w:r>
            <w:r>
              <w:rPr>
                <w:noProof/>
                <w:webHidden/>
              </w:rPr>
              <w:fldChar w:fldCharType="begin"/>
            </w:r>
            <w:r w:rsidR="004A0604">
              <w:rPr>
                <w:noProof/>
                <w:webHidden/>
              </w:rPr>
              <w:instrText xml:space="preserve"> PAGEREF _Toc437376064 \h </w:instrText>
            </w:r>
            <w:r>
              <w:rPr>
                <w:noProof/>
                <w:webHidden/>
              </w:rPr>
            </w:r>
            <w:r>
              <w:rPr>
                <w:noProof/>
                <w:webHidden/>
              </w:rPr>
              <w:fldChar w:fldCharType="separate"/>
            </w:r>
            <w:r w:rsidR="004C11CB">
              <w:rPr>
                <w:noProof/>
                <w:webHidden/>
              </w:rPr>
              <w:t>266</w:t>
            </w:r>
            <w:r>
              <w:rPr>
                <w:noProof/>
                <w:webHidden/>
              </w:rPr>
              <w:fldChar w:fldCharType="end"/>
            </w:r>
          </w:hyperlink>
        </w:p>
        <w:p w:rsidR="004A0604" w:rsidRDefault="00222418">
          <w:pPr>
            <w:pStyle w:val="TDC1"/>
            <w:tabs>
              <w:tab w:val="right" w:leader="dot" w:pos="8828"/>
            </w:tabs>
            <w:rPr>
              <w:rFonts w:eastAsiaTheme="minorEastAsia"/>
              <w:noProof/>
              <w:lang w:eastAsia="es-CO"/>
            </w:rPr>
          </w:pPr>
          <w:hyperlink w:anchor="_Toc437376065" w:history="1">
            <w:r w:rsidR="004A0604" w:rsidRPr="00041382">
              <w:rPr>
                <w:rStyle w:val="Hipervnculo"/>
                <w:b/>
                <w:noProof/>
              </w:rPr>
              <w:t>6.4 CICLO VITAL: JUVENTUD</w:t>
            </w:r>
            <w:r w:rsidR="004A0604">
              <w:rPr>
                <w:noProof/>
                <w:webHidden/>
              </w:rPr>
              <w:tab/>
            </w:r>
            <w:r>
              <w:rPr>
                <w:noProof/>
                <w:webHidden/>
              </w:rPr>
              <w:fldChar w:fldCharType="begin"/>
            </w:r>
            <w:r w:rsidR="004A0604">
              <w:rPr>
                <w:noProof/>
                <w:webHidden/>
              </w:rPr>
              <w:instrText xml:space="preserve"> PAGEREF _Toc437376065 \h </w:instrText>
            </w:r>
            <w:r>
              <w:rPr>
                <w:noProof/>
                <w:webHidden/>
              </w:rPr>
            </w:r>
            <w:r>
              <w:rPr>
                <w:noProof/>
                <w:webHidden/>
              </w:rPr>
              <w:fldChar w:fldCharType="separate"/>
            </w:r>
            <w:r w:rsidR="004C11CB">
              <w:rPr>
                <w:noProof/>
                <w:webHidden/>
              </w:rPr>
              <w:t>306</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66" w:history="1">
            <w:r w:rsidR="004A0604" w:rsidRPr="00EA5E7E">
              <w:rPr>
                <w:rStyle w:val="Hipervnculo"/>
                <w:noProof/>
              </w:rPr>
              <w:t>6.4.1 CATEGORÍA DERECHOS CIVILES Y POLÍTICOS</w:t>
            </w:r>
            <w:r w:rsidR="004A0604">
              <w:rPr>
                <w:noProof/>
                <w:webHidden/>
              </w:rPr>
              <w:tab/>
            </w:r>
            <w:r>
              <w:rPr>
                <w:noProof/>
                <w:webHidden/>
              </w:rPr>
              <w:fldChar w:fldCharType="begin"/>
            </w:r>
            <w:r w:rsidR="004A0604">
              <w:rPr>
                <w:noProof/>
                <w:webHidden/>
              </w:rPr>
              <w:instrText xml:space="preserve"> PAGEREF _Toc437376066 \h </w:instrText>
            </w:r>
            <w:r>
              <w:rPr>
                <w:noProof/>
                <w:webHidden/>
              </w:rPr>
            </w:r>
            <w:r>
              <w:rPr>
                <w:noProof/>
                <w:webHidden/>
              </w:rPr>
              <w:fldChar w:fldCharType="separate"/>
            </w:r>
            <w:r w:rsidR="004C11CB">
              <w:rPr>
                <w:noProof/>
                <w:webHidden/>
              </w:rPr>
              <w:t>306</w:t>
            </w:r>
            <w:r>
              <w:rPr>
                <w:noProof/>
                <w:webHidden/>
              </w:rPr>
              <w:fldChar w:fldCharType="end"/>
            </w:r>
          </w:hyperlink>
        </w:p>
        <w:p w:rsidR="004A0604" w:rsidRDefault="00222418">
          <w:pPr>
            <w:pStyle w:val="TDC2"/>
            <w:tabs>
              <w:tab w:val="right" w:leader="dot" w:pos="8828"/>
            </w:tabs>
            <w:rPr>
              <w:rFonts w:eastAsiaTheme="minorEastAsia"/>
              <w:noProof/>
              <w:lang w:eastAsia="es-CO"/>
            </w:rPr>
          </w:pPr>
          <w:hyperlink w:anchor="_Toc437376067" w:history="1">
            <w:r w:rsidR="004A0604" w:rsidRPr="00EA5E7E">
              <w:rPr>
                <w:rStyle w:val="Hipervnculo"/>
                <w:noProof/>
              </w:rPr>
              <w:t>6.4.2 CATEGORÍA DERECHOS ECONÓMICOS, SOCIALES, CULTURALES Y AMBIENTALES</w:t>
            </w:r>
            <w:r w:rsidR="004A0604">
              <w:rPr>
                <w:noProof/>
                <w:webHidden/>
              </w:rPr>
              <w:tab/>
            </w:r>
            <w:r>
              <w:rPr>
                <w:noProof/>
                <w:webHidden/>
              </w:rPr>
              <w:fldChar w:fldCharType="begin"/>
            </w:r>
            <w:r w:rsidR="004A0604">
              <w:rPr>
                <w:noProof/>
                <w:webHidden/>
              </w:rPr>
              <w:instrText xml:space="preserve"> PAGEREF _Toc437376067 \h </w:instrText>
            </w:r>
            <w:r>
              <w:rPr>
                <w:noProof/>
                <w:webHidden/>
              </w:rPr>
            </w:r>
            <w:r>
              <w:rPr>
                <w:noProof/>
                <w:webHidden/>
              </w:rPr>
              <w:fldChar w:fldCharType="separate"/>
            </w:r>
            <w:r w:rsidR="004C11CB">
              <w:rPr>
                <w:noProof/>
                <w:webHidden/>
              </w:rPr>
              <w:t>352</w:t>
            </w:r>
            <w:r>
              <w:rPr>
                <w:noProof/>
                <w:webHidden/>
              </w:rPr>
              <w:fldChar w:fldCharType="end"/>
            </w:r>
          </w:hyperlink>
        </w:p>
        <w:p w:rsidR="004A0604" w:rsidRPr="00041382" w:rsidRDefault="00222418">
          <w:pPr>
            <w:pStyle w:val="TDC1"/>
            <w:tabs>
              <w:tab w:val="right" w:leader="dot" w:pos="8828"/>
            </w:tabs>
            <w:rPr>
              <w:rFonts w:eastAsiaTheme="minorEastAsia"/>
              <w:b/>
              <w:noProof/>
              <w:lang w:eastAsia="es-CO"/>
            </w:rPr>
          </w:pPr>
          <w:hyperlink w:anchor="_Toc437376068" w:history="1">
            <w:r w:rsidR="004A0604" w:rsidRPr="00041382">
              <w:rPr>
                <w:rStyle w:val="Hipervnculo"/>
                <w:b/>
                <w:noProof/>
              </w:rPr>
              <w:t>6.5 DERECHOS TRANSVERSALES A LOS CICLOS VITALES DE EDAD</w:t>
            </w:r>
            <w:r w:rsidR="004A0604" w:rsidRPr="00041382">
              <w:rPr>
                <w:b/>
                <w:noProof/>
                <w:webHidden/>
              </w:rPr>
              <w:tab/>
            </w:r>
            <w:r w:rsidRPr="00041382">
              <w:rPr>
                <w:b/>
                <w:noProof/>
                <w:webHidden/>
              </w:rPr>
              <w:fldChar w:fldCharType="begin"/>
            </w:r>
            <w:r w:rsidR="004A0604" w:rsidRPr="00041382">
              <w:rPr>
                <w:b/>
                <w:noProof/>
                <w:webHidden/>
              </w:rPr>
              <w:instrText xml:space="preserve"> PAGEREF _Toc437376068 \h </w:instrText>
            </w:r>
            <w:r w:rsidRPr="00041382">
              <w:rPr>
                <w:b/>
                <w:noProof/>
                <w:webHidden/>
              </w:rPr>
            </w:r>
            <w:r w:rsidRPr="00041382">
              <w:rPr>
                <w:b/>
                <w:noProof/>
                <w:webHidden/>
              </w:rPr>
              <w:fldChar w:fldCharType="separate"/>
            </w:r>
            <w:r w:rsidR="004C11CB">
              <w:rPr>
                <w:b/>
                <w:noProof/>
                <w:webHidden/>
              </w:rPr>
              <w:t>365</w:t>
            </w:r>
            <w:r w:rsidRPr="00041382">
              <w:rPr>
                <w:b/>
                <w:noProof/>
                <w:webHidden/>
              </w:rPr>
              <w:fldChar w:fldCharType="end"/>
            </w:r>
          </w:hyperlink>
        </w:p>
        <w:p w:rsidR="004A0604" w:rsidRDefault="00222418">
          <w:pPr>
            <w:pStyle w:val="TDC1"/>
            <w:tabs>
              <w:tab w:val="right" w:leader="dot" w:pos="8828"/>
            </w:tabs>
            <w:rPr>
              <w:rFonts w:eastAsiaTheme="minorEastAsia"/>
              <w:noProof/>
              <w:lang w:eastAsia="es-CO"/>
            </w:rPr>
          </w:pPr>
          <w:hyperlink w:anchor="_Toc437376069" w:history="1">
            <w:r w:rsidR="004A0604" w:rsidRPr="00EA5E7E">
              <w:rPr>
                <w:rStyle w:val="Hipervnculo"/>
                <w:b/>
                <w:noProof/>
              </w:rPr>
              <w:t>6.6 BUENAS PRÁCTICAS</w:t>
            </w:r>
            <w:r w:rsidR="004A0604">
              <w:rPr>
                <w:noProof/>
                <w:webHidden/>
              </w:rPr>
              <w:tab/>
            </w:r>
            <w:r>
              <w:rPr>
                <w:noProof/>
                <w:webHidden/>
              </w:rPr>
              <w:fldChar w:fldCharType="begin"/>
            </w:r>
            <w:r w:rsidR="004A0604">
              <w:rPr>
                <w:noProof/>
                <w:webHidden/>
              </w:rPr>
              <w:instrText xml:space="preserve"> PAGEREF _Toc437376069 \h </w:instrText>
            </w:r>
            <w:r>
              <w:rPr>
                <w:noProof/>
                <w:webHidden/>
              </w:rPr>
            </w:r>
            <w:r>
              <w:rPr>
                <w:noProof/>
                <w:webHidden/>
              </w:rPr>
              <w:fldChar w:fldCharType="separate"/>
            </w:r>
            <w:r w:rsidR="004C11CB">
              <w:rPr>
                <w:noProof/>
                <w:webHidden/>
              </w:rPr>
              <w:t>377</w:t>
            </w:r>
            <w:r>
              <w:rPr>
                <w:noProof/>
                <w:webHidden/>
              </w:rPr>
              <w:fldChar w:fldCharType="end"/>
            </w:r>
          </w:hyperlink>
        </w:p>
        <w:p w:rsidR="004A0604" w:rsidRDefault="00222418">
          <w:r>
            <w:rPr>
              <w:b/>
              <w:bCs/>
              <w:lang w:val="es-ES"/>
            </w:rPr>
            <w:fldChar w:fldCharType="end"/>
          </w:r>
        </w:p>
      </w:sdtContent>
    </w:sdt>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F1345F" w:rsidP="007C07DB">
      <w:pPr>
        <w:tabs>
          <w:tab w:val="left" w:pos="7860"/>
        </w:tabs>
        <w:spacing w:after="0" w:line="240" w:lineRule="auto"/>
        <w:jc w:val="both"/>
        <w:rPr>
          <w:rFonts w:ascii="Century Gothic" w:hAnsi="Century Gothic"/>
          <w:sz w:val="24"/>
          <w:szCs w:val="24"/>
        </w:rPr>
      </w:pPr>
    </w:p>
    <w:p w:rsidR="00F1345F" w:rsidRDefault="00D14542" w:rsidP="00D14542">
      <w:pPr>
        <w:tabs>
          <w:tab w:val="left" w:pos="7860"/>
        </w:tabs>
        <w:spacing w:after="0" w:line="240" w:lineRule="auto"/>
        <w:jc w:val="both"/>
        <w:rPr>
          <w:rFonts w:ascii="Century Gothic" w:hAnsi="Century Gothic"/>
          <w:sz w:val="24"/>
          <w:szCs w:val="24"/>
        </w:rPr>
      </w:pPr>
      <w:r>
        <w:rPr>
          <w:rFonts w:ascii="Century Gothic" w:hAnsi="Century Gothic"/>
          <w:sz w:val="24"/>
          <w:szCs w:val="24"/>
        </w:rPr>
        <w:tab/>
      </w:r>
    </w:p>
    <w:p w:rsidR="00F1345F" w:rsidRDefault="00F1345F" w:rsidP="007C07DB">
      <w:pPr>
        <w:tabs>
          <w:tab w:val="left" w:pos="7860"/>
        </w:tabs>
        <w:spacing w:after="0" w:line="240" w:lineRule="auto"/>
        <w:jc w:val="both"/>
        <w:rPr>
          <w:rFonts w:ascii="Century Gothic" w:hAnsi="Century Gothic"/>
          <w:sz w:val="24"/>
          <w:szCs w:val="24"/>
        </w:rPr>
      </w:pPr>
    </w:p>
    <w:p w:rsidR="0081612B" w:rsidRPr="00635544" w:rsidRDefault="00C758D6" w:rsidP="00F1345F">
      <w:pPr>
        <w:pStyle w:val="Prrafodelista"/>
        <w:numPr>
          <w:ilvl w:val="0"/>
          <w:numId w:val="70"/>
        </w:numPr>
        <w:outlineLvl w:val="0"/>
        <w:rPr>
          <w:rFonts w:asciiTheme="majorHAnsi" w:eastAsia="Calibri" w:hAnsiTheme="majorHAnsi"/>
          <w:b/>
          <w:sz w:val="22"/>
          <w:szCs w:val="22"/>
        </w:rPr>
      </w:pPr>
      <w:bookmarkStart w:id="0" w:name="_Toc437375990"/>
      <w:r w:rsidRPr="00635544">
        <w:rPr>
          <w:rFonts w:asciiTheme="majorHAnsi" w:eastAsia="Calibri" w:hAnsiTheme="majorHAnsi"/>
          <w:b/>
          <w:sz w:val="22"/>
          <w:szCs w:val="22"/>
        </w:rPr>
        <w:lastRenderedPageBreak/>
        <w:t>P</w:t>
      </w:r>
      <w:r w:rsidR="0081612B" w:rsidRPr="00635544">
        <w:rPr>
          <w:rFonts w:asciiTheme="majorHAnsi" w:eastAsia="Calibri" w:hAnsiTheme="majorHAnsi"/>
          <w:b/>
          <w:sz w:val="22"/>
          <w:szCs w:val="22"/>
        </w:rPr>
        <w:t>RESENTACIÓN</w:t>
      </w:r>
      <w:bookmarkStart w:id="1" w:name="_GoBack"/>
      <w:bookmarkEnd w:id="0"/>
      <w:bookmarkEnd w:id="1"/>
    </w:p>
    <w:p w:rsidR="0081612B" w:rsidRPr="0081612B" w:rsidRDefault="0081612B" w:rsidP="0081612B">
      <w:pPr>
        <w:spacing w:after="0" w:line="240" w:lineRule="auto"/>
        <w:jc w:val="center"/>
        <w:rPr>
          <w:rFonts w:eastAsia="Calibri" w:cs="Times New Roman"/>
          <w:b/>
          <w:lang w:val="es-ES"/>
        </w:rPr>
      </w:pPr>
    </w:p>
    <w:p w:rsidR="0081612B" w:rsidRPr="0081612B" w:rsidRDefault="0081612B" w:rsidP="0081612B">
      <w:pPr>
        <w:spacing w:after="0" w:line="240" w:lineRule="auto"/>
        <w:jc w:val="both"/>
        <w:rPr>
          <w:rFonts w:eastAsia="Calibri" w:cs="Times New Roman"/>
          <w:lang w:val="es-ES"/>
        </w:rPr>
      </w:pPr>
      <w:r w:rsidRPr="0081612B">
        <w:rPr>
          <w:rFonts w:eastAsia="Calibri" w:cs="Times New Roman"/>
          <w:lang w:val="es-ES"/>
        </w:rPr>
        <w:t xml:space="preserve">En el presente informe, se resumen los logros de la gestión adelantada en el período comprendido entre </w:t>
      </w:r>
      <w:r w:rsidR="00142217">
        <w:rPr>
          <w:rFonts w:eastAsia="Calibri" w:cs="Times New Roman"/>
          <w:lang w:val="es-ES"/>
        </w:rPr>
        <w:t>E</w:t>
      </w:r>
      <w:r w:rsidRPr="0081612B">
        <w:rPr>
          <w:rFonts w:eastAsia="Calibri" w:cs="Times New Roman"/>
          <w:lang w:val="es-ES"/>
        </w:rPr>
        <w:t xml:space="preserve">nero de 2012 y Diciembre de 2015, en lo concerniente al desempeño misional de la Alcaldía Municipal de Pasto a través de sus diferentes Secretarías indicando los resultados relevantes obtenidos en desarrollo de las funciones institucionales y los lineamientos definidos en el plan de desarrollo. </w:t>
      </w:r>
    </w:p>
    <w:p w:rsidR="0081612B" w:rsidRPr="0081612B" w:rsidRDefault="0081612B" w:rsidP="0081612B">
      <w:pPr>
        <w:spacing w:after="0" w:line="240" w:lineRule="auto"/>
        <w:jc w:val="both"/>
        <w:rPr>
          <w:rFonts w:eastAsia="Calibri" w:cs="Times New Roman"/>
          <w:lang w:val="es-ES"/>
        </w:rPr>
      </w:pPr>
    </w:p>
    <w:p w:rsidR="0081612B" w:rsidRPr="0081612B" w:rsidRDefault="0081612B" w:rsidP="0081612B">
      <w:pPr>
        <w:spacing w:after="0" w:line="240" w:lineRule="auto"/>
        <w:jc w:val="both"/>
        <w:rPr>
          <w:rFonts w:eastAsia="Calibri" w:cs="Times New Roman"/>
          <w:lang w:val="es-ES"/>
        </w:rPr>
      </w:pPr>
      <w:r w:rsidRPr="0081612B">
        <w:rPr>
          <w:rFonts w:eastAsia="Calibri" w:cs="Times New Roman"/>
          <w:lang w:val="es-ES"/>
        </w:rPr>
        <w:t>Teniendo en cuenta que el bloque Constitucional conformado por la legisla</w:t>
      </w:r>
      <w:r w:rsidR="00142217">
        <w:rPr>
          <w:rFonts w:eastAsia="Calibri" w:cs="Times New Roman"/>
          <w:lang w:val="es-ES"/>
        </w:rPr>
        <w:t>ción Internacional, N</w:t>
      </w:r>
      <w:r w:rsidRPr="0081612B">
        <w:rPr>
          <w:rFonts w:eastAsia="Calibri" w:cs="Times New Roman"/>
          <w:lang w:val="es-ES"/>
        </w:rPr>
        <w:t>acional y demás nor</w:t>
      </w:r>
      <w:r w:rsidR="00142217">
        <w:rPr>
          <w:rFonts w:eastAsia="Calibri" w:cs="Times New Roman"/>
          <w:lang w:val="es-ES"/>
        </w:rPr>
        <w:t>mas reglamentarias en temas de niños, niñas, adolescentes y jóvenes</w:t>
      </w:r>
      <w:r w:rsidRPr="0081612B">
        <w:rPr>
          <w:rFonts w:eastAsia="Calibri" w:cs="Times New Roman"/>
          <w:lang w:val="es-ES"/>
        </w:rPr>
        <w:t>, podemos decir que las niñas, niños, adolescentes y jóvenes son sujetos y titulares de derechos. Tanto la Convención Internacional de los Derechos del Niño, como la Constitución Política Colombiana y la Ley 1098 de 2006 reconocen y establecen esta condición. A su vez declaran que los derechos de infancia y adolescencia prevalecen sobre los derechos de los demás y consagran el principio del “interés superior” como herramienta jurídica para garantizarlos en todas las decisiones.</w:t>
      </w:r>
    </w:p>
    <w:p w:rsidR="0081612B" w:rsidRPr="0081612B" w:rsidRDefault="0081612B" w:rsidP="0081612B">
      <w:pPr>
        <w:spacing w:after="0" w:line="240" w:lineRule="auto"/>
        <w:jc w:val="both"/>
        <w:rPr>
          <w:rFonts w:eastAsia="Calibri" w:cs="Times New Roman"/>
          <w:lang w:val="es-ES"/>
        </w:rPr>
      </w:pPr>
    </w:p>
    <w:p w:rsidR="0081612B" w:rsidRDefault="0081612B" w:rsidP="0081612B">
      <w:pPr>
        <w:spacing w:after="0" w:line="240" w:lineRule="auto"/>
        <w:jc w:val="both"/>
        <w:rPr>
          <w:rFonts w:eastAsia="Calibri" w:cs="Times New Roman"/>
          <w:lang w:val="es-ES"/>
        </w:rPr>
      </w:pPr>
      <w:r w:rsidRPr="0081612B">
        <w:rPr>
          <w:rFonts w:eastAsia="Calibri" w:cs="Times New Roman"/>
          <w:lang w:val="es-ES"/>
        </w:rPr>
        <w:t xml:space="preserve">Así mismo, los </w:t>
      </w:r>
      <w:r w:rsidR="00142217">
        <w:rPr>
          <w:rFonts w:eastAsia="Calibri" w:cs="Times New Roman"/>
          <w:lang w:val="es-ES"/>
        </w:rPr>
        <w:t>niños, niñas, adolescentes y jóvenes</w:t>
      </w:r>
      <w:r w:rsidRPr="0081612B">
        <w:rPr>
          <w:rFonts w:eastAsia="Calibri" w:cs="Times New Roman"/>
          <w:lang w:val="es-ES"/>
        </w:rPr>
        <w:t xml:space="preserve">, gozan de protección integral, dicha Protección se materializa con el principio del “interés superior” y la prevalencia de los derechos de las niñas, niños, adolescentes y jóvenes. Por ello, las autoridades territoriales están obligadas a garantizar el ejercicio de los </w:t>
      </w:r>
      <w:r w:rsidR="00142217">
        <w:rPr>
          <w:rFonts w:eastAsia="Calibri" w:cs="Times New Roman"/>
          <w:lang w:val="es-ES"/>
        </w:rPr>
        <w:t>D</w:t>
      </w:r>
      <w:r w:rsidRPr="0081612B">
        <w:rPr>
          <w:rFonts w:eastAsia="Calibri" w:cs="Times New Roman"/>
          <w:lang w:val="es-ES"/>
        </w:rPr>
        <w:t xml:space="preserve">erechos </w:t>
      </w:r>
      <w:r w:rsidR="00142217">
        <w:rPr>
          <w:rFonts w:eastAsia="Calibri" w:cs="Times New Roman"/>
          <w:lang w:val="es-ES"/>
        </w:rPr>
        <w:t>H</w:t>
      </w:r>
      <w:r w:rsidRPr="0081612B">
        <w:rPr>
          <w:rFonts w:eastAsia="Calibri" w:cs="Times New Roman"/>
          <w:lang w:val="es-ES"/>
        </w:rPr>
        <w:t xml:space="preserve">umanos, los cuales son </w:t>
      </w:r>
      <w:r w:rsidR="00142217">
        <w:rPr>
          <w:rFonts w:eastAsia="Calibri" w:cs="Times New Roman"/>
          <w:lang w:val="es-ES"/>
        </w:rPr>
        <w:t>U</w:t>
      </w:r>
      <w:r w:rsidRPr="0081612B">
        <w:rPr>
          <w:rFonts w:eastAsia="Calibri" w:cs="Times New Roman"/>
          <w:lang w:val="es-ES"/>
        </w:rPr>
        <w:t xml:space="preserve">niversales. </w:t>
      </w:r>
    </w:p>
    <w:p w:rsidR="00431D6B" w:rsidRPr="0081612B" w:rsidRDefault="00431D6B" w:rsidP="0081612B">
      <w:pPr>
        <w:spacing w:after="0" w:line="240" w:lineRule="auto"/>
        <w:jc w:val="both"/>
        <w:rPr>
          <w:rFonts w:eastAsia="Calibri" w:cs="Times New Roman"/>
          <w:lang w:val="es-ES"/>
        </w:rPr>
      </w:pPr>
    </w:p>
    <w:p w:rsidR="003B2265" w:rsidRDefault="00431D6B" w:rsidP="003B2265">
      <w:pPr>
        <w:spacing w:after="0" w:line="240" w:lineRule="auto"/>
        <w:jc w:val="both"/>
        <w:rPr>
          <w:rFonts w:eastAsia="Calibri" w:cs="Times New Roman"/>
          <w:lang w:val="es-ES"/>
        </w:rPr>
      </w:pPr>
      <w:r>
        <w:rPr>
          <w:rFonts w:eastAsia="Calibri" w:cs="Times New Roman"/>
          <w:lang w:val="es-ES"/>
        </w:rPr>
        <w:t>L</w:t>
      </w:r>
      <w:r w:rsidR="0081612B" w:rsidRPr="0081612B">
        <w:rPr>
          <w:rFonts w:eastAsia="Calibri" w:cs="Times New Roman"/>
          <w:lang w:val="es-ES"/>
        </w:rPr>
        <w:t>a administración Municipal de Pasto, a través de las diferentes Secretarías, ha venido desarrollando estrategias encaminadas al cumplimiento de atención a niños, niñas, adolescentes</w:t>
      </w:r>
      <w:r w:rsidR="009A3D49">
        <w:rPr>
          <w:rFonts w:eastAsia="Calibri" w:cs="Times New Roman"/>
          <w:lang w:val="es-ES"/>
        </w:rPr>
        <w:t xml:space="preserve"> y jóvenes </w:t>
      </w:r>
      <w:r w:rsidR="0086296A">
        <w:rPr>
          <w:rFonts w:eastAsia="Calibri" w:cs="Times New Roman"/>
          <w:lang w:val="es-ES"/>
        </w:rPr>
        <w:t xml:space="preserve">tanto en la zona </w:t>
      </w:r>
      <w:r>
        <w:rPr>
          <w:rFonts w:eastAsia="Calibri" w:cs="Times New Roman"/>
          <w:lang w:val="es-ES"/>
        </w:rPr>
        <w:t>urbana</w:t>
      </w:r>
      <w:r w:rsidR="0086296A">
        <w:rPr>
          <w:rFonts w:eastAsia="Calibri" w:cs="Times New Roman"/>
          <w:lang w:val="es-ES"/>
        </w:rPr>
        <w:t xml:space="preserve"> como </w:t>
      </w:r>
      <w:r>
        <w:rPr>
          <w:rFonts w:eastAsia="Calibri" w:cs="Times New Roman"/>
          <w:lang w:val="es-ES"/>
        </w:rPr>
        <w:t>rural</w:t>
      </w:r>
      <w:r w:rsidR="0086296A">
        <w:rPr>
          <w:rFonts w:eastAsia="Calibri" w:cs="Times New Roman"/>
          <w:lang w:val="es-ES"/>
        </w:rPr>
        <w:t xml:space="preserve"> de</w:t>
      </w:r>
      <w:r w:rsidR="009A3D49">
        <w:rPr>
          <w:rFonts w:eastAsia="Calibri" w:cs="Times New Roman"/>
          <w:lang w:val="es-ES"/>
        </w:rPr>
        <w:t xml:space="preserve"> </w:t>
      </w:r>
      <w:r>
        <w:rPr>
          <w:rFonts w:eastAsia="Calibri" w:cs="Times New Roman"/>
          <w:lang w:val="es-ES"/>
        </w:rPr>
        <w:t>la ciudad</w:t>
      </w:r>
      <w:r w:rsidR="0081612B" w:rsidRPr="0081612B">
        <w:rPr>
          <w:rFonts w:eastAsia="Calibri" w:cs="Times New Roman"/>
          <w:lang w:val="es-ES"/>
        </w:rPr>
        <w:t>.</w:t>
      </w:r>
    </w:p>
    <w:p w:rsidR="003B2265" w:rsidRDefault="003B2265" w:rsidP="003B2265">
      <w:pPr>
        <w:spacing w:after="0" w:line="240" w:lineRule="auto"/>
        <w:jc w:val="both"/>
        <w:rPr>
          <w:rFonts w:eastAsia="Calibri" w:cs="Times New Roman"/>
          <w:b/>
          <w:lang w:val="es-ES"/>
        </w:rPr>
      </w:pPr>
    </w:p>
    <w:p w:rsidR="003B2265" w:rsidRPr="003B2265" w:rsidRDefault="003B2265"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7B5D49" w:rsidRDefault="007B5D49" w:rsidP="003B2265">
      <w:pPr>
        <w:spacing w:after="0" w:line="240" w:lineRule="auto"/>
        <w:jc w:val="both"/>
        <w:rPr>
          <w:rFonts w:asciiTheme="majorHAnsi" w:eastAsia="Calibri" w:hAnsiTheme="majorHAnsi" w:cs="Times New Roman"/>
          <w:b/>
          <w:lang w:val="es-ES"/>
        </w:rPr>
      </w:pPr>
    </w:p>
    <w:p w:rsidR="00113F16" w:rsidRDefault="00113F16" w:rsidP="003B2265">
      <w:pPr>
        <w:spacing w:after="0" w:line="240" w:lineRule="auto"/>
        <w:jc w:val="both"/>
        <w:rPr>
          <w:rFonts w:asciiTheme="majorHAnsi" w:eastAsia="Calibri" w:hAnsiTheme="majorHAnsi" w:cs="Times New Roman"/>
          <w:b/>
          <w:lang w:val="es-ES"/>
        </w:rPr>
      </w:pPr>
    </w:p>
    <w:p w:rsidR="00431D6B" w:rsidRDefault="00431D6B" w:rsidP="003B2265">
      <w:pPr>
        <w:spacing w:after="0" w:line="240" w:lineRule="auto"/>
        <w:jc w:val="both"/>
        <w:rPr>
          <w:rFonts w:asciiTheme="majorHAnsi" w:eastAsia="Calibri" w:hAnsiTheme="majorHAnsi" w:cs="Times New Roman"/>
          <w:b/>
          <w:lang w:val="es-ES"/>
        </w:rPr>
      </w:pPr>
    </w:p>
    <w:p w:rsidR="00431D6B" w:rsidRDefault="00431D6B" w:rsidP="003B2265">
      <w:pPr>
        <w:spacing w:after="0" w:line="240" w:lineRule="auto"/>
        <w:jc w:val="both"/>
        <w:rPr>
          <w:rFonts w:asciiTheme="majorHAnsi" w:eastAsia="Calibri" w:hAnsiTheme="majorHAnsi" w:cs="Times New Roman"/>
          <w:b/>
          <w:lang w:val="es-ES"/>
        </w:rPr>
      </w:pPr>
    </w:p>
    <w:p w:rsidR="00431D6B" w:rsidRDefault="00431D6B" w:rsidP="003B2265">
      <w:pPr>
        <w:spacing w:after="0" w:line="240" w:lineRule="auto"/>
        <w:jc w:val="both"/>
        <w:rPr>
          <w:rFonts w:asciiTheme="majorHAnsi" w:eastAsia="Calibri" w:hAnsiTheme="majorHAnsi" w:cs="Times New Roman"/>
          <w:b/>
          <w:lang w:val="es-ES"/>
        </w:rPr>
      </w:pPr>
    </w:p>
    <w:p w:rsidR="0001110E" w:rsidRDefault="0001110E" w:rsidP="003B2265">
      <w:pPr>
        <w:spacing w:after="0" w:line="240" w:lineRule="auto"/>
        <w:jc w:val="both"/>
        <w:rPr>
          <w:rFonts w:asciiTheme="majorHAnsi" w:eastAsia="Calibri" w:hAnsiTheme="majorHAnsi" w:cs="Times New Roman"/>
          <w:b/>
          <w:lang w:val="es-ES"/>
        </w:rPr>
      </w:pPr>
    </w:p>
    <w:p w:rsidR="00C758D6" w:rsidRDefault="00C758D6" w:rsidP="003B2265">
      <w:pPr>
        <w:spacing w:after="0" w:line="240" w:lineRule="auto"/>
        <w:jc w:val="both"/>
        <w:rPr>
          <w:rFonts w:asciiTheme="majorHAnsi" w:eastAsia="Calibri" w:hAnsiTheme="majorHAnsi" w:cs="Times New Roman"/>
          <w:b/>
          <w:lang w:val="es-ES"/>
        </w:rPr>
      </w:pPr>
    </w:p>
    <w:p w:rsidR="00CC2592" w:rsidRPr="006A72F0" w:rsidRDefault="003B2265" w:rsidP="00F1345F">
      <w:pPr>
        <w:pStyle w:val="Sinespaciado"/>
        <w:numPr>
          <w:ilvl w:val="0"/>
          <w:numId w:val="70"/>
        </w:numPr>
        <w:outlineLvl w:val="0"/>
        <w:rPr>
          <w:b/>
        </w:rPr>
      </w:pPr>
      <w:bookmarkStart w:id="2" w:name="_Toc437375991"/>
      <w:r w:rsidRPr="006A72F0">
        <w:rPr>
          <w:b/>
          <w:lang w:val="es-ES"/>
        </w:rPr>
        <w:t>INT</w:t>
      </w:r>
      <w:r w:rsidRPr="006A72F0">
        <w:rPr>
          <w:b/>
        </w:rPr>
        <w:t>RODUCCIÓN</w:t>
      </w:r>
      <w:bookmarkEnd w:id="2"/>
    </w:p>
    <w:p w:rsidR="007B5D49" w:rsidRDefault="007B5D49" w:rsidP="007B5D49">
      <w:pPr>
        <w:spacing w:after="0" w:line="240" w:lineRule="auto"/>
        <w:jc w:val="center"/>
        <w:rPr>
          <w:rFonts w:asciiTheme="majorHAnsi" w:hAnsiTheme="majorHAnsi"/>
          <w:b/>
        </w:rPr>
      </w:pPr>
    </w:p>
    <w:p w:rsidR="007B5D49" w:rsidRDefault="009F7CE1" w:rsidP="007B5D49">
      <w:pPr>
        <w:spacing w:after="0" w:line="240" w:lineRule="auto"/>
        <w:jc w:val="both"/>
      </w:pPr>
      <w:r w:rsidRPr="009F7CE1">
        <w:t>“</w:t>
      </w:r>
      <w:r w:rsidRPr="009F7CE1">
        <w:rPr>
          <w:i/>
        </w:rPr>
        <w:t>Pasto: transformación productiva</w:t>
      </w:r>
      <w:r>
        <w:t xml:space="preserve">”, es el título del plan de desarrollo municipal de Pasto para el periodo 2012-2015. Desde el marco conceptual de la transformación productiva, la </w:t>
      </w:r>
      <w:r w:rsidR="00FF683A">
        <w:t>administración municipal</w:t>
      </w:r>
      <w:r>
        <w:t>, asume el reto de trabajar p</w:t>
      </w:r>
      <w:r w:rsidR="00FF683A">
        <w:t>ara</w:t>
      </w:r>
      <w:r>
        <w:t xml:space="preserve"> desarrollar positivamente las condiciones de vida de sus habitantes y garantizar los derechos a todos y todas en sus diferentes ciclos vitales de edad. </w:t>
      </w:r>
    </w:p>
    <w:p w:rsidR="009F7CE1" w:rsidRDefault="009F7CE1" w:rsidP="007B5D49">
      <w:pPr>
        <w:spacing w:after="0" w:line="240" w:lineRule="auto"/>
        <w:jc w:val="both"/>
      </w:pPr>
    </w:p>
    <w:p w:rsidR="009F7CE1" w:rsidRDefault="00AA1C79" w:rsidP="007B5D49">
      <w:pPr>
        <w:spacing w:after="0" w:line="240" w:lineRule="auto"/>
        <w:jc w:val="both"/>
      </w:pPr>
      <w:r>
        <w:t>El compromiso asumido por la actual administración, en lo que tiene que ver con  la garantía de los derechos de la población de la primera infancia, infancia, adolescencia y juventud, se plasma en las acciones que se han adel</w:t>
      </w:r>
      <w:r w:rsidR="004C22F2">
        <w:t xml:space="preserve">antado durante este cuatrienio. Categorías de derechos </w:t>
      </w:r>
      <w:r>
        <w:t xml:space="preserve">como la existencia, el desarrollo, </w:t>
      </w:r>
      <w:r w:rsidR="004C22F2">
        <w:t xml:space="preserve">la protección, la ciudadanía, </w:t>
      </w:r>
      <w:r w:rsidR="00FF683A">
        <w:t xml:space="preserve">lo </w:t>
      </w:r>
      <w:r w:rsidR="004C22F2">
        <w:t xml:space="preserve">social y </w:t>
      </w:r>
      <w:r w:rsidR="00FF683A">
        <w:t xml:space="preserve">el medio </w:t>
      </w:r>
      <w:r w:rsidR="004C22F2">
        <w:t>ambient</w:t>
      </w:r>
      <w:r w:rsidR="00FF683A">
        <w:t>e</w:t>
      </w:r>
      <w:r w:rsidR="004C22F2">
        <w:t xml:space="preserve">, se ven reflejados tanto, en la atención y mejoramiento de las condiciones de vida de los niños, niñas, adolescentes y jóvenes, como en la rendición publica de cuentas para la garantía de los derechos </w:t>
      </w:r>
      <w:r w:rsidR="008C5D5A">
        <w:t>de esta población</w:t>
      </w:r>
      <w:r w:rsidR="004C22F2">
        <w:t xml:space="preserve">. </w:t>
      </w:r>
    </w:p>
    <w:p w:rsidR="004C22F2" w:rsidRDefault="004C22F2" w:rsidP="007B5D49">
      <w:pPr>
        <w:spacing w:after="0" w:line="240" w:lineRule="auto"/>
        <w:jc w:val="both"/>
      </w:pPr>
    </w:p>
    <w:p w:rsidR="004C22F2" w:rsidRDefault="004C22F2" w:rsidP="007B5D49">
      <w:pPr>
        <w:spacing w:after="0" w:line="240" w:lineRule="auto"/>
        <w:jc w:val="both"/>
      </w:pPr>
      <w:r>
        <w:t>En esta medida, la Procuraduría General de la Nación, a través de la vigilancia superior, genera la oportunidad</w:t>
      </w:r>
      <w:r w:rsidR="00FF6074">
        <w:t>, a través de la Rendición Pública de Cuentas (RPC),</w:t>
      </w:r>
      <w:r>
        <w:t xml:space="preserve"> de hacer visible a la ciudadanía,  estos logros y retos que se asumieron y que han quedado trazados para las acciones de administraciones futuras. </w:t>
      </w:r>
    </w:p>
    <w:p w:rsidR="004C22F2" w:rsidRDefault="004C22F2" w:rsidP="007B5D49">
      <w:pPr>
        <w:spacing w:after="0" w:line="240" w:lineRule="auto"/>
        <w:jc w:val="both"/>
      </w:pPr>
    </w:p>
    <w:p w:rsidR="003C3F0C" w:rsidRDefault="004C22F2" w:rsidP="007B5D49">
      <w:pPr>
        <w:spacing w:after="0" w:line="240" w:lineRule="auto"/>
        <w:jc w:val="both"/>
      </w:pPr>
      <w:r>
        <w:t xml:space="preserve">En el proceso de la </w:t>
      </w:r>
      <w:r w:rsidR="008C5D5A">
        <w:t>R</w:t>
      </w:r>
      <w:r>
        <w:t xml:space="preserve">endición </w:t>
      </w:r>
      <w:r w:rsidR="008C5D5A">
        <w:t>P</w:t>
      </w:r>
      <w:r>
        <w:t xml:space="preserve">ública de </w:t>
      </w:r>
      <w:r w:rsidR="008C5D5A">
        <w:t>C</w:t>
      </w:r>
      <w:r>
        <w:t>uent</w:t>
      </w:r>
      <w:r w:rsidR="00FF6074">
        <w:t>as RPC</w:t>
      </w:r>
      <w:r>
        <w:t xml:space="preserve"> para los </w:t>
      </w:r>
      <w:r w:rsidR="008C5D5A">
        <w:t>niños, niñas, adolescentes y juventud</w:t>
      </w:r>
      <w:r>
        <w:t>, se d</w:t>
      </w:r>
      <w:r w:rsidR="00334D8F">
        <w:t xml:space="preserve">esarrollaron </w:t>
      </w:r>
      <w:r w:rsidR="00C642A2">
        <w:t xml:space="preserve">a través de </w:t>
      </w:r>
      <w:r w:rsidR="00334D8F">
        <w:t>distintas fases</w:t>
      </w:r>
      <w:r w:rsidR="00FF6074">
        <w:t xml:space="preserve"> que ayudaron a organizar, planificar y ejecutar el informe final de la gestión sobre la garantía de los derechos de dichas poblaciones. </w:t>
      </w:r>
    </w:p>
    <w:p w:rsidR="003C3F0C" w:rsidRDefault="003C3F0C" w:rsidP="007B5D49">
      <w:pPr>
        <w:spacing w:after="0" w:line="240" w:lineRule="auto"/>
        <w:jc w:val="both"/>
      </w:pPr>
    </w:p>
    <w:p w:rsidR="004C22F2" w:rsidRDefault="003C3F0C" w:rsidP="007B5D49">
      <w:pPr>
        <w:spacing w:after="0" w:line="240" w:lineRule="auto"/>
        <w:jc w:val="both"/>
      </w:pPr>
      <w:r>
        <w:t xml:space="preserve">De esta manera, se comenzó con la fase de </w:t>
      </w:r>
      <w:r w:rsidRPr="003C3F0C">
        <w:rPr>
          <w:i/>
        </w:rPr>
        <w:t>sensibilización y alistamiento</w:t>
      </w:r>
      <w:r>
        <w:t xml:space="preserve">, en la cual fue organizado un equipo de trabajo, liderado por la </w:t>
      </w:r>
      <w:r w:rsidR="00C642A2">
        <w:t>S</w:t>
      </w:r>
      <w:r>
        <w:t xml:space="preserve">ecretaría de Bienestar Social, y donde fue la encargada de recibir la capacitación y asesoramiento, por parte de ICBF, PNUD y la </w:t>
      </w:r>
      <w:r w:rsidR="00C642A2">
        <w:t>G</w:t>
      </w:r>
      <w:r>
        <w:t xml:space="preserve">obernación </w:t>
      </w:r>
      <w:r w:rsidR="00C642A2">
        <w:t>D</w:t>
      </w:r>
      <w:r>
        <w:t xml:space="preserve">epartamental de Nariño. </w:t>
      </w:r>
      <w:r w:rsidRPr="00E733BC">
        <w:t xml:space="preserve">El equipo de trabajo estuvo compuesto por: Secretaría de Salud, Secretaría de Educación, Secretaría de Gobierno, la </w:t>
      </w:r>
      <w:r w:rsidR="00C642A2" w:rsidRPr="00E733BC">
        <w:t>D</w:t>
      </w:r>
      <w:r w:rsidRPr="00E733BC">
        <w:t>irección de J</w:t>
      </w:r>
      <w:r w:rsidR="005811AD" w:rsidRPr="00E733BC">
        <w:t xml:space="preserve">uventud. </w:t>
      </w:r>
      <w:r w:rsidR="00DD0D52" w:rsidRPr="00E733BC">
        <w:t xml:space="preserve">También se tuvo la ayuda y el acompañamiento de la </w:t>
      </w:r>
      <w:r w:rsidR="00C642A2" w:rsidRPr="00E733BC">
        <w:t>O</w:t>
      </w:r>
      <w:r w:rsidR="00DD0D52" w:rsidRPr="00E733BC">
        <w:t>ficina de Comunicaciones de la alcaldía de Pasto para generar el plan de comunicaciones de la RPC.</w:t>
      </w:r>
    </w:p>
    <w:p w:rsidR="004C0A6A" w:rsidRDefault="004C0A6A" w:rsidP="007B5D49">
      <w:pPr>
        <w:spacing w:after="0" w:line="240" w:lineRule="auto"/>
        <w:jc w:val="both"/>
      </w:pPr>
    </w:p>
    <w:p w:rsidR="004C0A6A" w:rsidRDefault="004C0A6A" w:rsidP="007B5D49">
      <w:pPr>
        <w:spacing w:after="0" w:line="240" w:lineRule="auto"/>
        <w:jc w:val="both"/>
      </w:pPr>
      <w:r>
        <w:t>Este equipo de trabajo tuvo la responsabilidad de desarrollar la segunda fase de la R</w:t>
      </w:r>
      <w:r w:rsidR="00C642A2">
        <w:t xml:space="preserve">endición </w:t>
      </w:r>
      <w:r>
        <w:t>P</w:t>
      </w:r>
      <w:r w:rsidR="00C642A2">
        <w:t xml:space="preserve">ública de </w:t>
      </w:r>
      <w:r>
        <w:t>C</w:t>
      </w:r>
      <w:r w:rsidR="00C642A2">
        <w:t>uentas, donde se analizó</w:t>
      </w:r>
      <w:r w:rsidRPr="00C642A2">
        <w:t xml:space="preserve"> </w:t>
      </w:r>
      <w:r w:rsidR="00C642A2">
        <w:t>la</w:t>
      </w:r>
      <w:r w:rsidRPr="00C642A2">
        <w:t xml:space="preserve"> información</w:t>
      </w:r>
      <w:r>
        <w:t xml:space="preserve">, fase </w:t>
      </w:r>
      <w:r w:rsidR="00C642A2">
        <w:t xml:space="preserve">que </w:t>
      </w:r>
      <w:r>
        <w:t>consistió en diligenciar el aplicativo de la RPC de la Procuraduría General de la Nación, los 163 indicadores distribuidos en los distintos ciclos vitales de edad, y divididos por diferentes categorías</w:t>
      </w:r>
      <w:r w:rsidR="009C283B">
        <w:t xml:space="preserve"> </w:t>
      </w:r>
      <w:r>
        <w:t xml:space="preserve">de derechos. También este equipo tuvo la responsabilidad de buscar información y remitirse a las </w:t>
      </w:r>
      <w:r w:rsidR="009C283B">
        <w:t>distintas</w:t>
      </w:r>
      <w:r>
        <w:t xml:space="preserve"> dependencias gubernamentales y no gubernamentales donde existiera la información que se requería en este proceso.  </w:t>
      </w:r>
    </w:p>
    <w:p w:rsidR="009C283B" w:rsidRDefault="009C283B" w:rsidP="007B5D49">
      <w:pPr>
        <w:spacing w:after="0" w:line="240" w:lineRule="auto"/>
        <w:jc w:val="both"/>
      </w:pPr>
    </w:p>
    <w:p w:rsidR="009C283B" w:rsidRDefault="009C283B" w:rsidP="007B5D49">
      <w:pPr>
        <w:spacing w:after="0" w:line="240" w:lineRule="auto"/>
        <w:jc w:val="both"/>
      </w:pPr>
      <w:r w:rsidRPr="00E733BC">
        <w:t>Cuando ya se t</w:t>
      </w:r>
      <w:r w:rsidR="00DD0D52" w:rsidRPr="00E733BC">
        <w:t>iene</w:t>
      </w:r>
      <w:r w:rsidRPr="00E733BC">
        <w:t xml:space="preserve"> la información completa, se pasa a la tercera fase: Fase de Encuentros Estratégicos de Diálogo y Audiencia Pública Participativa</w:t>
      </w:r>
      <w:r w:rsidRPr="00E733BC">
        <w:rPr>
          <w:i/>
        </w:rPr>
        <w:t xml:space="preserve">, </w:t>
      </w:r>
      <w:r w:rsidRPr="00E733BC">
        <w:t>en el momento de la</w:t>
      </w:r>
      <w:r w:rsidR="00DD0D52" w:rsidRPr="00E733BC">
        <w:t xml:space="preserve"> finalización de la </w:t>
      </w:r>
      <w:r w:rsidR="00DD0D52" w:rsidRPr="00E733BC">
        <w:lastRenderedPageBreak/>
        <w:t>e</w:t>
      </w:r>
      <w:r w:rsidRPr="00E733BC">
        <w:t xml:space="preserve">laboración de este informe </w:t>
      </w:r>
      <w:r w:rsidR="00DD0D52" w:rsidRPr="00E733BC">
        <w:t>de gestión, se llevará a cabo el encuentro de diálogos con la ciudadanía y con la población de NNAJ.</w:t>
      </w:r>
      <w:r w:rsidR="00DD0D52">
        <w:t xml:space="preserve"> </w:t>
      </w:r>
    </w:p>
    <w:p w:rsidR="00577592" w:rsidRDefault="00577592" w:rsidP="007B5D49">
      <w:pPr>
        <w:spacing w:after="0" w:line="240" w:lineRule="auto"/>
        <w:jc w:val="both"/>
      </w:pPr>
    </w:p>
    <w:p w:rsidR="00577592" w:rsidRPr="00577592" w:rsidRDefault="00577592" w:rsidP="007B5D49">
      <w:pPr>
        <w:spacing w:after="0" w:line="240" w:lineRule="auto"/>
        <w:jc w:val="both"/>
      </w:pPr>
      <w:r>
        <w:t xml:space="preserve">La fase de </w:t>
      </w:r>
      <w:r w:rsidRPr="00577592">
        <w:rPr>
          <w:i/>
        </w:rPr>
        <w:t xml:space="preserve">sostenibilidad y evaluación del proceso </w:t>
      </w:r>
      <w:r>
        <w:t xml:space="preserve">es la última parte de este proceso de RPC, donde se evaluará su desarrollo y planificación, resultando en conclusiones que servirán para el mejoramiento, tanto del proceso de RPC como los retos de las futuras administraciones. </w:t>
      </w:r>
    </w:p>
    <w:p w:rsidR="00755C1C" w:rsidRPr="009C283B" w:rsidRDefault="00755C1C" w:rsidP="007B5D49">
      <w:pPr>
        <w:spacing w:after="0" w:line="240" w:lineRule="auto"/>
        <w:jc w:val="both"/>
      </w:pPr>
    </w:p>
    <w:p w:rsidR="003C3F0C" w:rsidRDefault="003C3F0C" w:rsidP="007B5D49">
      <w:pPr>
        <w:spacing w:after="0" w:line="240" w:lineRule="auto"/>
        <w:jc w:val="both"/>
      </w:pPr>
    </w:p>
    <w:p w:rsidR="003C3F0C" w:rsidRPr="009F7CE1" w:rsidRDefault="003C3F0C" w:rsidP="007B5D49">
      <w:pPr>
        <w:spacing w:after="0" w:line="240" w:lineRule="auto"/>
        <w:jc w:val="both"/>
      </w:pPr>
    </w:p>
    <w:p w:rsidR="003B2265" w:rsidRDefault="003B2265"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7B5D49" w:rsidRDefault="007B5D49" w:rsidP="003B2265">
      <w:pPr>
        <w:spacing w:after="0" w:line="240" w:lineRule="auto"/>
        <w:jc w:val="both"/>
        <w:rPr>
          <w:rFonts w:asciiTheme="majorHAnsi" w:eastAsia="Calibri" w:hAnsiTheme="majorHAnsi" w:cs="Times New Roman"/>
          <w:lang w:val="es-ES"/>
        </w:rPr>
      </w:pPr>
    </w:p>
    <w:p w:rsidR="0081612B" w:rsidRPr="003B2265" w:rsidRDefault="0081612B" w:rsidP="003F2E89">
      <w:pPr>
        <w:spacing w:after="0" w:line="240" w:lineRule="auto"/>
        <w:ind w:left="5664"/>
        <w:rPr>
          <w:rFonts w:asciiTheme="majorHAnsi" w:hAnsiTheme="majorHAnsi"/>
          <w:b/>
          <w:sz w:val="16"/>
          <w:szCs w:val="16"/>
        </w:rPr>
      </w:pPr>
    </w:p>
    <w:p w:rsidR="0081612B" w:rsidRPr="006A72F0" w:rsidRDefault="0081612B" w:rsidP="00F1345F">
      <w:pPr>
        <w:pStyle w:val="Sinespaciado"/>
        <w:numPr>
          <w:ilvl w:val="0"/>
          <w:numId w:val="70"/>
        </w:numPr>
        <w:outlineLvl w:val="0"/>
        <w:rPr>
          <w:rFonts w:cs="Arial"/>
          <w:b/>
        </w:rPr>
      </w:pPr>
      <w:bookmarkStart w:id="3" w:name="_Toc437375992"/>
      <w:r w:rsidRPr="006A72F0">
        <w:rPr>
          <w:b/>
        </w:rPr>
        <w:t>INFORMACIÓN DEL CONTEXTO</w:t>
      </w:r>
      <w:bookmarkEnd w:id="3"/>
      <w:r w:rsidRPr="006A72F0">
        <w:rPr>
          <w:b/>
        </w:rPr>
        <w:t xml:space="preserve"> </w:t>
      </w:r>
    </w:p>
    <w:p w:rsidR="0081612B" w:rsidRPr="0081612B" w:rsidRDefault="0081612B" w:rsidP="0081612B">
      <w:pPr>
        <w:pStyle w:val="Prrafodelista"/>
        <w:jc w:val="both"/>
        <w:rPr>
          <w:rFonts w:asciiTheme="minorHAnsi" w:hAnsiTheme="minorHAnsi" w:cs="Arial"/>
          <w:b/>
          <w:sz w:val="22"/>
          <w:szCs w:val="22"/>
        </w:rPr>
      </w:pPr>
    </w:p>
    <w:p w:rsidR="00B74052" w:rsidRPr="00B74052" w:rsidRDefault="00B74052" w:rsidP="00B74052">
      <w:pPr>
        <w:spacing w:line="240" w:lineRule="auto"/>
        <w:jc w:val="both"/>
        <w:rPr>
          <w:rFonts w:cs="Arial"/>
        </w:rPr>
      </w:pPr>
      <w:r w:rsidRPr="00E733BC">
        <w:rPr>
          <w:rFonts w:cs="Arial"/>
        </w:rPr>
        <w:t>Es un municipio con amplia visión hacia el progreso, una extensa y variada población lo compone; y su flora y su fauna aun sostenibles por acción de diferentes instituciones y entidades que se han preocupado por no dejar deteriorar este hábitat en el que aún persiste la sensibilidad y la idea de conservación, sumado a ello nuestro indígenas y campesinos de todas las regiones aledañas quienes luchan por sus tierras y con deseos de continuar sus cultivos ahondan en ayudas para su labor.</w:t>
      </w:r>
    </w:p>
    <w:p w:rsidR="00B74052" w:rsidRPr="00B74052" w:rsidRDefault="00B74052" w:rsidP="00B74052">
      <w:pPr>
        <w:spacing w:line="240" w:lineRule="auto"/>
        <w:jc w:val="both"/>
        <w:rPr>
          <w:rFonts w:cs="Arial"/>
        </w:rPr>
      </w:pPr>
      <w:r w:rsidRPr="00B74052">
        <w:rPr>
          <w:rFonts w:cs="Arial"/>
        </w:rPr>
        <w:t xml:space="preserve">En este orden de ideas, </w:t>
      </w:r>
      <w:r w:rsidR="0063698D">
        <w:rPr>
          <w:rFonts w:cs="Arial"/>
        </w:rPr>
        <w:t>P</w:t>
      </w:r>
      <w:r w:rsidRPr="00B74052">
        <w:rPr>
          <w:rFonts w:cs="Arial"/>
        </w:rPr>
        <w:t xml:space="preserve">asto como la describe Alfonso Ibarra Revelo en su artículo “Así es Pasto”: </w:t>
      </w:r>
      <w:r w:rsidR="002F38F9">
        <w:rPr>
          <w:rFonts w:cs="Arial"/>
        </w:rPr>
        <w:t>“</w:t>
      </w:r>
      <w:r w:rsidRPr="00B74052">
        <w:rPr>
          <w:rFonts w:cs="Arial"/>
        </w:rPr>
        <w:t>Hogaño, es una ciudad cosmopolita, urbe populosa en constante trance de ascenso, impulsada por una incontenible pujanza que le ha merecido el título de Ciudad Sorpresa, de quien pensando aún en el poblado quieto se han asomado al milagro de su despertar. Modernos edificios adornan sus calles asfaltadas y limpias por donde el tránsito de peatones es tan intenso como el de vehículos. Avenidas amplias de árboles numerosos y parques bellamente ornamentados le dan un toque de ciudad moderna y alegre. Sus templos, sin par en la República, son famosos tanto por su lectura arquitectónica como por el tesoro artístico que encierran. Son notables su Universidad y sus Colegas donde la juventud Nariñense junto con estudiantes de otros Departamentos y aún del exterior se prepara para la lucha por la vida. Teatros, hoteles, grandes almacenes, sitios de recreo, intenso comercio hacen confortable la existencia, y el turista que nos llega por las numerosas líneas de transporte o por la diversidad de rutas aéreas, justifica plenamente el sobrenombre de ciudad sorpresa, que junto con los títulos de hidalga, muy noble y muy leal constituyen medallones de orgullo que lucen en el pecho de Pasto, la inolvidable</w:t>
      </w:r>
      <w:r w:rsidR="002F38F9">
        <w:rPr>
          <w:rFonts w:cs="Arial"/>
        </w:rPr>
        <w:t>”</w:t>
      </w:r>
      <w:r w:rsidRPr="00B74052">
        <w:rPr>
          <w:rFonts w:cs="Arial"/>
        </w:rPr>
        <w:t>.</w:t>
      </w:r>
    </w:p>
    <w:p w:rsidR="00B74052" w:rsidRPr="00B74052" w:rsidRDefault="00B74052" w:rsidP="00B74052">
      <w:pPr>
        <w:spacing w:line="240" w:lineRule="auto"/>
        <w:jc w:val="both"/>
        <w:rPr>
          <w:rFonts w:cs="Arial"/>
        </w:rPr>
      </w:pPr>
      <w:r w:rsidRPr="00B74052">
        <w:rPr>
          <w:rFonts w:cs="Arial"/>
        </w:rPr>
        <w:t>Pero por el desmedido crecimiento, nos ha llevado a una gran problemática social en la cual estamos inmersos todos los habitantes y nos afecta en gran medida, ya que contamos con tanta población</w:t>
      </w:r>
      <w:r w:rsidR="002F38F9">
        <w:rPr>
          <w:rFonts w:cs="Arial"/>
        </w:rPr>
        <w:t>, en</w:t>
      </w:r>
      <w:r w:rsidRPr="00B74052">
        <w:rPr>
          <w:rFonts w:cs="Arial"/>
        </w:rPr>
        <w:t xml:space="preserve"> condiciones vulnerables y </w:t>
      </w:r>
      <w:r w:rsidR="002F38F9">
        <w:rPr>
          <w:rFonts w:cs="Arial"/>
        </w:rPr>
        <w:t>de</w:t>
      </w:r>
      <w:r w:rsidRPr="00B74052">
        <w:rPr>
          <w:rFonts w:cs="Arial"/>
        </w:rPr>
        <w:t xml:space="preserve"> desplazamiento que por falta de oportunidades especialmente laborales y educativas entre otras, sea acrecentado el nivel de violencia y peligrosidad. </w:t>
      </w:r>
    </w:p>
    <w:p w:rsidR="00B74052" w:rsidRPr="00B74052" w:rsidRDefault="00B74052" w:rsidP="00B74052">
      <w:pPr>
        <w:spacing w:line="240" w:lineRule="auto"/>
        <w:jc w:val="both"/>
        <w:rPr>
          <w:rFonts w:cs="Arial"/>
        </w:rPr>
      </w:pPr>
      <w:r w:rsidRPr="00B74052">
        <w:rPr>
          <w:rFonts w:cs="Arial"/>
        </w:rPr>
        <w:t>La expansión territorial del municipio,  no es un crecimiento que obedece a las necesidades socioculturales de la región, sino más bien, a las necesidades y urgencias de la economía que busca expansiones y crecimientos urbanos, sin tener en cuenta las limitaciones del espacio, territorio y territorialidad, pues es sorprendente, como afirma Benhur Cerón (2005) que la ciudad siga creciendo a un ritmo que teóricamente no corresponde a su estructura productiva.</w:t>
      </w:r>
    </w:p>
    <w:p w:rsidR="009D6CD6" w:rsidRPr="00B74052" w:rsidRDefault="009D6CD6" w:rsidP="00B74052">
      <w:pPr>
        <w:spacing w:line="240" w:lineRule="auto"/>
        <w:jc w:val="both"/>
        <w:rPr>
          <w:rFonts w:cs="Arial"/>
        </w:rPr>
      </w:pPr>
    </w:p>
    <w:p w:rsidR="00B74052" w:rsidRPr="006A72F0" w:rsidRDefault="00B74052" w:rsidP="00F1345F">
      <w:pPr>
        <w:pStyle w:val="Sinespaciado"/>
        <w:outlineLvl w:val="0"/>
        <w:rPr>
          <w:b/>
          <w:lang w:val="es-MX"/>
        </w:rPr>
      </w:pPr>
      <w:r w:rsidRPr="006A72F0">
        <w:rPr>
          <w:b/>
          <w:lang w:val="es-MX"/>
        </w:rPr>
        <w:t xml:space="preserve"> </w:t>
      </w:r>
      <w:bookmarkStart w:id="4" w:name="_Toc437375993"/>
      <w:r w:rsidR="00F1345F">
        <w:rPr>
          <w:b/>
          <w:lang w:val="es-MX"/>
        </w:rPr>
        <w:t xml:space="preserve">3.1 </w:t>
      </w:r>
      <w:r w:rsidRPr="006A72F0">
        <w:rPr>
          <w:b/>
          <w:lang w:val="es-MX"/>
        </w:rPr>
        <w:t>CONTEXTO GEOGRÁFICO/DEMOGRÁFICO Y SITUACIONAL DEL MUNICIPIO DE PASTO</w:t>
      </w:r>
      <w:bookmarkEnd w:id="4"/>
      <w:r w:rsidR="00113F16">
        <w:rPr>
          <w:b/>
          <w:lang w:val="es-MX"/>
        </w:rPr>
        <w:t xml:space="preserve"> </w:t>
      </w:r>
    </w:p>
    <w:p w:rsidR="00B74052" w:rsidRPr="006A72F0" w:rsidRDefault="00B74052" w:rsidP="006A72F0">
      <w:pPr>
        <w:pStyle w:val="Sinespaciado"/>
        <w:rPr>
          <w:b/>
        </w:rPr>
      </w:pPr>
    </w:p>
    <w:p w:rsidR="00B74052" w:rsidRPr="006A72F0" w:rsidRDefault="00B74052" w:rsidP="00F1345F">
      <w:pPr>
        <w:pStyle w:val="Sinespaciado"/>
        <w:outlineLvl w:val="1"/>
        <w:rPr>
          <w:b/>
        </w:rPr>
      </w:pPr>
      <w:bookmarkStart w:id="5" w:name="_Toc437375994"/>
      <w:r w:rsidRPr="00E733BC">
        <w:rPr>
          <w:b/>
        </w:rPr>
        <w:t>UBICACIÓN: 1 12´0´´N.77 16´0´´W</w:t>
      </w:r>
      <w:bookmarkEnd w:id="5"/>
    </w:p>
    <w:p w:rsidR="003F2E89" w:rsidRDefault="003F2E89" w:rsidP="00B74052">
      <w:pPr>
        <w:pStyle w:val="Sinespaciado"/>
        <w:shd w:val="clear" w:color="auto" w:fill="FFFFFF"/>
        <w:tabs>
          <w:tab w:val="left" w:pos="1134"/>
        </w:tabs>
        <w:jc w:val="both"/>
        <w:rPr>
          <w:rFonts w:asciiTheme="minorHAnsi" w:hAnsiTheme="minorHAnsi" w:cs="Arial"/>
        </w:rPr>
      </w:pPr>
    </w:p>
    <w:p w:rsidR="00B67D6E" w:rsidRDefault="00B74052" w:rsidP="00B74052">
      <w:pPr>
        <w:pStyle w:val="Sinespaciado"/>
        <w:shd w:val="clear" w:color="auto" w:fill="FFFFFF"/>
        <w:tabs>
          <w:tab w:val="left" w:pos="1134"/>
        </w:tabs>
        <w:jc w:val="both"/>
        <w:rPr>
          <w:rFonts w:asciiTheme="minorHAnsi" w:hAnsiTheme="minorHAnsi" w:cs="Arial"/>
        </w:rPr>
      </w:pPr>
      <w:r w:rsidRPr="00B74052">
        <w:rPr>
          <w:rFonts w:asciiTheme="minorHAnsi" w:hAnsiTheme="minorHAnsi" w:cs="Arial"/>
        </w:rPr>
        <w:lastRenderedPageBreak/>
        <w:t>El municipio está situado en el sur occidente de Colombia, en medio de la Cordillera de los Andes en el macizo montañoso denominado nudo de los Pastos y la ciudad está situada en el denominado Valle de Atriz, al pie del volcán Galeras</w:t>
      </w:r>
      <w:r w:rsidR="00B67D6E">
        <w:rPr>
          <w:rFonts w:asciiTheme="minorHAnsi" w:hAnsiTheme="minorHAnsi" w:cs="Arial"/>
        </w:rPr>
        <w:t>,</w:t>
      </w:r>
      <w:r w:rsidRPr="00B74052">
        <w:rPr>
          <w:rFonts w:asciiTheme="minorHAnsi" w:hAnsiTheme="minorHAnsi" w:cs="Arial"/>
        </w:rPr>
        <w:t xml:space="preserve"> cercana a la línea del Ecuador. </w:t>
      </w:r>
      <w:r w:rsidR="00B67D6E">
        <w:rPr>
          <w:rFonts w:asciiTheme="minorHAnsi" w:hAnsiTheme="minorHAnsi" w:cs="Arial"/>
        </w:rPr>
        <w:t>Este es el</w:t>
      </w:r>
      <w:r w:rsidRPr="00B74052">
        <w:rPr>
          <w:rFonts w:asciiTheme="minorHAnsi" w:hAnsiTheme="minorHAnsi" w:cs="Arial"/>
        </w:rPr>
        <w:t xml:space="preserve"> municipio de mayor importancia y epicentro de las cin</w:t>
      </w:r>
      <w:r w:rsidR="00B67D6E">
        <w:rPr>
          <w:rFonts w:asciiTheme="minorHAnsi" w:hAnsiTheme="minorHAnsi" w:cs="Arial"/>
        </w:rPr>
        <w:t>co subregiones del Departamento</w:t>
      </w:r>
      <w:r w:rsidRPr="00B74052">
        <w:rPr>
          <w:rFonts w:asciiTheme="minorHAnsi" w:hAnsiTheme="minorHAnsi" w:cs="Arial"/>
        </w:rPr>
        <w:t xml:space="preserve">, </w:t>
      </w:r>
      <w:r w:rsidR="00B67D6E">
        <w:rPr>
          <w:rFonts w:asciiTheme="minorHAnsi" w:hAnsiTheme="minorHAnsi" w:cs="Arial"/>
        </w:rPr>
        <w:t>e</w:t>
      </w:r>
      <w:r w:rsidRPr="00B74052">
        <w:rPr>
          <w:rFonts w:asciiTheme="minorHAnsi" w:hAnsiTheme="minorHAnsi" w:cs="Arial"/>
        </w:rPr>
        <w:t xml:space="preserve">n cuanto a sus límites geográficos, limita al norte con los municipios de Chachagui y Buesaco, </w:t>
      </w:r>
      <w:r w:rsidR="00B67D6E">
        <w:rPr>
          <w:rFonts w:asciiTheme="minorHAnsi" w:hAnsiTheme="minorHAnsi" w:cs="Arial"/>
        </w:rPr>
        <w:t>a</w:t>
      </w:r>
      <w:r w:rsidRPr="00B74052">
        <w:rPr>
          <w:rFonts w:asciiTheme="minorHAnsi" w:hAnsiTheme="minorHAnsi" w:cs="Arial"/>
        </w:rPr>
        <w:t xml:space="preserve">l sur con el municipio de Funes, </w:t>
      </w:r>
      <w:r w:rsidR="00B67D6E">
        <w:rPr>
          <w:rFonts w:asciiTheme="minorHAnsi" w:hAnsiTheme="minorHAnsi" w:cs="Arial"/>
        </w:rPr>
        <w:t>a</w:t>
      </w:r>
      <w:r w:rsidRPr="00B74052">
        <w:rPr>
          <w:rFonts w:asciiTheme="minorHAnsi" w:hAnsiTheme="minorHAnsi" w:cs="Arial"/>
        </w:rPr>
        <w:t xml:space="preserve">l oriente con el Departamento de Putumayo y </w:t>
      </w:r>
      <w:r w:rsidR="00B67D6E">
        <w:rPr>
          <w:rFonts w:asciiTheme="minorHAnsi" w:hAnsiTheme="minorHAnsi" w:cs="Arial"/>
        </w:rPr>
        <w:t>a</w:t>
      </w:r>
      <w:r w:rsidRPr="00B74052">
        <w:rPr>
          <w:rFonts w:asciiTheme="minorHAnsi" w:hAnsiTheme="minorHAnsi" w:cs="Arial"/>
        </w:rPr>
        <w:t>l occidente con los municipios de Tangua, Consaca, Nariño y La Florida.</w:t>
      </w:r>
    </w:p>
    <w:p w:rsidR="00B74052" w:rsidRPr="00B74052" w:rsidRDefault="00B67D6E" w:rsidP="00B74052">
      <w:pPr>
        <w:pStyle w:val="Sinespaciado"/>
        <w:shd w:val="clear" w:color="auto" w:fill="FFFFFF"/>
        <w:tabs>
          <w:tab w:val="left" w:pos="1134"/>
        </w:tabs>
        <w:jc w:val="both"/>
        <w:rPr>
          <w:rFonts w:asciiTheme="minorHAnsi" w:hAnsiTheme="minorHAnsi" w:cs="Arial"/>
        </w:rPr>
      </w:pPr>
      <w:r>
        <w:rPr>
          <w:rFonts w:asciiTheme="minorHAnsi" w:hAnsiTheme="minorHAnsi" w:cs="Arial"/>
        </w:rPr>
        <w:t xml:space="preserve">  </w:t>
      </w:r>
      <w:r w:rsidR="00B74052" w:rsidRPr="00B74052">
        <w:rPr>
          <w:rFonts w:asciiTheme="minorHAnsi" w:hAnsiTheme="minorHAnsi" w:cs="Arial"/>
        </w:rPr>
        <w:t xml:space="preserve"> </w:t>
      </w:r>
      <w:r w:rsidR="00B74052" w:rsidRPr="00B74052">
        <w:rPr>
          <w:rFonts w:asciiTheme="minorHAnsi" w:hAnsiTheme="minorHAnsi" w:cs="Arial"/>
        </w:rPr>
        <w:br/>
        <w:t>El área urbana es</w:t>
      </w:r>
      <w:r>
        <w:rPr>
          <w:rFonts w:asciiTheme="minorHAnsi" w:hAnsiTheme="minorHAnsi" w:cs="Arial"/>
        </w:rPr>
        <w:t xml:space="preserve">tá conformada por 415 barrios, </w:t>
      </w:r>
      <w:r w:rsidR="00B74052" w:rsidRPr="00B74052">
        <w:rPr>
          <w:rFonts w:asciiTheme="minorHAnsi" w:hAnsiTheme="minorHAnsi" w:cs="Arial"/>
        </w:rPr>
        <w:t>12 comunas</w:t>
      </w:r>
      <w:r>
        <w:rPr>
          <w:rFonts w:asciiTheme="minorHAnsi" w:hAnsiTheme="minorHAnsi" w:cs="Arial"/>
        </w:rPr>
        <w:t xml:space="preserve"> y </w:t>
      </w:r>
      <w:r w:rsidR="00B74052" w:rsidRPr="00B74052">
        <w:rPr>
          <w:rFonts w:asciiTheme="minorHAnsi" w:hAnsiTheme="minorHAnsi" w:cs="Arial"/>
        </w:rPr>
        <w:t>17 corregimientos (Buesaquillo, Cabrera, Catambuco, El Encano, El Socorro, Genoy, Gual</w:t>
      </w:r>
      <w:r w:rsidR="00C758D6">
        <w:rPr>
          <w:rFonts w:asciiTheme="minorHAnsi" w:hAnsiTheme="minorHAnsi" w:cs="Arial"/>
        </w:rPr>
        <w:t xml:space="preserve">matan, Jamondino, Jongovito, La </w:t>
      </w:r>
      <w:r w:rsidR="00B74052" w:rsidRPr="00B74052">
        <w:rPr>
          <w:rFonts w:asciiTheme="minorHAnsi" w:hAnsiTheme="minorHAnsi" w:cs="Arial"/>
        </w:rPr>
        <w:t>Caldera, La Laguna, Mapachico, Mocondino, Morasurco, Obonuco, San Fernando y Santa Bárbara) (DANE 2005).</w:t>
      </w:r>
    </w:p>
    <w:p w:rsidR="00B74052" w:rsidRPr="003B2265" w:rsidRDefault="00B74052" w:rsidP="00B74052">
      <w:pPr>
        <w:pStyle w:val="Sinespaciado"/>
        <w:shd w:val="clear" w:color="auto" w:fill="FFFFFF"/>
        <w:tabs>
          <w:tab w:val="left" w:pos="1134"/>
        </w:tabs>
        <w:jc w:val="both"/>
        <w:rPr>
          <w:rFonts w:asciiTheme="majorHAnsi" w:hAnsiTheme="majorHAnsi" w:cs="Arial"/>
        </w:rPr>
      </w:pPr>
    </w:p>
    <w:p w:rsidR="00B74052" w:rsidRPr="006A72F0" w:rsidRDefault="00F1345F" w:rsidP="00F1345F">
      <w:pPr>
        <w:pStyle w:val="Sinespaciado"/>
        <w:outlineLvl w:val="1"/>
        <w:rPr>
          <w:b/>
        </w:rPr>
      </w:pPr>
      <w:bookmarkStart w:id="6" w:name="_Toc437375995"/>
      <w:r>
        <w:rPr>
          <w:b/>
        </w:rPr>
        <w:t xml:space="preserve">3.1.1 </w:t>
      </w:r>
      <w:r w:rsidR="00B74052" w:rsidRPr="006A72F0">
        <w:rPr>
          <w:b/>
        </w:rPr>
        <w:t>NÚMERO DE HABITANTES EN EL MUNICIPIO:</w:t>
      </w:r>
      <w:bookmarkEnd w:id="6"/>
      <w:r w:rsidR="00B74052" w:rsidRPr="006A72F0">
        <w:rPr>
          <w:b/>
        </w:rPr>
        <w:t xml:space="preserve"> </w:t>
      </w:r>
    </w:p>
    <w:p w:rsidR="00B74052" w:rsidRPr="00B74052" w:rsidRDefault="00B74052" w:rsidP="00B74052">
      <w:pPr>
        <w:pStyle w:val="Sinespaciado"/>
        <w:shd w:val="clear" w:color="auto" w:fill="FFFFFF"/>
        <w:tabs>
          <w:tab w:val="left" w:pos="1134"/>
        </w:tabs>
        <w:jc w:val="both"/>
        <w:rPr>
          <w:rFonts w:asciiTheme="minorHAnsi" w:hAnsiTheme="minorHAnsi" w:cs="Arial"/>
        </w:rPr>
      </w:pPr>
    </w:p>
    <w:p w:rsidR="00B74052" w:rsidRPr="00B74052" w:rsidRDefault="00B74052" w:rsidP="00B74052">
      <w:pPr>
        <w:pStyle w:val="Sinespaciado"/>
        <w:shd w:val="clear" w:color="auto" w:fill="FFFFFF"/>
        <w:tabs>
          <w:tab w:val="left" w:pos="1134"/>
        </w:tabs>
        <w:jc w:val="both"/>
        <w:rPr>
          <w:rFonts w:asciiTheme="minorHAnsi" w:hAnsiTheme="minorHAnsi" w:cs="Arial"/>
        </w:rPr>
      </w:pPr>
      <w:r w:rsidRPr="00B74052">
        <w:rPr>
          <w:rFonts w:asciiTheme="minorHAnsi" w:hAnsiTheme="minorHAnsi" w:cs="Arial"/>
        </w:rPr>
        <w:t>Población 2015 (según POT 2014) 434.486 Habitantes</w:t>
      </w:r>
    </w:p>
    <w:p w:rsidR="00B74052" w:rsidRPr="00B74052" w:rsidRDefault="00B74052" w:rsidP="00B74052">
      <w:pPr>
        <w:pStyle w:val="Sinespaciado"/>
        <w:shd w:val="clear" w:color="auto" w:fill="FFFFFF"/>
        <w:tabs>
          <w:tab w:val="left" w:pos="1134"/>
        </w:tabs>
        <w:jc w:val="both"/>
        <w:rPr>
          <w:rFonts w:asciiTheme="minorHAnsi" w:hAnsiTheme="minorHAnsi" w:cs="Arial"/>
        </w:rPr>
      </w:pPr>
      <w:r w:rsidRPr="00B74052">
        <w:rPr>
          <w:rFonts w:asciiTheme="minorHAnsi" w:hAnsiTheme="minorHAnsi" w:cs="Arial"/>
        </w:rPr>
        <w:t xml:space="preserve">360.238 habitantes en el área Urbana </w:t>
      </w:r>
    </w:p>
    <w:p w:rsidR="00B74052" w:rsidRPr="00B74052" w:rsidRDefault="00B74052" w:rsidP="00B74052">
      <w:pPr>
        <w:pStyle w:val="Sinespaciado"/>
        <w:shd w:val="clear" w:color="auto" w:fill="FFFFFF"/>
        <w:tabs>
          <w:tab w:val="left" w:pos="1134"/>
        </w:tabs>
        <w:jc w:val="both"/>
        <w:rPr>
          <w:rFonts w:asciiTheme="minorHAnsi" w:hAnsiTheme="minorHAnsi" w:cs="Arial"/>
        </w:rPr>
      </w:pPr>
      <w:r w:rsidRPr="00B74052">
        <w:rPr>
          <w:rFonts w:asciiTheme="minorHAnsi" w:hAnsiTheme="minorHAnsi" w:cs="Arial"/>
        </w:rPr>
        <w:t>74.248 habitantes en la zona resto.</w:t>
      </w:r>
    </w:p>
    <w:p w:rsidR="00B74052" w:rsidRPr="00B74052" w:rsidRDefault="00B74052" w:rsidP="00B74052">
      <w:pPr>
        <w:pStyle w:val="Sinespaciado"/>
        <w:shd w:val="clear" w:color="auto" w:fill="FFFFFF"/>
        <w:tabs>
          <w:tab w:val="left" w:pos="1134"/>
        </w:tabs>
        <w:jc w:val="both"/>
        <w:rPr>
          <w:rFonts w:asciiTheme="minorHAnsi" w:hAnsiTheme="minorHAnsi" w:cs="Arial"/>
        </w:rPr>
      </w:pPr>
    </w:p>
    <w:p w:rsidR="00B74052" w:rsidRPr="00B74052" w:rsidRDefault="00B74052" w:rsidP="00B74052">
      <w:pPr>
        <w:pStyle w:val="Sinespaciado"/>
        <w:shd w:val="clear" w:color="auto" w:fill="FFFFFF"/>
        <w:tabs>
          <w:tab w:val="left" w:pos="1134"/>
        </w:tabs>
        <w:jc w:val="both"/>
        <w:rPr>
          <w:rFonts w:asciiTheme="minorHAnsi" w:hAnsiTheme="minorHAnsi" w:cs="Arial"/>
        </w:rPr>
      </w:pPr>
      <w:r w:rsidRPr="00B74052">
        <w:rPr>
          <w:rFonts w:asciiTheme="minorHAnsi" w:hAnsiTheme="minorHAnsi" w:cs="Arial"/>
        </w:rPr>
        <w:t>Históricamente Pasto ha concentrado aproximadamente la cuarta parte de la población del departamento de Nariño; es probable que esta dinámica se haya visto acentuada por fenómenos como el desplazamiento forzado</w:t>
      </w:r>
      <w:r w:rsidR="00B67D6E">
        <w:rPr>
          <w:rFonts w:asciiTheme="minorHAnsi" w:hAnsiTheme="minorHAnsi" w:cs="Arial"/>
        </w:rPr>
        <w:t>,</w:t>
      </w:r>
      <w:r w:rsidRPr="00B74052">
        <w:rPr>
          <w:rFonts w:asciiTheme="minorHAnsi" w:hAnsiTheme="minorHAnsi" w:cs="Arial"/>
        </w:rPr>
        <w:t xml:space="preserve"> conflicto armado, la búsqueda de mejores condiciones de vida y acceso a educación, salud, vivienda y trabajo.</w:t>
      </w:r>
      <w:r w:rsidR="00B67D6E">
        <w:rPr>
          <w:rFonts w:asciiTheme="minorHAnsi" w:hAnsiTheme="minorHAnsi" w:cs="Arial"/>
        </w:rPr>
        <w:t xml:space="preserve"> El 82.5% de l</w:t>
      </w:r>
      <w:r w:rsidRPr="00B74052">
        <w:rPr>
          <w:rFonts w:asciiTheme="minorHAnsi" w:hAnsiTheme="minorHAnsi" w:cs="Arial"/>
        </w:rPr>
        <w:t>a población se encuentra asentada en la cabecera</w:t>
      </w:r>
      <w:r w:rsidR="00B67D6E">
        <w:rPr>
          <w:rFonts w:asciiTheme="minorHAnsi" w:hAnsiTheme="minorHAnsi" w:cs="Arial"/>
        </w:rPr>
        <w:t xml:space="preserve"> municipal</w:t>
      </w:r>
      <w:r w:rsidRPr="00B74052">
        <w:rPr>
          <w:rFonts w:asciiTheme="minorHAnsi" w:hAnsiTheme="minorHAnsi" w:cs="Arial"/>
        </w:rPr>
        <w:t xml:space="preserve">. </w:t>
      </w:r>
    </w:p>
    <w:p w:rsidR="00B74052" w:rsidRPr="00B74052" w:rsidRDefault="00B74052" w:rsidP="00B74052">
      <w:pPr>
        <w:pStyle w:val="Sinespaciado"/>
        <w:shd w:val="clear" w:color="auto" w:fill="FFFFFF"/>
        <w:tabs>
          <w:tab w:val="left" w:pos="1134"/>
        </w:tabs>
        <w:jc w:val="both"/>
        <w:rPr>
          <w:rFonts w:asciiTheme="minorHAnsi" w:hAnsiTheme="minorHAnsi" w:cs="Arial"/>
        </w:rPr>
      </w:pPr>
    </w:p>
    <w:p w:rsidR="00B74052" w:rsidRPr="003B2265" w:rsidRDefault="00F1345F" w:rsidP="00F1345F">
      <w:pPr>
        <w:pStyle w:val="Sinespaciado"/>
        <w:shd w:val="clear" w:color="auto" w:fill="FFFFFF"/>
        <w:tabs>
          <w:tab w:val="left" w:pos="1134"/>
        </w:tabs>
        <w:jc w:val="both"/>
        <w:outlineLvl w:val="1"/>
        <w:rPr>
          <w:rFonts w:asciiTheme="majorHAnsi" w:hAnsiTheme="majorHAnsi" w:cs="Arial"/>
          <w:b/>
        </w:rPr>
      </w:pPr>
      <w:bookmarkStart w:id="7" w:name="_Toc437375996"/>
      <w:r>
        <w:rPr>
          <w:rFonts w:asciiTheme="majorHAnsi" w:hAnsiTheme="majorHAnsi" w:cs="Arial"/>
          <w:b/>
        </w:rPr>
        <w:t xml:space="preserve">3.1.2 </w:t>
      </w:r>
      <w:r w:rsidR="00B74052" w:rsidRPr="003B2265">
        <w:rPr>
          <w:rFonts w:asciiTheme="majorHAnsi" w:hAnsiTheme="majorHAnsi" w:cs="Arial"/>
          <w:b/>
        </w:rPr>
        <w:t>DISTRIBUCIÓN POR SEXO:</w:t>
      </w:r>
      <w:bookmarkEnd w:id="7"/>
    </w:p>
    <w:p w:rsidR="00B74052" w:rsidRPr="00B74052" w:rsidRDefault="00B74052" w:rsidP="00B74052">
      <w:pPr>
        <w:pStyle w:val="Sinespaciado"/>
        <w:shd w:val="clear" w:color="auto" w:fill="FFFFFF"/>
        <w:tabs>
          <w:tab w:val="left" w:pos="1134"/>
        </w:tabs>
        <w:jc w:val="both"/>
        <w:rPr>
          <w:rFonts w:asciiTheme="minorHAnsi" w:hAnsiTheme="minorHAnsi" w:cs="Arial"/>
          <w:b/>
        </w:rPr>
      </w:pPr>
    </w:p>
    <w:p w:rsidR="00B74052" w:rsidRPr="00B74052" w:rsidRDefault="00B74052" w:rsidP="00B74052">
      <w:pPr>
        <w:pStyle w:val="Sinespaciado"/>
        <w:shd w:val="clear" w:color="auto" w:fill="FFFFFF"/>
        <w:tabs>
          <w:tab w:val="left" w:pos="1134"/>
        </w:tabs>
        <w:jc w:val="both"/>
        <w:rPr>
          <w:rFonts w:asciiTheme="minorHAnsi" w:hAnsiTheme="minorHAnsi" w:cs="Arial"/>
        </w:rPr>
      </w:pPr>
      <w:r w:rsidRPr="00B74052">
        <w:rPr>
          <w:rFonts w:asciiTheme="minorHAnsi" w:hAnsiTheme="minorHAnsi" w:cs="Arial"/>
        </w:rPr>
        <w:t xml:space="preserve">La población de Pasto en el año 2015 está compuesta por mujeres 52% (219.461), y hombres en un porcentaje de </w:t>
      </w:r>
      <w:r w:rsidR="00B67D6E" w:rsidRPr="00B74052">
        <w:rPr>
          <w:rFonts w:asciiTheme="minorHAnsi" w:hAnsiTheme="minorHAnsi" w:cs="Arial"/>
        </w:rPr>
        <w:t>48%</w:t>
      </w:r>
      <w:r w:rsidR="00B67D6E">
        <w:rPr>
          <w:rFonts w:asciiTheme="minorHAnsi" w:hAnsiTheme="minorHAnsi" w:cs="Arial"/>
        </w:rPr>
        <w:t xml:space="preserve"> (</w:t>
      </w:r>
      <w:r w:rsidRPr="00B74052">
        <w:rPr>
          <w:rFonts w:asciiTheme="minorHAnsi" w:hAnsiTheme="minorHAnsi" w:cs="Arial"/>
        </w:rPr>
        <w:t>203.756</w:t>
      </w:r>
      <w:r w:rsidR="00B67D6E">
        <w:rPr>
          <w:rFonts w:asciiTheme="minorHAnsi" w:hAnsiTheme="minorHAnsi" w:cs="Arial"/>
        </w:rPr>
        <w:t>).</w:t>
      </w:r>
    </w:p>
    <w:p w:rsidR="00B74052" w:rsidRPr="003B2265" w:rsidRDefault="00B74052" w:rsidP="00B74052">
      <w:pPr>
        <w:pStyle w:val="Sinespaciado"/>
        <w:shd w:val="clear" w:color="auto" w:fill="FFFFFF"/>
        <w:tabs>
          <w:tab w:val="left" w:pos="1134"/>
        </w:tabs>
        <w:jc w:val="both"/>
        <w:rPr>
          <w:rFonts w:asciiTheme="majorHAnsi" w:hAnsiTheme="majorHAnsi" w:cs="Arial"/>
        </w:rPr>
      </w:pPr>
    </w:p>
    <w:p w:rsidR="00B74052" w:rsidRPr="003B2265" w:rsidRDefault="00F1345F" w:rsidP="00F1345F">
      <w:pPr>
        <w:pStyle w:val="Sinespaciado"/>
        <w:shd w:val="clear" w:color="auto" w:fill="FFFFFF"/>
        <w:tabs>
          <w:tab w:val="left" w:pos="1134"/>
        </w:tabs>
        <w:jc w:val="both"/>
        <w:outlineLvl w:val="1"/>
        <w:rPr>
          <w:rFonts w:asciiTheme="majorHAnsi" w:hAnsiTheme="majorHAnsi" w:cs="Arial"/>
          <w:b/>
        </w:rPr>
      </w:pPr>
      <w:bookmarkStart w:id="8" w:name="_Toc437375997"/>
      <w:r>
        <w:rPr>
          <w:rFonts w:asciiTheme="majorHAnsi" w:hAnsiTheme="majorHAnsi" w:cs="Arial"/>
          <w:b/>
        </w:rPr>
        <w:t xml:space="preserve">3.1.3 </w:t>
      </w:r>
      <w:r w:rsidR="00B74052" w:rsidRPr="003B2265">
        <w:rPr>
          <w:rFonts w:asciiTheme="majorHAnsi" w:hAnsiTheme="majorHAnsi" w:cs="Arial"/>
          <w:b/>
        </w:rPr>
        <w:t>DIMENSIÓN SOCIO-ECONÓMICA:</w:t>
      </w:r>
      <w:bookmarkEnd w:id="8"/>
    </w:p>
    <w:p w:rsidR="00B74052" w:rsidRPr="00B74052" w:rsidRDefault="00B74052" w:rsidP="00B74052">
      <w:pPr>
        <w:pStyle w:val="Sinespaciado"/>
        <w:shd w:val="clear" w:color="auto" w:fill="FFFFFF"/>
        <w:tabs>
          <w:tab w:val="left" w:pos="1134"/>
        </w:tabs>
        <w:jc w:val="both"/>
        <w:rPr>
          <w:rFonts w:asciiTheme="minorHAnsi" w:hAnsiTheme="minorHAnsi" w:cs="Arial"/>
          <w:b/>
        </w:rPr>
      </w:pPr>
    </w:p>
    <w:p w:rsidR="00B74052" w:rsidRDefault="00330805" w:rsidP="00B74052">
      <w:pPr>
        <w:pStyle w:val="Sinespaciado"/>
        <w:shd w:val="clear" w:color="auto" w:fill="FFFFFF"/>
        <w:tabs>
          <w:tab w:val="left" w:pos="1134"/>
        </w:tabs>
        <w:jc w:val="both"/>
        <w:rPr>
          <w:rFonts w:asciiTheme="minorHAnsi" w:hAnsiTheme="minorHAnsi" w:cs="Arial"/>
        </w:rPr>
      </w:pPr>
      <w:r>
        <w:rPr>
          <w:rFonts w:asciiTheme="minorHAnsi" w:hAnsiTheme="minorHAnsi" w:cs="Arial"/>
        </w:rPr>
        <w:t>En e</w:t>
      </w:r>
      <w:r w:rsidR="00B74052" w:rsidRPr="00B74052">
        <w:rPr>
          <w:rFonts w:asciiTheme="minorHAnsi" w:hAnsiTheme="minorHAnsi" w:cs="Arial"/>
        </w:rPr>
        <w:t>l análisis de las cuentas económicas del municipio de Pasto, se ha</w:t>
      </w:r>
      <w:r>
        <w:rPr>
          <w:rFonts w:asciiTheme="minorHAnsi" w:hAnsiTheme="minorHAnsi" w:cs="Arial"/>
        </w:rPr>
        <w:t xml:space="preserve"> identificado que esta es </w:t>
      </w:r>
      <w:r w:rsidR="00B74052" w:rsidRPr="00B74052">
        <w:rPr>
          <w:rFonts w:asciiTheme="minorHAnsi" w:hAnsiTheme="minorHAnsi" w:cs="Arial"/>
        </w:rPr>
        <w:t>cíclica y además volátil</w:t>
      </w:r>
      <w:r>
        <w:rPr>
          <w:rFonts w:asciiTheme="minorHAnsi" w:hAnsiTheme="minorHAnsi" w:cs="Arial"/>
        </w:rPr>
        <w:t>,</w:t>
      </w:r>
      <w:r w:rsidR="00B74052" w:rsidRPr="00B74052">
        <w:rPr>
          <w:rFonts w:asciiTheme="minorHAnsi" w:hAnsiTheme="minorHAnsi" w:cs="Arial"/>
        </w:rPr>
        <w:t xml:space="preserve"> </w:t>
      </w:r>
      <w:r>
        <w:rPr>
          <w:rFonts w:asciiTheme="minorHAnsi" w:hAnsiTheme="minorHAnsi" w:cs="Arial"/>
        </w:rPr>
        <w:t>d</w:t>
      </w:r>
      <w:r w:rsidR="00B74052" w:rsidRPr="00B74052">
        <w:rPr>
          <w:rFonts w:asciiTheme="minorHAnsi" w:hAnsiTheme="minorHAnsi" w:cs="Arial"/>
        </w:rPr>
        <w:t>icha volatilidad estaría advirtiendo que la economía del municipio es muy sensible a choques, o perturbaciones, derivadas de las políticas económicas nacionales y regionales</w:t>
      </w:r>
      <w:r w:rsidR="004479A9" w:rsidRPr="00B74052">
        <w:rPr>
          <w:rFonts w:asciiTheme="minorHAnsi" w:hAnsiTheme="minorHAnsi" w:cs="Arial"/>
        </w:rPr>
        <w:t>, aún</w:t>
      </w:r>
      <w:r w:rsidR="00B74052" w:rsidRPr="00B74052">
        <w:rPr>
          <w:rFonts w:asciiTheme="minorHAnsi" w:hAnsiTheme="minorHAnsi" w:cs="Arial"/>
        </w:rPr>
        <w:t xml:space="preserve"> de las externas dado el carácter de frontera que tiene el departamento de Nariño</w:t>
      </w:r>
      <w:r>
        <w:rPr>
          <w:rFonts w:asciiTheme="minorHAnsi" w:hAnsiTheme="minorHAnsi" w:cs="Arial"/>
        </w:rPr>
        <w:t>.</w:t>
      </w:r>
    </w:p>
    <w:p w:rsidR="004479A9" w:rsidRPr="00B74052" w:rsidRDefault="004479A9" w:rsidP="00B74052">
      <w:pPr>
        <w:pStyle w:val="Sinespaciado"/>
        <w:shd w:val="clear" w:color="auto" w:fill="FFFFFF"/>
        <w:tabs>
          <w:tab w:val="left" w:pos="1134"/>
        </w:tabs>
        <w:jc w:val="both"/>
        <w:rPr>
          <w:rFonts w:asciiTheme="minorHAnsi" w:hAnsiTheme="minorHAnsi" w:cs="Arial"/>
        </w:rPr>
      </w:pPr>
    </w:p>
    <w:p w:rsidR="00B74052" w:rsidRPr="00B74052" w:rsidRDefault="00B74052" w:rsidP="00B74052">
      <w:pPr>
        <w:pStyle w:val="Sinespaciado"/>
        <w:shd w:val="clear" w:color="auto" w:fill="FFFFFF"/>
        <w:tabs>
          <w:tab w:val="left" w:pos="1134"/>
        </w:tabs>
        <w:jc w:val="both"/>
        <w:rPr>
          <w:rFonts w:asciiTheme="minorHAnsi" w:hAnsiTheme="minorHAnsi" w:cs="Arial"/>
        </w:rPr>
      </w:pPr>
      <w:r w:rsidRPr="00B74052">
        <w:rPr>
          <w:rFonts w:asciiTheme="minorHAnsi" w:hAnsiTheme="minorHAnsi" w:cs="Arial"/>
        </w:rPr>
        <w:t>No es menos importante la sensibilidad de la economía municipal a perturbaciones derivadas de fenómenos sociales presentes en el departamento de Nariño, como el conflicto armado y el narcotráfico, con sus secuelas de violencia y desplazamiento forzado, cuya necesaria atención causa una presión, fundamentalmente sobre los recursos públicos, que puede propiciar un menor dinamismo de la economía local.</w:t>
      </w:r>
    </w:p>
    <w:p w:rsidR="00B74052" w:rsidRPr="00B74052" w:rsidRDefault="00B74052" w:rsidP="00B74052">
      <w:pPr>
        <w:pStyle w:val="Sinespaciado"/>
        <w:shd w:val="clear" w:color="auto" w:fill="FFFFFF"/>
        <w:tabs>
          <w:tab w:val="left" w:pos="1134"/>
        </w:tabs>
        <w:jc w:val="both"/>
        <w:rPr>
          <w:rFonts w:asciiTheme="minorHAnsi" w:hAnsiTheme="minorHAnsi" w:cs="Arial"/>
        </w:rPr>
      </w:pPr>
    </w:p>
    <w:p w:rsidR="00B74052" w:rsidRPr="00B74052" w:rsidRDefault="00B74052" w:rsidP="00B74052">
      <w:pPr>
        <w:pStyle w:val="Sinespaciado"/>
        <w:shd w:val="clear" w:color="auto" w:fill="FFFFFF"/>
        <w:tabs>
          <w:tab w:val="left" w:pos="1134"/>
        </w:tabs>
        <w:jc w:val="both"/>
        <w:rPr>
          <w:rFonts w:asciiTheme="minorHAnsi" w:hAnsiTheme="minorHAnsi" w:cs="Arial"/>
        </w:rPr>
      </w:pPr>
      <w:r w:rsidRPr="00B74052">
        <w:rPr>
          <w:rFonts w:asciiTheme="minorHAnsi" w:hAnsiTheme="minorHAnsi" w:cs="Arial"/>
        </w:rPr>
        <w:lastRenderedPageBreak/>
        <w:t>La estructura empresarial de Pasto, se caracteriza por la existencia de una alta participación del micro, pequeñas</w:t>
      </w:r>
      <w:r w:rsidR="00E608F4">
        <w:rPr>
          <w:rFonts w:asciiTheme="minorHAnsi" w:hAnsiTheme="minorHAnsi" w:cs="Arial"/>
        </w:rPr>
        <w:t xml:space="preserve">, </w:t>
      </w:r>
      <w:r w:rsidRPr="00B74052">
        <w:rPr>
          <w:rFonts w:asciiTheme="minorHAnsi" w:hAnsiTheme="minorHAnsi" w:cs="Arial"/>
        </w:rPr>
        <w:t>medianas y grandes empresas. Según los registros comerciales de la Cámara de Comercio de Pasto, por rama de actividad económica, durante los años 2006-2014, el número de establecimientos registrados ha</w:t>
      </w:r>
      <w:r w:rsidR="00E608F4">
        <w:rPr>
          <w:rFonts w:asciiTheme="minorHAnsi" w:hAnsiTheme="minorHAnsi" w:cs="Arial"/>
        </w:rPr>
        <w:t xml:space="preserve"> permanecido</w:t>
      </w:r>
      <w:r w:rsidRPr="00B74052">
        <w:rPr>
          <w:rFonts w:asciiTheme="minorHAnsi" w:hAnsiTheme="minorHAnsi" w:cs="Arial"/>
        </w:rPr>
        <w:t xml:space="preserve"> constante sin variaciones significativas y con una leve baja hacia el final del período. </w:t>
      </w:r>
    </w:p>
    <w:p w:rsidR="00B74052" w:rsidRPr="00B74052" w:rsidRDefault="00B74052" w:rsidP="00B74052">
      <w:pPr>
        <w:pStyle w:val="Sinespaciado"/>
        <w:shd w:val="clear" w:color="auto" w:fill="FFFFFF"/>
        <w:tabs>
          <w:tab w:val="left" w:pos="1134"/>
        </w:tabs>
        <w:jc w:val="both"/>
        <w:rPr>
          <w:rFonts w:asciiTheme="minorHAnsi" w:hAnsiTheme="minorHAnsi" w:cs="Arial"/>
        </w:rPr>
      </w:pPr>
    </w:p>
    <w:p w:rsidR="00B74052" w:rsidRPr="00B74052" w:rsidRDefault="00B74052" w:rsidP="00B74052">
      <w:pPr>
        <w:spacing w:after="0" w:line="240" w:lineRule="auto"/>
        <w:jc w:val="both"/>
        <w:rPr>
          <w:rFonts w:cs="Arial"/>
        </w:rPr>
      </w:pPr>
      <w:r w:rsidRPr="00B74052">
        <w:rPr>
          <w:rFonts w:cs="Arial"/>
        </w:rPr>
        <w:t xml:space="preserve">De acuerdo a la definición y estadísticas que ofrece el DANE sobre </w:t>
      </w:r>
      <w:r w:rsidR="00E608F4">
        <w:rPr>
          <w:rFonts w:cs="Arial"/>
        </w:rPr>
        <w:t xml:space="preserve">empleos </w:t>
      </w:r>
      <w:r w:rsidRPr="00B74052">
        <w:rPr>
          <w:rFonts w:cs="Arial"/>
        </w:rPr>
        <w:t>informal</w:t>
      </w:r>
      <w:r w:rsidR="00E608F4">
        <w:rPr>
          <w:rFonts w:cs="Arial"/>
        </w:rPr>
        <w:t>es</w:t>
      </w:r>
      <w:r w:rsidRPr="00B74052">
        <w:rPr>
          <w:rFonts w:cs="Arial"/>
        </w:rPr>
        <w:t xml:space="preserve">, </w:t>
      </w:r>
      <w:r w:rsidR="009C468B">
        <w:rPr>
          <w:rFonts w:cs="Arial"/>
        </w:rPr>
        <w:t>existe un</w:t>
      </w:r>
      <w:r w:rsidRPr="00B74052">
        <w:rPr>
          <w:rFonts w:cs="Arial"/>
        </w:rPr>
        <w:t xml:space="preserve"> un gran número establecimientos comerciales, empresas, servicios domésticos, independientes, entre otros</w:t>
      </w:r>
      <w:r w:rsidR="009C468B">
        <w:rPr>
          <w:rFonts w:cs="Arial"/>
        </w:rPr>
        <w:t>, en situación de informalidad</w:t>
      </w:r>
      <w:r w:rsidRPr="00B74052">
        <w:rPr>
          <w:rFonts w:cs="Arial"/>
        </w:rPr>
        <w:t>.</w:t>
      </w:r>
    </w:p>
    <w:p w:rsidR="00B74052" w:rsidRPr="00B74052" w:rsidRDefault="00B74052" w:rsidP="00B74052">
      <w:pPr>
        <w:spacing w:after="0" w:line="240" w:lineRule="auto"/>
        <w:jc w:val="both"/>
        <w:rPr>
          <w:rFonts w:cs="Arial"/>
        </w:rPr>
      </w:pPr>
    </w:p>
    <w:p w:rsidR="00B74052" w:rsidRPr="00B74052" w:rsidRDefault="00B74052" w:rsidP="00B74052">
      <w:pPr>
        <w:spacing w:after="0" w:line="240" w:lineRule="auto"/>
        <w:jc w:val="both"/>
        <w:rPr>
          <w:rFonts w:cs="Arial"/>
        </w:rPr>
      </w:pPr>
      <w:r w:rsidRPr="00B74052">
        <w:rPr>
          <w:rFonts w:cs="Arial"/>
        </w:rPr>
        <w:t>Es importante resaltar que en el Plan Regional de Competitividad 2010-2032 se enfatiza proyectos  y se fortalecen cadenas como los siguientes;  dotar y equipar la región y la ciudad en obras de infraestructura básicas y de servicios, para que los inversores dispongan de unas condiciones aceptables para el montaje de empresas en los diferentes campos priorizados. En ese sentido, se ha identificado y priorizado las apuestas productivas que están contempladas en dicho plan; entre las cadenas priorizadas a nivel departamental cuyo desarrollo impactaría positivamente la generación de empleo en el municipio son: cadena de la papa, cadena láctea, pesca, cadena forestal, hortofrutícola, turismo, cultura, y artesanías. El cuy aunque no está avalado por el Ministerio de Agricultura como cadena productiva, se contempla como apuesta productiva.</w:t>
      </w:r>
    </w:p>
    <w:p w:rsidR="00B74052" w:rsidRPr="00B74052" w:rsidRDefault="00B74052" w:rsidP="00B74052">
      <w:pPr>
        <w:spacing w:after="0" w:line="240" w:lineRule="auto"/>
        <w:jc w:val="both"/>
        <w:rPr>
          <w:rFonts w:cs="Arial"/>
        </w:rPr>
      </w:pPr>
    </w:p>
    <w:p w:rsidR="00B74052" w:rsidRPr="003B2265" w:rsidRDefault="00F1345F" w:rsidP="00F1345F">
      <w:pPr>
        <w:pStyle w:val="Prrafodelista"/>
        <w:shd w:val="clear" w:color="auto" w:fill="FFFFFF"/>
        <w:ind w:left="0"/>
        <w:jc w:val="both"/>
        <w:outlineLvl w:val="1"/>
        <w:rPr>
          <w:rFonts w:asciiTheme="majorHAnsi" w:hAnsiTheme="majorHAnsi" w:cs="Arial"/>
          <w:b/>
          <w:sz w:val="22"/>
          <w:szCs w:val="22"/>
        </w:rPr>
      </w:pPr>
      <w:bookmarkStart w:id="9" w:name="_Toc437375998"/>
      <w:r>
        <w:rPr>
          <w:rFonts w:asciiTheme="majorHAnsi" w:hAnsiTheme="majorHAnsi" w:cs="Arial"/>
          <w:b/>
          <w:sz w:val="22"/>
          <w:szCs w:val="22"/>
        </w:rPr>
        <w:t xml:space="preserve">3.1.4 </w:t>
      </w:r>
      <w:r w:rsidR="00B74052" w:rsidRPr="003B2265">
        <w:rPr>
          <w:rFonts w:asciiTheme="majorHAnsi" w:hAnsiTheme="majorHAnsi" w:cs="Arial"/>
          <w:b/>
          <w:sz w:val="22"/>
          <w:szCs w:val="22"/>
        </w:rPr>
        <w:t>DIMENSIÓN AMBIENTAL:</w:t>
      </w:r>
      <w:bookmarkEnd w:id="9"/>
    </w:p>
    <w:p w:rsidR="00B74052" w:rsidRPr="00B74052" w:rsidRDefault="00B74052" w:rsidP="00B74052">
      <w:pPr>
        <w:pStyle w:val="Prrafodelista"/>
        <w:shd w:val="clear" w:color="auto" w:fill="FFFFFF"/>
        <w:ind w:left="0"/>
        <w:jc w:val="both"/>
        <w:rPr>
          <w:rFonts w:asciiTheme="minorHAnsi" w:hAnsiTheme="minorHAnsi" w:cs="Arial"/>
          <w:sz w:val="22"/>
          <w:szCs w:val="22"/>
        </w:rPr>
      </w:pPr>
    </w:p>
    <w:p w:rsidR="009C468B" w:rsidRDefault="00B74052" w:rsidP="009C468B">
      <w:pPr>
        <w:pStyle w:val="Prrafodelista"/>
        <w:shd w:val="clear" w:color="auto" w:fill="FFFFFF"/>
        <w:ind w:left="0"/>
        <w:jc w:val="both"/>
        <w:rPr>
          <w:rFonts w:asciiTheme="minorHAnsi" w:hAnsiTheme="minorHAnsi" w:cs="Arial"/>
          <w:sz w:val="22"/>
          <w:szCs w:val="22"/>
        </w:rPr>
      </w:pPr>
      <w:r w:rsidRPr="00B74052">
        <w:rPr>
          <w:rFonts w:asciiTheme="minorHAnsi" w:hAnsiTheme="minorHAnsi" w:cs="Arial"/>
          <w:sz w:val="22"/>
          <w:szCs w:val="22"/>
        </w:rPr>
        <w:t xml:space="preserve">Pasto es uno de los territorios más privilegiados de Colombia, por tener lugares reconocidos internacionalmente, </w:t>
      </w:r>
      <w:r w:rsidR="009C468B">
        <w:rPr>
          <w:rFonts w:asciiTheme="minorHAnsi" w:hAnsiTheme="minorHAnsi" w:cs="Arial"/>
          <w:sz w:val="22"/>
          <w:szCs w:val="22"/>
        </w:rPr>
        <w:t>como</w:t>
      </w:r>
      <w:r w:rsidRPr="00B74052">
        <w:rPr>
          <w:rFonts w:asciiTheme="minorHAnsi" w:hAnsiTheme="minorHAnsi" w:cs="Arial"/>
          <w:sz w:val="22"/>
          <w:szCs w:val="22"/>
        </w:rPr>
        <w:t>:</w:t>
      </w:r>
    </w:p>
    <w:p w:rsidR="009C468B" w:rsidRDefault="009C468B" w:rsidP="009C468B">
      <w:pPr>
        <w:pStyle w:val="Prrafodelista"/>
        <w:shd w:val="clear" w:color="auto" w:fill="FFFFFF"/>
        <w:ind w:left="0"/>
        <w:jc w:val="both"/>
        <w:rPr>
          <w:rFonts w:asciiTheme="minorHAnsi" w:hAnsiTheme="minorHAnsi" w:cs="Arial"/>
          <w:sz w:val="22"/>
          <w:szCs w:val="22"/>
        </w:rPr>
      </w:pPr>
    </w:p>
    <w:p w:rsidR="00B74052" w:rsidRPr="009C468B" w:rsidRDefault="00B74052" w:rsidP="009C468B">
      <w:pPr>
        <w:pStyle w:val="Prrafodelista"/>
        <w:numPr>
          <w:ilvl w:val="0"/>
          <w:numId w:val="74"/>
        </w:numPr>
        <w:shd w:val="clear" w:color="auto" w:fill="FFFFFF"/>
        <w:jc w:val="both"/>
        <w:rPr>
          <w:rFonts w:asciiTheme="minorHAnsi" w:hAnsiTheme="minorHAnsi" w:cstheme="minorHAnsi"/>
          <w:sz w:val="22"/>
          <w:szCs w:val="22"/>
        </w:rPr>
      </w:pPr>
      <w:r w:rsidRPr="009C468B">
        <w:rPr>
          <w:rFonts w:asciiTheme="minorHAnsi" w:hAnsiTheme="minorHAnsi" w:cstheme="minorHAnsi"/>
          <w:sz w:val="22"/>
          <w:szCs w:val="22"/>
        </w:rPr>
        <w:t>Humedal Intern</w:t>
      </w:r>
      <w:r w:rsidR="009C468B">
        <w:rPr>
          <w:rFonts w:asciiTheme="minorHAnsi" w:hAnsiTheme="minorHAnsi" w:cstheme="minorHAnsi"/>
          <w:sz w:val="22"/>
          <w:szCs w:val="22"/>
        </w:rPr>
        <w:t xml:space="preserve">acional </w:t>
      </w:r>
      <w:proofErr w:type="spellStart"/>
      <w:r w:rsidR="009C468B">
        <w:rPr>
          <w:rFonts w:asciiTheme="minorHAnsi" w:hAnsiTheme="minorHAnsi" w:cstheme="minorHAnsi"/>
          <w:sz w:val="22"/>
          <w:szCs w:val="22"/>
        </w:rPr>
        <w:t>Ramsar</w:t>
      </w:r>
      <w:proofErr w:type="spellEnd"/>
      <w:r w:rsidR="009C468B">
        <w:rPr>
          <w:rFonts w:asciiTheme="minorHAnsi" w:hAnsiTheme="minorHAnsi" w:cstheme="minorHAnsi"/>
          <w:sz w:val="22"/>
          <w:szCs w:val="22"/>
        </w:rPr>
        <w:t xml:space="preserve"> del Lago </w:t>
      </w:r>
      <w:proofErr w:type="spellStart"/>
      <w:r w:rsidR="009C468B">
        <w:rPr>
          <w:rFonts w:asciiTheme="minorHAnsi" w:hAnsiTheme="minorHAnsi" w:cstheme="minorHAnsi"/>
          <w:sz w:val="22"/>
          <w:szCs w:val="22"/>
        </w:rPr>
        <w:t>Guamués</w:t>
      </w:r>
      <w:proofErr w:type="spellEnd"/>
      <w:r w:rsidR="009C468B">
        <w:rPr>
          <w:rFonts w:asciiTheme="minorHAnsi" w:hAnsiTheme="minorHAnsi" w:cstheme="minorHAnsi"/>
          <w:sz w:val="22"/>
          <w:szCs w:val="22"/>
        </w:rPr>
        <w:t>.</w:t>
      </w:r>
    </w:p>
    <w:p w:rsidR="009C468B" w:rsidRDefault="00B74052" w:rsidP="009C468B">
      <w:pPr>
        <w:numPr>
          <w:ilvl w:val="0"/>
          <w:numId w:val="74"/>
        </w:numPr>
        <w:shd w:val="clear" w:color="auto" w:fill="FFFFFF"/>
        <w:spacing w:after="0" w:line="240" w:lineRule="auto"/>
        <w:jc w:val="both"/>
        <w:rPr>
          <w:rFonts w:cs="Arial"/>
        </w:rPr>
      </w:pPr>
      <w:r w:rsidRPr="00B74052">
        <w:rPr>
          <w:rFonts w:cs="Arial"/>
        </w:rPr>
        <w:t>Parque Natural Nacional Santuario de Flora y Fauna Galeras</w:t>
      </w:r>
      <w:r w:rsidR="009C468B">
        <w:rPr>
          <w:rFonts w:cs="Arial"/>
        </w:rPr>
        <w:t>.</w:t>
      </w:r>
    </w:p>
    <w:p w:rsidR="00B74052" w:rsidRPr="00B74052" w:rsidRDefault="009C468B" w:rsidP="009C468B">
      <w:pPr>
        <w:numPr>
          <w:ilvl w:val="0"/>
          <w:numId w:val="74"/>
        </w:numPr>
        <w:shd w:val="clear" w:color="auto" w:fill="FFFFFF"/>
        <w:spacing w:after="0" w:line="240" w:lineRule="auto"/>
        <w:jc w:val="both"/>
        <w:rPr>
          <w:rFonts w:cs="Arial"/>
        </w:rPr>
      </w:pPr>
      <w:r>
        <w:rPr>
          <w:rFonts w:cs="Arial"/>
        </w:rPr>
        <w:t xml:space="preserve">Parque Natural Nacional </w:t>
      </w:r>
      <w:r w:rsidR="00B74052" w:rsidRPr="00B74052">
        <w:rPr>
          <w:rFonts w:cs="Arial"/>
        </w:rPr>
        <w:t>Santuario de Flora y Fauna Isla la Corota</w:t>
      </w:r>
      <w:r>
        <w:rPr>
          <w:rFonts w:cs="Arial"/>
        </w:rPr>
        <w:t>.</w:t>
      </w:r>
    </w:p>
    <w:p w:rsidR="00B74052" w:rsidRPr="00B74052" w:rsidRDefault="009C468B" w:rsidP="009C468B">
      <w:pPr>
        <w:numPr>
          <w:ilvl w:val="0"/>
          <w:numId w:val="74"/>
        </w:numPr>
        <w:shd w:val="clear" w:color="auto" w:fill="FFFFFF"/>
        <w:spacing w:after="0" w:line="240" w:lineRule="auto"/>
        <w:jc w:val="both"/>
        <w:rPr>
          <w:rFonts w:cs="Arial"/>
        </w:rPr>
      </w:pPr>
      <w:r>
        <w:rPr>
          <w:rFonts w:cs="Arial"/>
        </w:rPr>
        <w:t>Más de 50 Reservas N</w:t>
      </w:r>
      <w:r w:rsidR="00B74052" w:rsidRPr="00B74052">
        <w:rPr>
          <w:rFonts w:cs="Arial"/>
        </w:rPr>
        <w:t>aturales</w:t>
      </w:r>
      <w:r>
        <w:rPr>
          <w:rFonts w:cs="Arial"/>
        </w:rPr>
        <w:t>.</w:t>
      </w:r>
    </w:p>
    <w:p w:rsidR="00B74052" w:rsidRPr="00B74052" w:rsidRDefault="00B74052" w:rsidP="009C468B">
      <w:pPr>
        <w:numPr>
          <w:ilvl w:val="0"/>
          <w:numId w:val="74"/>
        </w:numPr>
        <w:shd w:val="clear" w:color="auto" w:fill="FFFFFF"/>
        <w:spacing w:after="0" w:line="240" w:lineRule="auto"/>
        <w:jc w:val="both"/>
        <w:rPr>
          <w:rFonts w:cs="Arial"/>
        </w:rPr>
      </w:pPr>
      <w:r w:rsidRPr="00B74052">
        <w:rPr>
          <w:rFonts w:cs="Arial"/>
        </w:rPr>
        <w:t>Embalse del Río Bobo</w:t>
      </w:r>
    </w:p>
    <w:p w:rsidR="00B74052" w:rsidRPr="00B74052" w:rsidRDefault="00B74052" w:rsidP="009C468B">
      <w:pPr>
        <w:numPr>
          <w:ilvl w:val="0"/>
          <w:numId w:val="74"/>
        </w:numPr>
        <w:shd w:val="clear" w:color="auto" w:fill="FFFFFF"/>
        <w:spacing w:after="0" w:line="240" w:lineRule="auto"/>
        <w:jc w:val="both"/>
        <w:rPr>
          <w:rFonts w:cs="Arial"/>
        </w:rPr>
      </w:pPr>
      <w:r w:rsidRPr="00B74052">
        <w:rPr>
          <w:rFonts w:cs="Arial"/>
        </w:rPr>
        <w:t>Páramos de Las Ovejas, Bordoncillo, Patascoy, Morasurco y Cuchilla El Tábano</w:t>
      </w:r>
    </w:p>
    <w:p w:rsidR="00B74052" w:rsidRPr="00B74052" w:rsidRDefault="00B74052" w:rsidP="009C468B">
      <w:pPr>
        <w:numPr>
          <w:ilvl w:val="0"/>
          <w:numId w:val="74"/>
        </w:numPr>
        <w:shd w:val="clear" w:color="auto" w:fill="FFFFFF"/>
        <w:spacing w:after="0" w:line="240" w:lineRule="auto"/>
        <w:jc w:val="both"/>
        <w:rPr>
          <w:rFonts w:cs="Arial"/>
        </w:rPr>
      </w:pPr>
      <w:r w:rsidRPr="00B74052">
        <w:rPr>
          <w:rFonts w:cs="Arial"/>
        </w:rPr>
        <w:t>Sistemas de bosques Andinos</w:t>
      </w:r>
    </w:p>
    <w:p w:rsidR="00B74052" w:rsidRPr="00B74052" w:rsidRDefault="00B74052" w:rsidP="009C468B">
      <w:pPr>
        <w:numPr>
          <w:ilvl w:val="0"/>
          <w:numId w:val="74"/>
        </w:numPr>
        <w:shd w:val="clear" w:color="auto" w:fill="FFFFFF"/>
        <w:spacing w:after="0" w:line="240" w:lineRule="auto"/>
        <w:jc w:val="both"/>
        <w:rPr>
          <w:rFonts w:cs="Arial"/>
        </w:rPr>
      </w:pPr>
      <w:r w:rsidRPr="00B74052">
        <w:rPr>
          <w:rFonts w:cs="Arial"/>
        </w:rPr>
        <w:t>Corrientes hídricas: río Pasto, río Bobo, río El Encano, río Guamués, río los Alisales y río Opongoy.</w:t>
      </w:r>
    </w:p>
    <w:p w:rsidR="00B74052" w:rsidRPr="00B74052" w:rsidRDefault="00B74052" w:rsidP="00B74052">
      <w:pPr>
        <w:shd w:val="clear" w:color="auto" w:fill="FFFFFF"/>
        <w:spacing w:after="0" w:line="240" w:lineRule="auto"/>
        <w:jc w:val="both"/>
        <w:rPr>
          <w:rFonts w:cs="Arial"/>
        </w:rPr>
      </w:pPr>
    </w:p>
    <w:p w:rsidR="00B74052" w:rsidRPr="00B74052" w:rsidRDefault="00B74052" w:rsidP="00B74052">
      <w:pPr>
        <w:shd w:val="clear" w:color="auto" w:fill="FFFFFF"/>
        <w:spacing w:after="0" w:line="240" w:lineRule="auto"/>
        <w:jc w:val="both"/>
        <w:rPr>
          <w:rFonts w:cs="Arial"/>
        </w:rPr>
      </w:pPr>
      <w:r w:rsidRPr="00B74052">
        <w:rPr>
          <w:rFonts w:cs="Arial"/>
        </w:rPr>
        <w:t>Las áreas naturales ofrecen una serie de servicios ambientales tales como: abastecimiento de agua para el consumo humano, agrícola y pecuario; aporte de oxigeno que contribuye a mejorar las condiciones de salud de los habitantes que viven cerca de estos lugares; paisajes naturales que pueden ser aprovechados para el desarrollo turístico, promoviendo el esparcimiento mediante el contacto directo con la naturaleza, bajo condiciones que permitan la conservación de los sistemas.</w:t>
      </w:r>
    </w:p>
    <w:p w:rsidR="00B74052" w:rsidRDefault="00B74052" w:rsidP="00B74052">
      <w:pPr>
        <w:shd w:val="clear" w:color="auto" w:fill="FFFFFF"/>
        <w:spacing w:after="0" w:line="240" w:lineRule="auto"/>
        <w:jc w:val="both"/>
        <w:rPr>
          <w:rFonts w:cs="Arial"/>
        </w:rPr>
      </w:pPr>
    </w:p>
    <w:p w:rsidR="00B74052" w:rsidRPr="00B74052" w:rsidRDefault="00B74052" w:rsidP="00B74052">
      <w:pPr>
        <w:shd w:val="clear" w:color="auto" w:fill="FFFFFF"/>
        <w:spacing w:after="0" w:line="240" w:lineRule="auto"/>
        <w:jc w:val="both"/>
        <w:rPr>
          <w:rFonts w:cs="Arial"/>
        </w:rPr>
      </w:pPr>
      <w:r w:rsidRPr="00B74052">
        <w:rPr>
          <w:rFonts w:cs="Arial"/>
        </w:rPr>
        <w:t xml:space="preserve">Hidrográfica y climáticamente el municipio posee influencia de la vertiente Pacífica y Amazónica, pues en su territorio se diferencian tres cuencas: río Pasto y río Bobo hacia la parte andina perteneciente a la gran cuenca del río Patía; y la cuenca alta del río Guamués, hacia el piedemonte </w:t>
      </w:r>
      <w:r w:rsidRPr="00B74052">
        <w:rPr>
          <w:rFonts w:cs="Arial"/>
        </w:rPr>
        <w:lastRenderedPageBreak/>
        <w:t>amazónico, perteneciente a la gran cuenca del río Putumayo. Esta es una oferta hídrica que se debe cuidar.</w:t>
      </w:r>
    </w:p>
    <w:p w:rsidR="00F1345F" w:rsidRDefault="00F1345F" w:rsidP="00B74052">
      <w:pPr>
        <w:shd w:val="clear" w:color="auto" w:fill="FFFFFF"/>
        <w:spacing w:after="0" w:line="240" w:lineRule="auto"/>
        <w:jc w:val="both"/>
        <w:rPr>
          <w:rFonts w:cs="Arial"/>
        </w:rPr>
      </w:pPr>
    </w:p>
    <w:p w:rsidR="00166BA9" w:rsidRDefault="00166BA9">
      <w:pPr>
        <w:rPr>
          <w:rFonts w:cs="Arial"/>
        </w:rPr>
      </w:pPr>
      <w:r>
        <w:rPr>
          <w:rFonts w:cs="Arial"/>
        </w:rPr>
        <w:br w:type="page"/>
      </w:r>
    </w:p>
    <w:p w:rsidR="00F1345F" w:rsidRDefault="00F1345F" w:rsidP="00B74052">
      <w:pPr>
        <w:shd w:val="clear" w:color="auto" w:fill="FFFFFF"/>
        <w:spacing w:after="0" w:line="240" w:lineRule="auto"/>
        <w:jc w:val="both"/>
        <w:rPr>
          <w:rFonts w:cs="Arial"/>
        </w:rPr>
      </w:pPr>
    </w:p>
    <w:p w:rsidR="00F1345F" w:rsidRPr="00B74052" w:rsidRDefault="00F1345F" w:rsidP="00B74052">
      <w:pPr>
        <w:shd w:val="clear" w:color="auto" w:fill="FFFFFF"/>
        <w:spacing w:after="0" w:line="240" w:lineRule="auto"/>
        <w:jc w:val="both"/>
        <w:rPr>
          <w:rFonts w:cs="Arial"/>
        </w:rPr>
      </w:pPr>
    </w:p>
    <w:p w:rsidR="009D6CD6" w:rsidRPr="00113F16" w:rsidRDefault="008C07ED" w:rsidP="00F1345F">
      <w:pPr>
        <w:pStyle w:val="Sinespaciado"/>
        <w:numPr>
          <w:ilvl w:val="0"/>
          <w:numId w:val="70"/>
        </w:numPr>
        <w:outlineLvl w:val="0"/>
        <w:rPr>
          <w:b/>
        </w:rPr>
      </w:pPr>
      <w:bookmarkStart w:id="10" w:name="_Toc437375999"/>
      <w:r w:rsidRPr="00113F16">
        <w:rPr>
          <w:b/>
        </w:rPr>
        <w:t>ANÁLISIS GASTO PÚBLICO SOCIAL Y GASTO PÚBLICO EN NIÑEZ Y JUVENTUD</w:t>
      </w:r>
      <w:bookmarkEnd w:id="10"/>
    </w:p>
    <w:p w:rsidR="008C07ED" w:rsidRPr="008C07ED" w:rsidRDefault="008C07ED" w:rsidP="008C07ED">
      <w:pPr>
        <w:ind w:left="360"/>
        <w:jc w:val="both"/>
      </w:pPr>
    </w:p>
    <w:p w:rsidR="008C07ED" w:rsidRDefault="008C07ED" w:rsidP="008C07ED">
      <w:pPr>
        <w:ind w:left="360"/>
        <w:jc w:val="both"/>
      </w:pPr>
      <w:r w:rsidRPr="008C07ED">
        <w:t>Dicha información se determinó de la siguiente manera: GPS. Corresponde al total del gasto de inversión anual y abarca a todos los sectores. GPN. Se tiene en cuenta los rubros del FUT en donde Educación fue tomado específicamente como atención a la niñez observando que presupuestalmente esta información no es suficientemente detallada. Así mismo salud fue tomado del FUT donde la información es más específica al requerimiento GPJ. Se tuvo en cuenta la información del FUT reportada por la oficina de juventud.</w:t>
      </w:r>
    </w:p>
    <w:p w:rsidR="00941681" w:rsidRDefault="00941681" w:rsidP="00657694">
      <w:pPr>
        <w:pStyle w:val="Sinespaciado"/>
        <w:jc w:val="center"/>
      </w:pPr>
    </w:p>
    <w:p w:rsidR="00941681" w:rsidRPr="00941681" w:rsidRDefault="00657694" w:rsidP="00657694">
      <w:pPr>
        <w:pStyle w:val="Sinespaciado"/>
        <w:jc w:val="center"/>
        <w:outlineLvl w:val="1"/>
      </w:pPr>
      <w:r>
        <w:t xml:space="preserve">4.1 </w:t>
      </w:r>
      <w:bookmarkStart w:id="11" w:name="_Toc437376000"/>
      <w:r w:rsidR="00941681" w:rsidRPr="00941681">
        <w:t>GASTO PÚBLICO SOCIAL</w:t>
      </w:r>
      <w:bookmarkEnd w:id="11"/>
    </w:p>
    <w:p w:rsidR="00941681" w:rsidRDefault="00941681" w:rsidP="008C07ED">
      <w:pPr>
        <w:ind w:left="360"/>
        <w:jc w:val="both"/>
      </w:pPr>
      <w:r w:rsidRPr="00941681">
        <w:rPr>
          <w:noProof/>
          <w:lang w:val="es-ES" w:eastAsia="es-ES"/>
        </w:rPr>
        <w:drawing>
          <wp:inline distT="0" distB="0" distL="0" distR="0">
            <wp:extent cx="6057221" cy="4752975"/>
            <wp:effectExtent l="0" t="0" r="127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5691" cy="4775315"/>
                    </a:xfrm>
                    <a:prstGeom prst="rect">
                      <a:avLst/>
                    </a:prstGeom>
                    <a:noFill/>
                    <a:ln>
                      <a:noFill/>
                    </a:ln>
                  </pic:spPr>
                </pic:pic>
              </a:graphicData>
            </a:graphic>
          </wp:inline>
        </w:drawing>
      </w:r>
    </w:p>
    <w:p w:rsidR="00941681" w:rsidRDefault="00941681" w:rsidP="008C07ED">
      <w:pPr>
        <w:ind w:left="360"/>
        <w:jc w:val="both"/>
      </w:pPr>
      <w:r w:rsidRPr="00941681">
        <w:rPr>
          <w:noProof/>
          <w:lang w:val="es-ES" w:eastAsia="es-ES"/>
        </w:rPr>
        <w:lastRenderedPageBreak/>
        <w:drawing>
          <wp:inline distT="0" distB="0" distL="0" distR="0">
            <wp:extent cx="5612130" cy="2284425"/>
            <wp:effectExtent l="0" t="0" r="7620" b="190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284425"/>
                    </a:xfrm>
                    <a:prstGeom prst="rect">
                      <a:avLst/>
                    </a:prstGeom>
                    <a:noFill/>
                    <a:ln>
                      <a:noFill/>
                    </a:ln>
                  </pic:spPr>
                </pic:pic>
              </a:graphicData>
            </a:graphic>
          </wp:inline>
        </w:drawing>
      </w:r>
    </w:p>
    <w:p w:rsidR="00941681" w:rsidRDefault="00941681" w:rsidP="008C07ED">
      <w:pPr>
        <w:ind w:left="360"/>
        <w:jc w:val="both"/>
      </w:pPr>
      <w:r w:rsidRPr="00941681">
        <w:rPr>
          <w:noProof/>
          <w:lang w:val="es-ES" w:eastAsia="es-ES"/>
        </w:rPr>
        <w:drawing>
          <wp:inline distT="0" distB="0" distL="0" distR="0">
            <wp:extent cx="5612130" cy="2164507"/>
            <wp:effectExtent l="0" t="0" r="7620" b="762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164507"/>
                    </a:xfrm>
                    <a:prstGeom prst="rect">
                      <a:avLst/>
                    </a:prstGeom>
                    <a:noFill/>
                    <a:ln>
                      <a:noFill/>
                    </a:ln>
                  </pic:spPr>
                </pic:pic>
              </a:graphicData>
            </a:graphic>
          </wp:inline>
        </w:drawing>
      </w:r>
    </w:p>
    <w:p w:rsidR="00941681" w:rsidRDefault="00941681" w:rsidP="008C07ED">
      <w:pPr>
        <w:ind w:left="360"/>
        <w:jc w:val="both"/>
      </w:pPr>
    </w:p>
    <w:p w:rsidR="00941681" w:rsidRDefault="00941681" w:rsidP="008C07ED">
      <w:pPr>
        <w:ind w:left="360"/>
        <w:jc w:val="both"/>
      </w:pPr>
    </w:p>
    <w:p w:rsidR="00941681" w:rsidRDefault="00941681" w:rsidP="008C07ED">
      <w:pPr>
        <w:ind w:left="360"/>
        <w:jc w:val="both"/>
      </w:pPr>
    </w:p>
    <w:p w:rsidR="00941681" w:rsidRDefault="00DB0FAD" w:rsidP="008C07ED">
      <w:pPr>
        <w:ind w:left="360"/>
        <w:jc w:val="both"/>
      </w:pPr>
      <w:r w:rsidRPr="00DB0FAD">
        <w:rPr>
          <w:noProof/>
          <w:lang w:val="es-ES" w:eastAsia="es-ES"/>
        </w:rPr>
        <w:lastRenderedPageBreak/>
        <w:drawing>
          <wp:inline distT="0" distB="0" distL="0" distR="0">
            <wp:extent cx="5612130" cy="7800621"/>
            <wp:effectExtent l="0" t="0" r="762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7800621"/>
                    </a:xfrm>
                    <a:prstGeom prst="rect">
                      <a:avLst/>
                    </a:prstGeom>
                    <a:noFill/>
                    <a:ln>
                      <a:noFill/>
                    </a:ln>
                  </pic:spPr>
                </pic:pic>
              </a:graphicData>
            </a:graphic>
          </wp:inline>
        </w:drawing>
      </w:r>
    </w:p>
    <w:p w:rsidR="00DB0FAD" w:rsidRDefault="00DB0FAD" w:rsidP="008C07ED">
      <w:pPr>
        <w:ind w:left="360"/>
        <w:jc w:val="both"/>
      </w:pPr>
    </w:p>
    <w:p w:rsidR="00941681" w:rsidRPr="00941681" w:rsidRDefault="00C47CCB" w:rsidP="00657694">
      <w:pPr>
        <w:pStyle w:val="Sinespaciado2"/>
        <w:jc w:val="center"/>
        <w:outlineLvl w:val="1"/>
      </w:pPr>
      <w:bookmarkStart w:id="12" w:name="_Toc437376001"/>
      <w:r>
        <w:t>4.1</w:t>
      </w:r>
      <w:r w:rsidR="00657694">
        <w:t>.1</w:t>
      </w:r>
      <w:r>
        <w:t xml:space="preserve"> </w:t>
      </w:r>
      <w:r w:rsidR="00941681" w:rsidRPr="00941681">
        <w:t>GASTO PÚBLICO EN NIÑEZ</w:t>
      </w:r>
      <w:bookmarkEnd w:id="12"/>
    </w:p>
    <w:p w:rsidR="00941681" w:rsidRPr="008C07ED" w:rsidRDefault="00941681" w:rsidP="008C07ED">
      <w:pPr>
        <w:ind w:left="360"/>
        <w:jc w:val="both"/>
      </w:pPr>
      <w:r w:rsidRPr="00941681">
        <w:rPr>
          <w:noProof/>
          <w:lang w:val="es-ES" w:eastAsia="es-ES"/>
        </w:rPr>
        <w:drawing>
          <wp:inline distT="0" distB="0" distL="0" distR="0">
            <wp:extent cx="6191249" cy="3705225"/>
            <wp:effectExtent l="0" t="0" r="63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4143" cy="3718926"/>
                    </a:xfrm>
                    <a:prstGeom prst="rect">
                      <a:avLst/>
                    </a:prstGeom>
                    <a:noFill/>
                    <a:ln>
                      <a:noFill/>
                    </a:ln>
                  </pic:spPr>
                </pic:pic>
              </a:graphicData>
            </a:graphic>
          </wp:inline>
        </w:drawing>
      </w:r>
    </w:p>
    <w:p w:rsidR="00DB0FAD" w:rsidRDefault="00DB0FAD" w:rsidP="00DB0FAD">
      <w:pPr>
        <w:jc w:val="center"/>
        <w:rPr>
          <w:rFonts w:eastAsiaTheme="majorEastAsia" w:cstheme="majorBidi"/>
          <w:color w:val="2E74B5" w:themeColor="accent1" w:themeShade="BF"/>
          <w:sz w:val="40"/>
          <w:szCs w:val="40"/>
        </w:rPr>
      </w:pPr>
    </w:p>
    <w:p w:rsidR="009D6CD6" w:rsidRDefault="00C47CCB" w:rsidP="00657694">
      <w:pPr>
        <w:pStyle w:val="Sinespaciado"/>
        <w:numPr>
          <w:ilvl w:val="2"/>
          <w:numId w:val="70"/>
        </w:numPr>
        <w:jc w:val="center"/>
        <w:outlineLvl w:val="1"/>
      </w:pPr>
      <w:r>
        <w:t xml:space="preserve"> </w:t>
      </w:r>
      <w:bookmarkStart w:id="13" w:name="_Toc437376002"/>
      <w:r w:rsidR="00941681" w:rsidRPr="00941681">
        <w:t>GASTO PÚBLICO EN JUVENTUD</w:t>
      </w:r>
      <w:bookmarkEnd w:id="13"/>
    </w:p>
    <w:p w:rsidR="009D6CD6" w:rsidRDefault="00941681" w:rsidP="009D6CD6">
      <w:r w:rsidRPr="00941681">
        <w:rPr>
          <w:noProof/>
          <w:lang w:val="es-ES" w:eastAsia="es-ES"/>
        </w:rPr>
        <w:drawing>
          <wp:inline distT="0" distB="0" distL="0" distR="0">
            <wp:extent cx="6390540" cy="263842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4904" cy="2648484"/>
                    </a:xfrm>
                    <a:prstGeom prst="rect">
                      <a:avLst/>
                    </a:prstGeom>
                    <a:noFill/>
                    <a:ln>
                      <a:noFill/>
                    </a:ln>
                  </pic:spPr>
                </pic:pic>
              </a:graphicData>
            </a:graphic>
          </wp:inline>
        </w:drawing>
      </w:r>
    </w:p>
    <w:p w:rsidR="009D6CD6" w:rsidRPr="00657694" w:rsidRDefault="003D2CEA" w:rsidP="00657694">
      <w:pPr>
        <w:pStyle w:val="Prrafodelista"/>
        <w:numPr>
          <w:ilvl w:val="0"/>
          <w:numId w:val="70"/>
        </w:numPr>
        <w:outlineLvl w:val="0"/>
        <w:rPr>
          <w:rFonts w:asciiTheme="majorHAnsi" w:hAnsiTheme="majorHAnsi"/>
          <w:b/>
          <w:sz w:val="22"/>
          <w:szCs w:val="22"/>
        </w:rPr>
      </w:pPr>
      <w:bookmarkStart w:id="14" w:name="_Toc437376003"/>
      <w:r w:rsidRPr="00657694">
        <w:rPr>
          <w:rFonts w:asciiTheme="majorHAnsi" w:hAnsiTheme="majorHAnsi"/>
          <w:b/>
          <w:sz w:val="22"/>
          <w:szCs w:val="22"/>
        </w:rPr>
        <w:lastRenderedPageBreak/>
        <w:t>ARQUITECTURA INSTITUCIONAL</w:t>
      </w:r>
      <w:bookmarkEnd w:id="14"/>
    </w:p>
    <w:p w:rsidR="003D2CEA" w:rsidRPr="003D2CEA" w:rsidRDefault="003D2CEA" w:rsidP="003D2CEA">
      <w:pPr>
        <w:rPr>
          <w:b/>
        </w:rPr>
      </w:pPr>
    </w:p>
    <w:p w:rsidR="003D2CEA" w:rsidRDefault="003D2CEA" w:rsidP="003D2CEA">
      <w:r w:rsidRPr="003D2CEA">
        <w:t xml:space="preserve">El municipio de Pasto cuenta con la siguiente arquitectura institucional para la atención de los niños, niñas, adolescentes y jóvenes. </w:t>
      </w:r>
    </w:p>
    <w:p w:rsidR="003D2CEA" w:rsidRDefault="00D06359" w:rsidP="00863BF6">
      <w:pPr>
        <w:tabs>
          <w:tab w:val="left" w:pos="2055"/>
        </w:tabs>
        <w:rPr>
          <w:rFonts w:asciiTheme="majorHAnsi" w:hAnsiTheme="majorHAnsi"/>
          <w:b/>
        </w:rPr>
      </w:pPr>
      <w:r w:rsidRPr="00D06359">
        <w:rPr>
          <w:rFonts w:asciiTheme="majorHAnsi" w:hAnsiTheme="majorHAnsi"/>
          <w:b/>
        </w:rPr>
        <w:t xml:space="preserve">Talento </w:t>
      </w:r>
      <w:r w:rsidR="00863BF6">
        <w:rPr>
          <w:rFonts w:asciiTheme="majorHAnsi" w:hAnsiTheme="majorHAnsi"/>
          <w:b/>
        </w:rPr>
        <w:t>humano en todos los ciclos vitales de edad</w:t>
      </w:r>
    </w:p>
    <w:p w:rsidR="005D6273" w:rsidRDefault="005D6273" w:rsidP="00863BF6">
      <w:pPr>
        <w:tabs>
          <w:tab w:val="left" w:pos="2055"/>
        </w:tabs>
        <w:rPr>
          <w:rFonts w:asciiTheme="majorHAnsi" w:hAnsiTheme="majorHAnsi"/>
          <w:b/>
        </w:rPr>
      </w:pPr>
      <w:r w:rsidRPr="005D6273">
        <w:rPr>
          <w:noProof/>
          <w:lang w:val="es-ES" w:eastAsia="es-ES"/>
        </w:rPr>
        <w:drawing>
          <wp:inline distT="0" distB="0" distL="0" distR="0">
            <wp:extent cx="5612130" cy="4423179"/>
            <wp:effectExtent l="0" t="0" r="762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4423179"/>
                    </a:xfrm>
                    <a:prstGeom prst="rect">
                      <a:avLst/>
                    </a:prstGeom>
                    <a:noFill/>
                    <a:ln>
                      <a:noFill/>
                    </a:ln>
                  </pic:spPr>
                </pic:pic>
              </a:graphicData>
            </a:graphic>
          </wp:inline>
        </w:drawing>
      </w:r>
    </w:p>
    <w:p w:rsidR="005D6273" w:rsidRDefault="005D6273" w:rsidP="00863BF6">
      <w:pPr>
        <w:tabs>
          <w:tab w:val="left" w:pos="2055"/>
        </w:tabs>
        <w:rPr>
          <w:rFonts w:asciiTheme="majorHAnsi" w:hAnsiTheme="majorHAnsi"/>
          <w:b/>
        </w:rPr>
      </w:pPr>
    </w:p>
    <w:p w:rsidR="005D6273" w:rsidRDefault="005D6273" w:rsidP="00863BF6">
      <w:pPr>
        <w:tabs>
          <w:tab w:val="left" w:pos="2055"/>
        </w:tabs>
        <w:rPr>
          <w:rFonts w:asciiTheme="majorHAnsi" w:hAnsiTheme="majorHAnsi"/>
          <w:b/>
        </w:rPr>
      </w:pPr>
    </w:p>
    <w:p w:rsidR="005D6273" w:rsidRDefault="005D6273" w:rsidP="00863BF6">
      <w:pPr>
        <w:tabs>
          <w:tab w:val="left" w:pos="2055"/>
        </w:tabs>
        <w:rPr>
          <w:rFonts w:asciiTheme="majorHAnsi" w:hAnsiTheme="majorHAnsi"/>
          <w:b/>
        </w:rPr>
      </w:pPr>
    </w:p>
    <w:p w:rsidR="005D6273" w:rsidRDefault="005D6273" w:rsidP="00863BF6">
      <w:pPr>
        <w:tabs>
          <w:tab w:val="left" w:pos="2055"/>
        </w:tabs>
        <w:rPr>
          <w:rFonts w:asciiTheme="majorHAnsi" w:hAnsiTheme="majorHAnsi"/>
          <w:b/>
        </w:rPr>
      </w:pPr>
    </w:p>
    <w:p w:rsidR="005D6273" w:rsidRDefault="005D6273" w:rsidP="00863BF6">
      <w:pPr>
        <w:tabs>
          <w:tab w:val="left" w:pos="2055"/>
        </w:tabs>
        <w:rPr>
          <w:rFonts w:asciiTheme="majorHAnsi" w:hAnsiTheme="majorHAnsi"/>
          <w:b/>
        </w:rPr>
      </w:pPr>
    </w:p>
    <w:p w:rsidR="005D6273" w:rsidRDefault="005D6273" w:rsidP="00863BF6">
      <w:pPr>
        <w:tabs>
          <w:tab w:val="left" w:pos="2055"/>
        </w:tabs>
        <w:rPr>
          <w:rFonts w:asciiTheme="majorHAnsi" w:hAnsiTheme="majorHAnsi"/>
          <w:b/>
        </w:rPr>
      </w:pPr>
    </w:p>
    <w:p w:rsidR="009D6CD6" w:rsidRPr="00657694" w:rsidRDefault="00C47CCB" w:rsidP="00657694">
      <w:pPr>
        <w:pStyle w:val="Sinespaciado"/>
        <w:outlineLvl w:val="1"/>
        <w:rPr>
          <w:b/>
        </w:rPr>
      </w:pPr>
      <w:bookmarkStart w:id="15" w:name="_Toc437376004"/>
      <w:r w:rsidRPr="00657694">
        <w:rPr>
          <w:b/>
        </w:rPr>
        <w:lastRenderedPageBreak/>
        <w:t xml:space="preserve">5.1 </w:t>
      </w:r>
      <w:r w:rsidR="00863BF6" w:rsidRPr="00657694">
        <w:rPr>
          <w:b/>
        </w:rPr>
        <w:t>INSTANCIAS POBLACIONALES RESPONSABLES DE ACCIÓN PÚBLICA</w:t>
      </w:r>
      <w:bookmarkEnd w:id="15"/>
    </w:p>
    <w:p w:rsidR="00863BF6" w:rsidRPr="00863BF6" w:rsidRDefault="00863BF6" w:rsidP="00863BF6">
      <w:pPr>
        <w:pStyle w:val="Prrafodelista"/>
        <w:numPr>
          <w:ilvl w:val="0"/>
          <w:numId w:val="68"/>
        </w:numPr>
        <w:rPr>
          <w:rFonts w:asciiTheme="minorHAnsi" w:hAnsiTheme="minorHAnsi"/>
          <w:sz w:val="22"/>
          <w:szCs w:val="22"/>
        </w:rPr>
      </w:pPr>
      <w:r w:rsidRPr="00863BF6">
        <w:rPr>
          <w:rFonts w:asciiTheme="minorHAnsi" w:hAnsiTheme="minorHAnsi"/>
          <w:sz w:val="22"/>
          <w:szCs w:val="22"/>
        </w:rPr>
        <w:t xml:space="preserve">Consejo </w:t>
      </w:r>
      <w:r w:rsidR="00066E41">
        <w:rPr>
          <w:rFonts w:asciiTheme="minorHAnsi" w:hAnsiTheme="minorHAnsi"/>
          <w:sz w:val="22"/>
          <w:szCs w:val="22"/>
        </w:rPr>
        <w:t>M</w:t>
      </w:r>
      <w:r w:rsidRPr="00863BF6">
        <w:rPr>
          <w:rFonts w:asciiTheme="minorHAnsi" w:hAnsiTheme="minorHAnsi"/>
          <w:sz w:val="22"/>
          <w:szCs w:val="22"/>
        </w:rPr>
        <w:t>unicipal de Política Social</w:t>
      </w:r>
    </w:p>
    <w:p w:rsidR="00863BF6" w:rsidRDefault="00863BF6" w:rsidP="00863BF6">
      <w:pPr>
        <w:pStyle w:val="Prrafodelista"/>
        <w:numPr>
          <w:ilvl w:val="0"/>
          <w:numId w:val="68"/>
        </w:numPr>
        <w:rPr>
          <w:rFonts w:asciiTheme="minorHAnsi" w:hAnsiTheme="minorHAnsi"/>
          <w:sz w:val="22"/>
          <w:szCs w:val="22"/>
        </w:rPr>
      </w:pPr>
      <w:r w:rsidRPr="00863BF6">
        <w:rPr>
          <w:rFonts w:asciiTheme="minorHAnsi" w:hAnsiTheme="minorHAnsi"/>
          <w:sz w:val="22"/>
          <w:szCs w:val="22"/>
        </w:rPr>
        <w:t xml:space="preserve">Comité de </w:t>
      </w:r>
      <w:r w:rsidR="00066E41">
        <w:rPr>
          <w:rFonts w:asciiTheme="minorHAnsi" w:hAnsiTheme="minorHAnsi"/>
          <w:sz w:val="22"/>
          <w:szCs w:val="22"/>
        </w:rPr>
        <w:t>P</w:t>
      </w:r>
      <w:r w:rsidRPr="00863BF6">
        <w:rPr>
          <w:rFonts w:asciiTheme="minorHAnsi" w:hAnsiTheme="minorHAnsi"/>
          <w:sz w:val="22"/>
          <w:szCs w:val="22"/>
        </w:rPr>
        <w:t xml:space="preserve">rimera </w:t>
      </w:r>
      <w:r w:rsidR="00066E41">
        <w:rPr>
          <w:rFonts w:asciiTheme="minorHAnsi" w:hAnsiTheme="minorHAnsi"/>
          <w:sz w:val="22"/>
          <w:szCs w:val="22"/>
        </w:rPr>
        <w:t>I</w:t>
      </w:r>
      <w:r w:rsidRPr="00863BF6">
        <w:rPr>
          <w:rFonts w:asciiTheme="minorHAnsi" w:hAnsiTheme="minorHAnsi"/>
          <w:sz w:val="22"/>
          <w:szCs w:val="22"/>
        </w:rPr>
        <w:t xml:space="preserve">nfancia, </w:t>
      </w:r>
      <w:r w:rsidR="00066E41">
        <w:rPr>
          <w:rFonts w:asciiTheme="minorHAnsi" w:hAnsiTheme="minorHAnsi"/>
          <w:sz w:val="22"/>
          <w:szCs w:val="22"/>
        </w:rPr>
        <w:t>I</w:t>
      </w:r>
      <w:r w:rsidRPr="00863BF6">
        <w:rPr>
          <w:rFonts w:asciiTheme="minorHAnsi" w:hAnsiTheme="minorHAnsi"/>
          <w:sz w:val="22"/>
          <w:szCs w:val="22"/>
        </w:rPr>
        <w:t xml:space="preserve">nfancia, </w:t>
      </w:r>
      <w:r w:rsidR="00066E41">
        <w:rPr>
          <w:rFonts w:asciiTheme="minorHAnsi" w:hAnsiTheme="minorHAnsi"/>
          <w:sz w:val="22"/>
          <w:szCs w:val="22"/>
        </w:rPr>
        <w:t>A</w:t>
      </w:r>
      <w:r w:rsidRPr="00863BF6">
        <w:rPr>
          <w:rFonts w:asciiTheme="minorHAnsi" w:hAnsiTheme="minorHAnsi"/>
          <w:sz w:val="22"/>
          <w:szCs w:val="22"/>
        </w:rPr>
        <w:t xml:space="preserve">dolescencia y </w:t>
      </w:r>
      <w:r w:rsidR="00066E41">
        <w:rPr>
          <w:rFonts w:asciiTheme="minorHAnsi" w:hAnsiTheme="minorHAnsi"/>
          <w:sz w:val="22"/>
          <w:szCs w:val="22"/>
        </w:rPr>
        <w:t>J</w:t>
      </w:r>
      <w:r w:rsidRPr="00863BF6">
        <w:rPr>
          <w:rFonts w:asciiTheme="minorHAnsi" w:hAnsiTheme="minorHAnsi"/>
          <w:sz w:val="22"/>
          <w:szCs w:val="22"/>
        </w:rPr>
        <w:t>uventud</w:t>
      </w:r>
    </w:p>
    <w:p w:rsidR="00201169" w:rsidRPr="00863BF6" w:rsidRDefault="00201169" w:rsidP="00863BF6">
      <w:pPr>
        <w:pStyle w:val="Prrafodelista"/>
        <w:numPr>
          <w:ilvl w:val="0"/>
          <w:numId w:val="68"/>
        </w:numPr>
        <w:rPr>
          <w:rFonts w:asciiTheme="minorHAnsi" w:hAnsiTheme="minorHAnsi"/>
          <w:sz w:val="22"/>
          <w:szCs w:val="22"/>
        </w:rPr>
      </w:pPr>
      <w:r>
        <w:rPr>
          <w:rFonts w:asciiTheme="minorHAnsi" w:hAnsiTheme="minorHAnsi"/>
          <w:sz w:val="22"/>
          <w:szCs w:val="22"/>
        </w:rPr>
        <w:t xml:space="preserve">Comité de </w:t>
      </w:r>
      <w:r w:rsidR="00066E41">
        <w:rPr>
          <w:rFonts w:asciiTheme="minorHAnsi" w:hAnsiTheme="minorHAnsi"/>
          <w:sz w:val="22"/>
          <w:szCs w:val="22"/>
        </w:rPr>
        <w:t>A</w:t>
      </w:r>
      <w:r>
        <w:rPr>
          <w:rFonts w:asciiTheme="minorHAnsi" w:hAnsiTheme="minorHAnsi"/>
          <w:sz w:val="22"/>
          <w:szCs w:val="22"/>
        </w:rPr>
        <w:t xml:space="preserve">dolescencia y juventud </w:t>
      </w:r>
    </w:p>
    <w:p w:rsidR="00863BF6" w:rsidRPr="00863BF6" w:rsidRDefault="00863BF6" w:rsidP="00863BF6">
      <w:pPr>
        <w:pStyle w:val="Prrafodelista"/>
        <w:numPr>
          <w:ilvl w:val="0"/>
          <w:numId w:val="68"/>
        </w:numPr>
        <w:rPr>
          <w:rFonts w:asciiTheme="minorHAnsi" w:hAnsiTheme="minorHAnsi"/>
          <w:sz w:val="22"/>
          <w:szCs w:val="22"/>
        </w:rPr>
      </w:pPr>
      <w:r w:rsidRPr="00863BF6">
        <w:rPr>
          <w:rFonts w:asciiTheme="minorHAnsi" w:hAnsiTheme="minorHAnsi"/>
          <w:sz w:val="22"/>
          <w:szCs w:val="22"/>
        </w:rPr>
        <w:t xml:space="preserve">Subcomité de </w:t>
      </w:r>
      <w:r w:rsidR="00066E41">
        <w:rPr>
          <w:rFonts w:asciiTheme="minorHAnsi" w:hAnsiTheme="minorHAnsi"/>
          <w:sz w:val="22"/>
          <w:szCs w:val="22"/>
        </w:rPr>
        <w:t>P</w:t>
      </w:r>
      <w:r w:rsidRPr="00863BF6">
        <w:rPr>
          <w:rFonts w:asciiTheme="minorHAnsi" w:hAnsiTheme="minorHAnsi"/>
          <w:sz w:val="22"/>
          <w:szCs w:val="22"/>
        </w:rPr>
        <w:t xml:space="preserve">rimera </w:t>
      </w:r>
      <w:r w:rsidR="00066E41">
        <w:rPr>
          <w:rFonts w:asciiTheme="minorHAnsi" w:hAnsiTheme="minorHAnsi"/>
          <w:sz w:val="22"/>
          <w:szCs w:val="22"/>
        </w:rPr>
        <w:t>I</w:t>
      </w:r>
      <w:r w:rsidRPr="00863BF6">
        <w:rPr>
          <w:rFonts w:asciiTheme="minorHAnsi" w:hAnsiTheme="minorHAnsi"/>
          <w:sz w:val="22"/>
          <w:szCs w:val="22"/>
        </w:rPr>
        <w:t xml:space="preserve">nfancia e </w:t>
      </w:r>
      <w:r w:rsidR="00066E41">
        <w:rPr>
          <w:rFonts w:asciiTheme="minorHAnsi" w:hAnsiTheme="minorHAnsi"/>
          <w:sz w:val="22"/>
          <w:szCs w:val="22"/>
        </w:rPr>
        <w:t>I</w:t>
      </w:r>
      <w:r w:rsidRPr="00863BF6">
        <w:rPr>
          <w:rFonts w:asciiTheme="minorHAnsi" w:hAnsiTheme="minorHAnsi"/>
          <w:sz w:val="22"/>
          <w:szCs w:val="22"/>
        </w:rPr>
        <w:t xml:space="preserve">nfancia </w:t>
      </w:r>
    </w:p>
    <w:p w:rsidR="00863BF6" w:rsidRPr="00863BF6" w:rsidRDefault="00863BF6" w:rsidP="00863BF6">
      <w:pPr>
        <w:pStyle w:val="Prrafodelista"/>
        <w:numPr>
          <w:ilvl w:val="0"/>
          <w:numId w:val="68"/>
        </w:numPr>
        <w:rPr>
          <w:rFonts w:asciiTheme="minorHAnsi" w:hAnsiTheme="minorHAnsi"/>
          <w:sz w:val="22"/>
          <w:szCs w:val="22"/>
        </w:rPr>
      </w:pPr>
      <w:r w:rsidRPr="00863BF6">
        <w:rPr>
          <w:rFonts w:asciiTheme="minorHAnsi" w:hAnsiTheme="minorHAnsi"/>
          <w:sz w:val="22"/>
          <w:szCs w:val="22"/>
        </w:rPr>
        <w:t xml:space="preserve">Subcomité de </w:t>
      </w:r>
      <w:r w:rsidR="00066E41">
        <w:rPr>
          <w:rFonts w:asciiTheme="minorHAnsi" w:hAnsiTheme="minorHAnsi"/>
          <w:sz w:val="22"/>
          <w:szCs w:val="22"/>
        </w:rPr>
        <w:t>E</w:t>
      </w:r>
      <w:r w:rsidRPr="00863BF6">
        <w:rPr>
          <w:rFonts w:asciiTheme="minorHAnsi" w:hAnsiTheme="minorHAnsi"/>
          <w:sz w:val="22"/>
          <w:szCs w:val="22"/>
        </w:rPr>
        <w:t xml:space="preserve">rradicación de </w:t>
      </w:r>
      <w:r w:rsidR="00066E41">
        <w:rPr>
          <w:rFonts w:asciiTheme="minorHAnsi" w:hAnsiTheme="minorHAnsi"/>
          <w:sz w:val="22"/>
          <w:szCs w:val="22"/>
        </w:rPr>
        <w:t>T</w:t>
      </w:r>
      <w:r w:rsidRPr="00863BF6">
        <w:rPr>
          <w:rFonts w:asciiTheme="minorHAnsi" w:hAnsiTheme="minorHAnsi"/>
          <w:sz w:val="22"/>
          <w:szCs w:val="22"/>
        </w:rPr>
        <w:t xml:space="preserve">rabajo </w:t>
      </w:r>
      <w:r w:rsidR="00066E41">
        <w:rPr>
          <w:rFonts w:asciiTheme="minorHAnsi" w:hAnsiTheme="minorHAnsi"/>
          <w:sz w:val="22"/>
          <w:szCs w:val="22"/>
        </w:rPr>
        <w:t>I</w:t>
      </w:r>
      <w:r w:rsidRPr="00863BF6">
        <w:rPr>
          <w:rFonts w:asciiTheme="minorHAnsi" w:hAnsiTheme="minorHAnsi"/>
          <w:sz w:val="22"/>
          <w:szCs w:val="22"/>
        </w:rPr>
        <w:t>nfantil</w:t>
      </w:r>
    </w:p>
    <w:p w:rsidR="00863BF6" w:rsidRPr="00863BF6" w:rsidRDefault="00863BF6" w:rsidP="00863BF6">
      <w:pPr>
        <w:pStyle w:val="Prrafodelista"/>
        <w:numPr>
          <w:ilvl w:val="0"/>
          <w:numId w:val="68"/>
        </w:numPr>
        <w:rPr>
          <w:rFonts w:asciiTheme="minorHAnsi" w:hAnsiTheme="minorHAnsi"/>
          <w:sz w:val="22"/>
          <w:szCs w:val="22"/>
        </w:rPr>
      </w:pPr>
      <w:r w:rsidRPr="00863BF6">
        <w:rPr>
          <w:rFonts w:asciiTheme="minorHAnsi" w:hAnsiTheme="minorHAnsi"/>
          <w:sz w:val="22"/>
          <w:szCs w:val="22"/>
        </w:rPr>
        <w:t xml:space="preserve">Consejo de </w:t>
      </w:r>
      <w:r w:rsidR="00066E41">
        <w:rPr>
          <w:rFonts w:asciiTheme="minorHAnsi" w:hAnsiTheme="minorHAnsi"/>
          <w:sz w:val="22"/>
          <w:szCs w:val="22"/>
        </w:rPr>
        <w:t>J</w:t>
      </w:r>
      <w:r w:rsidRPr="00863BF6">
        <w:rPr>
          <w:rFonts w:asciiTheme="minorHAnsi" w:hAnsiTheme="minorHAnsi"/>
          <w:sz w:val="22"/>
          <w:szCs w:val="22"/>
        </w:rPr>
        <w:t xml:space="preserve">uventud </w:t>
      </w:r>
    </w:p>
    <w:p w:rsidR="00863BF6" w:rsidRPr="00863BF6" w:rsidRDefault="00863BF6" w:rsidP="00863BF6">
      <w:pPr>
        <w:pStyle w:val="Prrafodelista"/>
        <w:numPr>
          <w:ilvl w:val="0"/>
          <w:numId w:val="68"/>
        </w:numPr>
        <w:rPr>
          <w:rFonts w:asciiTheme="minorHAnsi" w:hAnsiTheme="minorHAnsi"/>
          <w:sz w:val="22"/>
          <w:szCs w:val="22"/>
        </w:rPr>
      </w:pPr>
      <w:r w:rsidRPr="00863BF6">
        <w:rPr>
          <w:rFonts w:asciiTheme="minorHAnsi" w:hAnsiTheme="minorHAnsi"/>
          <w:sz w:val="22"/>
          <w:szCs w:val="22"/>
        </w:rPr>
        <w:t xml:space="preserve">Comité de </w:t>
      </w:r>
      <w:r w:rsidR="00066E41">
        <w:rPr>
          <w:rFonts w:asciiTheme="minorHAnsi" w:hAnsiTheme="minorHAnsi"/>
          <w:sz w:val="22"/>
          <w:szCs w:val="22"/>
        </w:rPr>
        <w:t>S</w:t>
      </w:r>
      <w:r w:rsidRPr="00863BF6">
        <w:rPr>
          <w:rFonts w:asciiTheme="minorHAnsi" w:hAnsiTheme="minorHAnsi"/>
          <w:sz w:val="22"/>
          <w:szCs w:val="22"/>
        </w:rPr>
        <w:t xml:space="preserve">eguridad </w:t>
      </w:r>
      <w:r w:rsidR="00066E41">
        <w:rPr>
          <w:rFonts w:asciiTheme="minorHAnsi" w:hAnsiTheme="minorHAnsi"/>
          <w:sz w:val="22"/>
          <w:szCs w:val="22"/>
        </w:rPr>
        <w:t>A</w:t>
      </w:r>
      <w:r w:rsidRPr="00863BF6">
        <w:rPr>
          <w:rFonts w:asciiTheme="minorHAnsi" w:hAnsiTheme="minorHAnsi"/>
          <w:sz w:val="22"/>
          <w:szCs w:val="22"/>
        </w:rPr>
        <w:t xml:space="preserve">limentaria  </w:t>
      </w:r>
    </w:p>
    <w:p w:rsidR="009D6CD6" w:rsidRDefault="009D6CD6" w:rsidP="009D6CD6"/>
    <w:p w:rsidR="00066E41" w:rsidRDefault="00066E41">
      <w:r>
        <w:br w:type="page"/>
      </w:r>
    </w:p>
    <w:p w:rsidR="003B2265" w:rsidRDefault="003B2265" w:rsidP="00916E60">
      <w:pPr>
        <w:jc w:val="center"/>
      </w:pPr>
    </w:p>
    <w:p w:rsidR="003B2265" w:rsidRPr="00817127" w:rsidRDefault="003B2265" w:rsidP="00916E60">
      <w:pPr>
        <w:pStyle w:val="Ttulo1"/>
        <w:numPr>
          <w:ilvl w:val="0"/>
          <w:numId w:val="70"/>
        </w:numPr>
        <w:jc w:val="center"/>
        <w:rPr>
          <w:b/>
          <w:color w:val="auto"/>
          <w:sz w:val="22"/>
          <w:szCs w:val="22"/>
        </w:rPr>
      </w:pPr>
      <w:bookmarkStart w:id="16" w:name="_Toc437376005"/>
      <w:r w:rsidRPr="00817127">
        <w:rPr>
          <w:b/>
          <w:color w:val="auto"/>
          <w:sz w:val="22"/>
          <w:szCs w:val="22"/>
        </w:rPr>
        <w:t>ANALISIS DE INFORMACIÓN</w:t>
      </w:r>
      <w:bookmarkEnd w:id="16"/>
    </w:p>
    <w:p w:rsidR="009A2496" w:rsidRPr="00817127" w:rsidRDefault="00A85AD9" w:rsidP="00817127">
      <w:pPr>
        <w:pStyle w:val="Ttulo1"/>
        <w:rPr>
          <w:color w:val="auto"/>
          <w:sz w:val="22"/>
          <w:szCs w:val="22"/>
        </w:rPr>
      </w:pPr>
      <w:bookmarkStart w:id="17" w:name="_Toc437376006"/>
      <w:r w:rsidRPr="00817127">
        <w:rPr>
          <w:color w:val="auto"/>
          <w:sz w:val="22"/>
          <w:szCs w:val="22"/>
        </w:rPr>
        <w:t xml:space="preserve">6.1 CICLO VITAL: </w:t>
      </w:r>
      <w:r w:rsidR="009A2496" w:rsidRPr="00817127">
        <w:rPr>
          <w:color w:val="auto"/>
          <w:sz w:val="22"/>
          <w:szCs w:val="22"/>
        </w:rPr>
        <w:t>PRIMERA INFANCIA</w:t>
      </w:r>
      <w:bookmarkEnd w:id="17"/>
    </w:p>
    <w:p w:rsidR="009A2496" w:rsidRPr="00066E41" w:rsidRDefault="00A85AD9" w:rsidP="00817127">
      <w:pPr>
        <w:pStyle w:val="Ttulo2"/>
        <w:rPr>
          <w:color w:val="auto"/>
        </w:rPr>
      </w:pPr>
      <w:bookmarkStart w:id="18" w:name="_Toc437376007"/>
      <w:r w:rsidRPr="00817127">
        <w:rPr>
          <w:color w:val="auto"/>
          <w:sz w:val="22"/>
          <w:szCs w:val="22"/>
        </w:rPr>
        <w:t xml:space="preserve">6.1.1 </w:t>
      </w:r>
      <w:r w:rsidR="009A2496" w:rsidRPr="00817127">
        <w:rPr>
          <w:color w:val="auto"/>
          <w:sz w:val="22"/>
          <w:szCs w:val="22"/>
        </w:rPr>
        <w:t>CATEGORIA DE DERECHOS A LA EXISTENCIA</w:t>
      </w:r>
      <w:bookmarkEnd w:id="18"/>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3</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162"/>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335"/>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mortalidad en menores de un año(por mil nacidos vivos)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RUAF ND</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C141DE" w:rsidRDefault="009A2496" w:rsidP="00AA1C79">
      <w:pPr>
        <w:numPr>
          <w:ilvl w:val="0"/>
          <w:numId w:val="37"/>
        </w:numPr>
        <w:spacing w:after="0" w:line="240" w:lineRule="auto"/>
        <w:contextualSpacing/>
        <w:rPr>
          <w:rFonts w:eastAsia="Calibri" w:cs="Times New Roman"/>
        </w:rPr>
      </w:pPr>
      <w:r w:rsidRPr="00C141DE">
        <w:rPr>
          <w:rFonts w:eastAsia="Times New Roman" w:cs="Times New Roman"/>
          <w:b/>
          <w:lang w:val="es-ES" w:eastAsia="ar-SA"/>
        </w:rPr>
        <w:t>Información estadística</w:t>
      </w:r>
      <w:r w:rsidRPr="009A2496">
        <w:rPr>
          <w:rFonts w:eastAsia="Calibri" w:cs="Times New Roman"/>
          <w:noProof/>
          <w:lang w:val="es-ES" w:eastAsia="es-ES"/>
        </w:rPr>
        <w:drawing>
          <wp:inline distT="0" distB="0" distL="0" distR="0">
            <wp:extent cx="5116720" cy="3299791"/>
            <wp:effectExtent l="19050" t="0" r="26780" b="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2496" w:rsidRPr="009A2496" w:rsidRDefault="009A2496" w:rsidP="00A92D87">
      <w:pPr>
        <w:spacing w:after="0" w:line="240" w:lineRule="auto"/>
        <w:rPr>
          <w:rFonts w:eastAsia="Calibri" w:cs="Times New Roman"/>
        </w:rPr>
      </w:pPr>
    </w:p>
    <w:p w:rsidR="001F77EF" w:rsidRDefault="001F77EF" w:rsidP="001F77EF">
      <w:pPr>
        <w:suppressAutoHyphens/>
        <w:spacing w:after="0" w:line="240" w:lineRule="auto"/>
        <w:ind w:left="360"/>
        <w:contextualSpacing/>
        <w:jc w:val="both"/>
        <w:rPr>
          <w:rFonts w:eastAsia="Times New Roman" w:cs="Times New Roman"/>
          <w:b/>
          <w:lang w:val="es-ES" w:eastAsia="ar-SA"/>
        </w:rPr>
      </w:pPr>
    </w:p>
    <w:p w:rsidR="001F77EF" w:rsidRDefault="001F77EF" w:rsidP="001F77EF">
      <w:pPr>
        <w:suppressAutoHyphens/>
        <w:spacing w:after="0" w:line="240" w:lineRule="auto"/>
        <w:ind w:left="360"/>
        <w:contextualSpacing/>
        <w:jc w:val="both"/>
        <w:rPr>
          <w:rFonts w:eastAsia="Times New Roman" w:cs="Times New Roman"/>
          <w:b/>
          <w:lang w:val="es-ES" w:eastAsia="ar-SA"/>
        </w:rPr>
      </w:pPr>
    </w:p>
    <w:p w:rsidR="009A2496" w:rsidRPr="001F77EF" w:rsidRDefault="009A2496" w:rsidP="001F77EF">
      <w:pPr>
        <w:pStyle w:val="Prrafodelista"/>
        <w:numPr>
          <w:ilvl w:val="0"/>
          <w:numId w:val="37"/>
        </w:numPr>
        <w:jc w:val="both"/>
        <w:rPr>
          <w:rFonts w:asciiTheme="majorHAnsi" w:hAnsiTheme="majorHAnsi"/>
          <w:b/>
        </w:rPr>
      </w:pPr>
      <w:r w:rsidRPr="001F77EF">
        <w:rPr>
          <w:rFonts w:asciiTheme="majorHAnsi" w:hAnsiTheme="majorHAnsi"/>
          <w:b/>
        </w:rPr>
        <w:t>Situación detectada</w:t>
      </w:r>
    </w:p>
    <w:p w:rsidR="001F77EF" w:rsidRPr="001F77EF" w:rsidRDefault="001F77EF" w:rsidP="001F77EF">
      <w:pPr>
        <w:pStyle w:val="Prrafodelista"/>
        <w:jc w:val="both"/>
        <w:rPr>
          <w:rFonts w:asciiTheme="majorHAnsi" w:hAnsiTheme="majorHAnsi"/>
          <w:b/>
        </w:rPr>
      </w:pPr>
    </w:p>
    <w:p w:rsidR="009A2496" w:rsidRPr="009A2496" w:rsidRDefault="009A2496" w:rsidP="001F77EF">
      <w:pPr>
        <w:spacing w:after="200" w:line="240" w:lineRule="auto"/>
        <w:ind w:left="360"/>
        <w:jc w:val="both"/>
        <w:rPr>
          <w:rFonts w:eastAsia="Calibri" w:cs="Times New Roman"/>
        </w:rPr>
      </w:pPr>
      <w:r w:rsidRPr="009A2496">
        <w:rPr>
          <w:rFonts w:eastAsia="Calibri" w:cs="Times New Roman"/>
        </w:rPr>
        <w:t xml:space="preserve">La mortalidad infantil es un evento centinela que vigila la calidad de los sistemas de salud del mundo. </w:t>
      </w:r>
      <w:r w:rsidRPr="009A2496">
        <w:rPr>
          <w:rFonts w:eastAsia="Calibri" w:cs="Arial"/>
        </w:rPr>
        <w:t>La tasa de mortalidad infantil (TMI) es el número de defunciones de niños-as menores de un año por cada 1,000 nacidos vivos en un determinado año. Es un indicador útil de la condición de la salud no solo en la población infantil, sino de toda la población y de las condiciones socioeconómicas en las que viven.</w:t>
      </w:r>
      <w:r w:rsidRPr="009A2496">
        <w:rPr>
          <w:rFonts w:eastAsia="Calibri" w:cs="Times New Roman"/>
        </w:rPr>
        <w:t xml:space="preserve"> (Indicadores de Salud Infantil Organización Mundial de la Salud- OMS).</w:t>
      </w:r>
    </w:p>
    <w:p w:rsidR="009A2496" w:rsidRPr="009A2496" w:rsidRDefault="009A2496" w:rsidP="001F77EF">
      <w:pPr>
        <w:spacing w:after="200" w:line="240" w:lineRule="auto"/>
        <w:ind w:left="360"/>
        <w:jc w:val="both"/>
        <w:rPr>
          <w:rFonts w:eastAsia="Calibri" w:cs="Times New Roman"/>
        </w:rPr>
      </w:pPr>
      <w:r w:rsidRPr="009A2496">
        <w:rPr>
          <w:rFonts w:eastAsia="Calibri" w:cs="Times New Roman"/>
        </w:rPr>
        <w:t>El comportamiento de la tasa de mortalidad en niños y niñas menores de un año, aumentó en el año 2011; sin embargo, para 2012, 2013 y 2014 la tasa anual se reduce con relación a la meta, teniendo un aumento en el año 2014, esto de acuerdo con los indicadores municipales. Al relacionar estos datos con las causas de mortalidad, es necesario analizar y hacer mejores esfuerzos frente a lo relacionado con el cuidado materno y perinatal, a nivel institucional y comunitario, seguimiento, valoración y cuidado nutricional de la gestante, así como la identificación y manejo del riesgo preconcepcional.</w:t>
      </w:r>
    </w:p>
    <w:p w:rsidR="009A2496" w:rsidRPr="001F77EF" w:rsidRDefault="009A2496" w:rsidP="001F77EF">
      <w:pPr>
        <w:pStyle w:val="Prrafodelista"/>
        <w:numPr>
          <w:ilvl w:val="0"/>
          <w:numId w:val="37"/>
        </w:numPr>
        <w:rPr>
          <w:rFonts w:asciiTheme="majorHAnsi" w:hAnsiTheme="majorHAnsi"/>
          <w:b/>
        </w:rPr>
      </w:pPr>
      <w:r w:rsidRPr="001F77EF">
        <w:rPr>
          <w:rFonts w:asciiTheme="majorHAnsi" w:hAnsiTheme="majorHAnsi"/>
          <w:b/>
        </w:rPr>
        <w:t xml:space="preserve">Insumos </w:t>
      </w:r>
    </w:p>
    <w:p w:rsidR="001F77EF" w:rsidRDefault="009A2496" w:rsidP="001F77EF">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Dentro del Plan de Desarrollo Municipal “Pasto: Transformación productiva”, se encuentra contemplado éste indicador, con el fin de disminuir la mortalidad en niños y niñas menores de 1 año.  La Secretaría de Salud Municipal cuenta con un equipo de cuatro contratistas que conforman prioridad de salud infantil (tres enfermeras y un médico) y una funcionaria de planta como Coordinadora de la prioridad, para la ejecución de acciones relacionadas con propender la salud de los niños y niñas del Municipio,  desarrollando actividades de articulación intersectorial, seguimiento, evaluación y asistencia técnica a IPS y EPS,  fortalecimiento de la estrategia AIEPI en el componente clínico y comunitario y la implementación del Plan de Salud Pública de Intervenciones Colectivas.</w:t>
      </w:r>
    </w:p>
    <w:p w:rsidR="009A2496" w:rsidRPr="009A2496" w:rsidRDefault="009A2496" w:rsidP="00A92D87">
      <w:pPr>
        <w:suppressAutoHyphens/>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1F77EF">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Adicionalmente se cuenta con un equipo de Unidades Centinelas en algunas zonas del área rural como apoyo a la comunidad.</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1F77EF">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1F77EF">
      <w:pPr>
        <w:spacing w:after="200" w:line="240" w:lineRule="auto"/>
        <w:ind w:left="360"/>
        <w:jc w:val="both"/>
        <w:rPr>
          <w:rFonts w:eastAsia="Calibri" w:cs="Arial"/>
        </w:rPr>
      </w:pPr>
      <w:r w:rsidRPr="009A2496">
        <w:rPr>
          <w:rFonts w:eastAsia="Calibri" w:cs="Times New Roman"/>
        </w:rPr>
        <w:t xml:space="preserve">El municipio de Pasto, a través de la Secretaría de Salud, se ejecuta un proyecto denominado “NIÑOS Y NIÑAS SALUDABLES DEL MUNICIPIO DE </w:t>
      </w:r>
      <w:r w:rsidRPr="009A2496">
        <w:rPr>
          <w:rFonts w:eastAsia="Calibri" w:cs="Arial"/>
        </w:rPr>
        <w:t>PASTO” que busca lograr la articulación entre los actores inter e intrainstitucionales que intervienen en la Salud infantil, y el seguimiento, evaluación y asistencia técnica a EPS e IPS con el fin de verificar la adherencia a guías, normas, estrategias y protocolos.</w:t>
      </w:r>
    </w:p>
    <w:p w:rsidR="009A2496" w:rsidRPr="009A2496" w:rsidRDefault="009A2496" w:rsidP="001F77EF">
      <w:pPr>
        <w:spacing w:after="200" w:line="240" w:lineRule="auto"/>
        <w:ind w:left="360"/>
        <w:jc w:val="both"/>
        <w:rPr>
          <w:rFonts w:eastAsia="Calibri" w:cs="Arial"/>
        </w:rPr>
      </w:pPr>
      <w:r w:rsidRPr="009A2496">
        <w:rPr>
          <w:rFonts w:eastAsia="Calibri" w:cs="Arial"/>
        </w:rPr>
        <w:t>Además se aplica la Ruta de atención a la primera infancia e infancia enfocado a orientar y mejorar las actividades relacionadas con la salud infantil de nuestro Municipio.</w:t>
      </w:r>
    </w:p>
    <w:p w:rsidR="009A2496" w:rsidRPr="009A2496" w:rsidRDefault="009A2496" w:rsidP="001F77EF">
      <w:pPr>
        <w:spacing w:after="200" w:line="240" w:lineRule="auto"/>
        <w:ind w:left="360"/>
        <w:jc w:val="both"/>
        <w:rPr>
          <w:rFonts w:eastAsia="Calibri" w:cs="Arial"/>
        </w:rPr>
      </w:pPr>
      <w:r w:rsidRPr="009A2496">
        <w:rPr>
          <w:rFonts w:eastAsia="Calibri" w:cs="Arial"/>
        </w:rPr>
        <w:t>También se desarrolla el Plan de Intervenciones colectivas, a través del cual se ejecuta actividades de articulación y empoderamiento de la salud con la comunidad.</w:t>
      </w:r>
    </w:p>
    <w:p w:rsid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1F77EF">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numPr>
          <w:ilvl w:val="0"/>
          <w:numId w:val="1"/>
        </w:numPr>
        <w:spacing w:after="0" w:line="240" w:lineRule="auto"/>
        <w:contextualSpacing/>
        <w:jc w:val="both"/>
        <w:rPr>
          <w:rFonts w:eastAsia="Times New Roman" w:cs="Arial"/>
          <w:b/>
          <w:bCs/>
          <w:color w:val="000000"/>
          <w:lang w:val="es-ES_tradnl" w:eastAsia="es-ES"/>
        </w:rPr>
      </w:pPr>
      <w:r w:rsidRPr="009A2496">
        <w:rPr>
          <w:rFonts w:eastAsia="Times New Roman" w:cs="Arial"/>
          <w:color w:val="000000"/>
          <w:lang w:val="es-ES" w:eastAsia="ar-SA"/>
        </w:rPr>
        <w:t>Política pública Municipal de primera infancia e infancia operando.</w:t>
      </w:r>
    </w:p>
    <w:p w:rsidR="009A2496" w:rsidRPr="009A2496" w:rsidRDefault="009A2496" w:rsidP="00A92D87">
      <w:pPr>
        <w:numPr>
          <w:ilvl w:val="0"/>
          <w:numId w:val="1"/>
        </w:numPr>
        <w:spacing w:after="0" w:line="240" w:lineRule="auto"/>
        <w:jc w:val="both"/>
        <w:rPr>
          <w:rFonts w:eastAsia="Calibri" w:cs="Arial"/>
          <w:color w:val="000000"/>
        </w:rPr>
      </w:pPr>
      <w:r w:rsidRPr="009A2496">
        <w:rPr>
          <w:rFonts w:eastAsia="Calibri" w:cs="Arial"/>
          <w:color w:val="000000"/>
        </w:rPr>
        <w:t>Lograda la adherencia a guías, normas técnicas y estrategias relacionadas con la Salud infantil del Municipio.</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 xml:space="preserve">Implementada la estrategia de movilización social para el empoderamiento de la comunidad. </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Ruta de atención integral a la primera infancia e infancia</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Componente AIEPI comunitario fortalecido a través de capacitaciones a actores sociales.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1F77EF">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Política pública Municipal de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Ruta de atención integral a la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Estrategia AIEPI operando en IPS públicas y privadas</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Unidades Centinelas (11) operando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1F77EF">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Positivo: Se evidencian avances en la Estrategia AIEPI en las IPS públicas y privadas.  El trabajo comunitario con la estrategia y las Unidades centinelas se ha evidenciado en los indicadores de mortalidad y morbilidad, y en el conocimiento de los aspectos con la salud infantil.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1F77EF">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1F77EF">
      <w:pPr>
        <w:spacing w:after="0" w:line="240" w:lineRule="auto"/>
        <w:ind w:left="360"/>
        <w:jc w:val="both"/>
        <w:rPr>
          <w:rFonts w:eastAsia="Calibri" w:cs="Times New Roman"/>
        </w:rPr>
      </w:pPr>
      <w:r w:rsidRPr="009A2496">
        <w:rPr>
          <w:rFonts w:eastAsia="Calibri" w:cs="Times New Roman"/>
        </w:rPr>
        <w:t xml:space="preserve">Es importante fortalecer la articulación </w:t>
      </w:r>
      <w:r w:rsidR="006B0C6D" w:rsidRPr="009A2496">
        <w:rPr>
          <w:rFonts w:eastAsia="Calibri" w:cs="Times New Roman"/>
        </w:rPr>
        <w:t>interinstitucional, con</w:t>
      </w:r>
      <w:r w:rsidRPr="009A2496">
        <w:rPr>
          <w:rFonts w:eastAsia="Calibri" w:cs="Times New Roman"/>
        </w:rPr>
        <w:t xml:space="preserve"> el fin de continuar aunando esfuerzos para evitar que los niños y niñas se nos mueran por enfermedades prevenibles.  Esto se logra trabajando de la mano con las IPS, EPS y con la comunidad en general, para que reconozcan los signos de peligro y acudan oportunamente a los centros de salud más cercanos.</w:t>
      </w:r>
    </w:p>
    <w:p w:rsidR="009A2496" w:rsidRPr="009A2496" w:rsidRDefault="009A2496" w:rsidP="00A92D87">
      <w:pPr>
        <w:spacing w:after="0" w:line="240" w:lineRule="auto"/>
        <w:jc w:val="both"/>
        <w:rPr>
          <w:rFonts w:eastAsia="Calibri" w:cs="Times New Roman"/>
        </w:rPr>
      </w:pPr>
    </w:p>
    <w:p w:rsidR="009A2496" w:rsidRPr="009A2496" w:rsidRDefault="009A2496" w:rsidP="001F77EF">
      <w:pPr>
        <w:spacing w:after="0" w:line="240" w:lineRule="auto"/>
        <w:ind w:left="360"/>
        <w:jc w:val="both"/>
        <w:rPr>
          <w:rFonts w:eastAsia="Calibri" w:cs="Times New Roman"/>
        </w:rPr>
      </w:pPr>
      <w:r w:rsidRPr="009A2496">
        <w:rPr>
          <w:rFonts w:eastAsia="Calibri" w:cs="Times New Roman"/>
          <w:color w:val="000000"/>
          <w:lang w:val="es-ES_tradnl"/>
        </w:rPr>
        <w:t xml:space="preserve">Algunos aspectos como los bajos recursos económicos, factores culturales y educativos, pueden generar un impacto negativo, es por eso que el trabajo se debe enfocar en la educación a la comunidad a través del AIEPI Comunitario y la adecuada priorización de problemas para una oportuna intervención de los mismos. Es importante reconocer que la salud infantil empieza desde la preconcepción hasta los cinco años, por lo tanto dichas actividades se deben implementar desde las mujeres en edad fértil, gestación, parto, posparto y en el nacimiento hasta los 5 años.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1F77EF">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1F77EF">
      <w:pPr>
        <w:spacing w:after="200" w:line="240" w:lineRule="auto"/>
        <w:ind w:left="360"/>
        <w:jc w:val="both"/>
        <w:rPr>
          <w:rFonts w:eastAsia="Calibri" w:cs="Times New Roman"/>
        </w:rPr>
      </w:pPr>
      <w:r w:rsidRPr="009A2496">
        <w:rPr>
          <w:rFonts w:eastAsia="Calibri" w:cs="Times New Roman"/>
        </w:rPr>
        <w:t xml:space="preserve">Se debe continuar trabajando en el seguimiento, evaluación y asistencia técnica con el fin de vigilar que las normas, guías, protocolos y estrategias se estén aplicando satisfactoriamente. </w:t>
      </w:r>
    </w:p>
    <w:p w:rsidR="009A2496" w:rsidRPr="009A2496" w:rsidRDefault="009A2496" w:rsidP="001F77EF">
      <w:pPr>
        <w:spacing w:after="200" w:line="240" w:lineRule="auto"/>
        <w:ind w:left="360"/>
        <w:jc w:val="both"/>
        <w:rPr>
          <w:rFonts w:eastAsia="Calibri" w:cs="Times New Roman"/>
        </w:rPr>
      </w:pPr>
      <w:r w:rsidRPr="009A2496">
        <w:rPr>
          <w:rFonts w:eastAsia="Calibri" w:cs="Times New Roman"/>
        </w:rPr>
        <w:t xml:space="preserve">Dentro del mejoramiento de la calidad de atención es necesario fortalecer la aplicación de la Estrategia AIEPI, y en el componente comunitario las Unidades Centinelas, siendo ellas las </w:t>
      </w:r>
      <w:r w:rsidRPr="009A2496">
        <w:rPr>
          <w:rFonts w:eastAsia="Calibri" w:cs="Times New Roman"/>
        </w:rPr>
        <w:lastRenderedPageBreak/>
        <w:t xml:space="preserve">primeras promotoras de la educación con la comunidad, y el puente de articulación con la prestación, en el marco de la referencia y contrareferencia. </w:t>
      </w:r>
    </w:p>
    <w:p w:rsidR="009A2496" w:rsidRDefault="009A2496" w:rsidP="001F77EF">
      <w:pPr>
        <w:spacing w:after="200" w:line="240" w:lineRule="auto"/>
        <w:ind w:left="360"/>
        <w:jc w:val="both"/>
        <w:rPr>
          <w:rFonts w:eastAsia="Calibri" w:cs="Times New Roman"/>
        </w:rPr>
      </w:pPr>
      <w:r w:rsidRPr="009A2496">
        <w:rPr>
          <w:rFonts w:eastAsia="Calibri" w:cs="Times New Roman"/>
        </w:rPr>
        <w:t xml:space="preserve">De igual manera, la ruta de atención integral a la primera infancia e infancia, es una estrategia clave para orientar el trabajo de las EPS, IPS y actores sociales que intervienen en la misma, y garantizar la mejor atención a los niños y niñas de nuestro Municipio. </w:t>
      </w: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22"/>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9E2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Porcentaje de nacidos vivos con 4 o más controles prenatales</w:t>
            </w:r>
          </w:p>
        </w:tc>
      </w:tr>
      <w:tr w:rsidR="009A2496" w:rsidRPr="009A2496" w:rsidTr="00000F81">
        <w:trPr>
          <w:trHeight w:val="332"/>
          <w:jc w:val="center"/>
        </w:trPr>
        <w:tc>
          <w:tcPr>
            <w:tcW w:w="8828" w:type="dxa"/>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RUAF ND</w:t>
            </w:r>
          </w:p>
        </w:tc>
      </w:tr>
      <w:tr w:rsidR="009A2496" w:rsidRPr="009A2496" w:rsidTr="00000F81">
        <w:trPr>
          <w:trHeight w:val="458"/>
          <w:jc w:val="center"/>
        </w:trPr>
        <w:tc>
          <w:tcPr>
            <w:tcW w:w="8828" w:type="dxa"/>
            <w:shd w:val="clear" w:color="auto" w:fill="D9E2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9E2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38"/>
        </w:numPr>
        <w:suppressAutoHyphens/>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360"/>
        <w:contextualSpacing/>
        <w:rPr>
          <w:rFonts w:eastAsia="Times New Roman" w:cs="Times New Roman"/>
          <w:b/>
          <w:lang w:val="es-ES" w:eastAsia="ar-SA"/>
        </w:rPr>
      </w:pP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743575" cy="3028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3028950"/>
                    </a:xfrm>
                    <a:prstGeom prst="rect">
                      <a:avLst/>
                    </a:prstGeom>
                    <a:noFill/>
                    <a:ln>
                      <a:noFill/>
                    </a:ln>
                  </pic:spPr>
                </pic:pic>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RUAF-ND</w:t>
      </w:r>
    </w:p>
    <w:p w:rsidR="009A2496" w:rsidRPr="009A2496" w:rsidRDefault="009A2496" w:rsidP="00A92D87">
      <w:pPr>
        <w:spacing w:after="0" w:line="240" w:lineRule="auto"/>
        <w:rPr>
          <w:rFonts w:eastAsia="Calibri" w:cs="Times New Roman"/>
        </w:rPr>
      </w:pP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38"/>
        </w:numPr>
        <w:autoSpaceDE w:val="0"/>
        <w:autoSpaceDN w:val="0"/>
        <w:adjustRightInd w:val="0"/>
        <w:spacing w:after="0" w:line="240" w:lineRule="auto"/>
        <w:jc w:val="both"/>
        <w:rPr>
          <w:rFonts w:eastAsia="Calibri" w:cs="Arial"/>
          <w:b/>
          <w:color w:val="000000"/>
          <w:lang w:val="es-ES" w:eastAsia="es-ES"/>
        </w:rPr>
      </w:pPr>
      <w:r w:rsidRPr="009A2496">
        <w:rPr>
          <w:rFonts w:eastAsia="Calibri" w:cs="Arial"/>
          <w:b/>
          <w:color w:val="000000"/>
          <w:lang w:val="es-ES" w:eastAsia="es-ES"/>
        </w:rPr>
        <w:t>Situación Encontrada</w:t>
      </w:r>
    </w:p>
    <w:p w:rsidR="009A2496" w:rsidRPr="009A2496" w:rsidRDefault="009A2496" w:rsidP="001F77EF">
      <w:pPr>
        <w:autoSpaceDE w:val="0"/>
        <w:autoSpaceDN w:val="0"/>
        <w:adjustRightInd w:val="0"/>
        <w:spacing w:after="0" w:line="240" w:lineRule="auto"/>
        <w:ind w:left="360"/>
        <w:jc w:val="both"/>
        <w:rPr>
          <w:rFonts w:eastAsia="Calibri" w:cs="Arial"/>
          <w:color w:val="000000"/>
          <w:lang w:val="es-ES" w:eastAsia="es-ES"/>
        </w:rPr>
      </w:pPr>
      <w:r w:rsidRPr="009A2496">
        <w:rPr>
          <w:rFonts w:eastAsia="Calibri" w:cs="Arial"/>
          <w:color w:val="000000"/>
          <w:lang w:val="es-ES" w:eastAsia="es-ES"/>
        </w:rPr>
        <w:t xml:space="preserve">De acuerdo al informe estadístico miramos que se ha mantenido el porcentaje de 4 o </w:t>
      </w:r>
      <w:r w:rsidR="006B0C6D" w:rsidRPr="009A2496">
        <w:rPr>
          <w:rFonts w:eastAsia="Calibri" w:cs="Arial"/>
          <w:color w:val="000000"/>
          <w:lang w:val="es-ES" w:eastAsia="es-ES"/>
        </w:rPr>
        <w:t>más</w:t>
      </w:r>
      <w:r w:rsidRPr="009A2496">
        <w:rPr>
          <w:rFonts w:eastAsia="Calibri" w:cs="Arial"/>
          <w:color w:val="000000"/>
          <w:lang w:val="es-ES" w:eastAsia="es-ES"/>
        </w:rPr>
        <w:t xml:space="preserve"> controles prenatales en un 89.2% que se considera bueno para Garantizar una maternidad segura sustentada bajo un enfoque integral para el desarrollo pleno de la salud sexual y reproductiva que es uno de los objetivos de desarrollo del milenio, en donde los mayores esfuerzos se han concentrado en la reducción de las muertes maternas por causas médicas y no médicas que son totalmente prevenibles mediante la oportuna aplicación de la tecnología disponible, los controles prenatales de calidad que permitan identificar los riesgos en la gestante para actuar de manera inmediata evitando todos los eventos relacionados con la reproducción de la mujer, así como las acciones de promoción y prevención y estrategias de acción intersectorial e interinstitucional.</w:t>
      </w:r>
    </w:p>
    <w:p w:rsidR="009A2496" w:rsidRPr="009A2496" w:rsidRDefault="009A2496" w:rsidP="00A92D87">
      <w:pPr>
        <w:autoSpaceDE w:val="0"/>
        <w:autoSpaceDN w:val="0"/>
        <w:adjustRightInd w:val="0"/>
        <w:spacing w:after="0" w:line="240" w:lineRule="auto"/>
        <w:jc w:val="both"/>
        <w:rPr>
          <w:rFonts w:eastAsia="Calibri" w:cs="Arial"/>
          <w:color w:val="000000"/>
          <w:lang w:val="es-ES" w:eastAsia="es-ES"/>
        </w:rPr>
      </w:pPr>
    </w:p>
    <w:p w:rsidR="009A2496" w:rsidRPr="009A2496" w:rsidRDefault="009A2496" w:rsidP="001F77EF">
      <w:pPr>
        <w:autoSpaceDE w:val="0"/>
        <w:autoSpaceDN w:val="0"/>
        <w:adjustRightInd w:val="0"/>
        <w:spacing w:after="0" w:line="240" w:lineRule="auto"/>
        <w:ind w:left="360"/>
        <w:jc w:val="both"/>
        <w:rPr>
          <w:rFonts w:eastAsia="Calibri" w:cs="Arial"/>
          <w:color w:val="000000"/>
          <w:lang w:val="es-ES" w:eastAsia="es-ES"/>
        </w:rPr>
      </w:pPr>
      <w:r w:rsidRPr="009A2496">
        <w:rPr>
          <w:rFonts w:eastAsia="Calibri" w:cs="Arial"/>
          <w:color w:val="000000"/>
          <w:lang w:val="es-ES" w:eastAsia="es-ES"/>
        </w:rPr>
        <w:t>Es prioridad mundial la salud materna e infantil, Colombia se ha comprometido con los objetivos de desarrollo del milenio (ODM), el ODM número 5 sobre salud materna busca disminuir en ¾ partes para el año 2015 las muertes maternas en el mundo, en el CONPES 140 de 2011 sobre las metas de Colombia para los objetivos del milenio se establece para el año 2015 la meta de 48.8 muertes maternas por cada 100.000 nacidos vivos. En el plan territorial de salud pública del municipio de Pasto fijo una meta para 2014 de  mantener  por debajo de 18 por 100.000 nacidos vivos la tasa de mortalidad materna en el municipio, lo cual se ha cumplido hasta el 2014, presentando una tasa de 0 muertes maternas en el municipio de Pasto.</w:t>
      </w:r>
    </w:p>
    <w:p w:rsidR="009A2496" w:rsidRPr="009A2496" w:rsidRDefault="009A2496" w:rsidP="00A92D87">
      <w:pPr>
        <w:autoSpaceDE w:val="0"/>
        <w:autoSpaceDN w:val="0"/>
        <w:adjustRightInd w:val="0"/>
        <w:spacing w:after="0" w:line="240" w:lineRule="auto"/>
        <w:jc w:val="both"/>
        <w:rPr>
          <w:rFonts w:eastAsia="Calibri" w:cs="Arial"/>
          <w:color w:val="000000"/>
          <w:lang w:val="es-ES" w:eastAsia="es-ES"/>
        </w:rPr>
      </w:pPr>
    </w:p>
    <w:p w:rsidR="009A2496" w:rsidRPr="009A2496" w:rsidRDefault="009A2496" w:rsidP="001F77EF">
      <w:pPr>
        <w:spacing w:after="0" w:line="240" w:lineRule="auto"/>
        <w:ind w:left="360"/>
        <w:jc w:val="both"/>
        <w:rPr>
          <w:rFonts w:eastAsia="Calibri" w:cs="Times New Roman"/>
          <w:b/>
        </w:rPr>
      </w:pPr>
      <w:r w:rsidRPr="009A2496">
        <w:rPr>
          <w:rFonts w:eastAsia="Calibri" w:cs="Times New Roman"/>
        </w:rPr>
        <w:t>En Colombia uno de los derechos fundamentales de las mujeres es la garantía de la atención materna integral, establecida desde la declaración internacional de derechos humanos, la conferencia de El Cairo y la Constitución Política de Colombia.</w:t>
      </w:r>
    </w:p>
    <w:p w:rsidR="009A2496" w:rsidRPr="009A2496" w:rsidRDefault="009A2496" w:rsidP="00A92D87">
      <w:pPr>
        <w:spacing w:after="0" w:line="240" w:lineRule="auto"/>
        <w:jc w:val="both"/>
        <w:rPr>
          <w:rFonts w:eastAsia="Calibri" w:cs="Times New Roman"/>
          <w:b/>
        </w:rPr>
      </w:pPr>
    </w:p>
    <w:p w:rsidR="009A2496" w:rsidRPr="009A2496" w:rsidRDefault="009A2496" w:rsidP="00A92D87">
      <w:pPr>
        <w:numPr>
          <w:ilvl w:val="0"/>
          <w:numId w:val="3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Default="009A2496" w:rsidP="00C81BDF">
      <w:pPr>
        <w:spacing w:after="0" w:line="240" w:lineRule="auto"/>
        <w:ind w:left="360" w:firstLine="345"/>
        <w:jc w:val="both"/>
        <w:rPr>
          <w:rFonts w:eastAsia="Calibri" w:cs="Times New Roman"/>
        </w:rPr>
      </w:pPr>
      <w:r w:rsidRPr="009A2496">
        <w:rPr>
          <w:rFonts w:eastAsia="Calibri" w:cs="Times New Roman"/>
        </w:rPr>
        <w:t>La Secretaria Municipal de Salud de Pasto, Incluyo el indicador Porcentaje de NV con 4 o más controles prenatales,  en los Planes de Desarrollo y Territorial de Salud del municipio, 2012 - 2015  y destino a la Prioridad de Sexualidad Derechos sexuales y derechos Reproductivos un total de</w:t>
      </w:r>
      <w:r w:rsidRPr="009A2496">
        <w:rPr>
          <w:rFonts w:eastAsia="Times New Roman" w:cs="Calibri"/>
          <w:color w:val="000000"/>
          <w:lang w:eastAsia="es-CO"/>
        </w:rPr>
        <w:t xml:space="preserve"> </w:t>
      </w:r>
      <w:r w:rsidRPr="009A2496">
        <w:rPr>
          <w:rFonts w:eastAsia="Times New Roman" w:cs="Calibri"/>
          <w:lang w:eastAsia="es-CO"/>
        </w:rPr>
        <w:t xml:space="preserve">$1.090.916.00, distribuidos así: año 2012, $278.849.398, año 2013  $ 278.849.398, año 2014, $308.169.560, año 2015 $ 225.048.400. </w:t>
      </w:r>
      <w:r w:rsidR="00F87E25" w:rsidRPr="009A2496">
        <w:rPr>
          <w:rFonts w:eastAsia="Calibri" w:cs="Times New Roman"/>
        </w:rPr>
        <w:t>Los</w:t>
      </w:r>
      <w:r w:rsidRPr="009A2496">
        <w:rPr>
          <w:rFonts w:eastAsia="Calibri" w:cs="Times New Roman"/>
        </w:rPr>
        <w:t xml:space="preserve"> cuales se han invertido en el cumplimiento de las competencias de seguimiento, evaluación, vigilancia y control, asistencia técnica y articulación intersectorial en el marco de los componentes de dicha prioridad</w:t>
      </w:r>
      <w:r w:rsidR="00F87E25" w:rsidRPr="009A2496">
        <w:rPr>
          <w:rFonts w:eastAsia="Calibri" w:cs="Times New Roman"/>
        </w:rPr>
        <w:t>, promoción</w:t>
      </w:r>
      <w:r w:rsidRPr="009A2496">
        <w:rPr>
          <w:rFonts w:eastAsia="Calibri" w:cs="Times New Roman"/>
        </w:rPr>
        <w:t xml:space="preserve"> y empoderamiento de los Derechos Sexuales y Reproductivos y la mejora de la atención </w:t>
      </w:r>
      <w:r w:rsidR="00F87E25" w:rsidRPr="009A2496">
        <w:rPr>
          <w:rFonts w:eastAsia="Calibri" w:cs="Times New Roman"/>
        </w:rPr>
        <w:t>de los</w:t>
      </w:r>
      <w:r w:rsidRPr="009A2496">
        <w:rPr>
          <w:rFonts w:eastAsia="Calibri" w:cs="Times New Roman"/>
        </w:rPr>
        <w:t xml:space="preserve"> servicios de SSR. Adicional se cuenta con un equipo de profesionales contratistas disciplina: una médica, 2 enfermeras y una tecnóloga en promoción de la salud, quienes han apoyado el desarrollo de cada una de las actividades ejecutadas en el marco del Plan Operativo del Plan Territorial de Salud del Municipio. Además hay un contrato de acciones colectivas con Pasto Salud ESE, quienes con la asesoría de la Secretaria de Salud, lideran un proceso comunitario con organizaciones sociales para la formulación de una política </w:t>
      </w:r>
      <w:r w:rsidRPr="009A2496">
        <w:rPr>
          <w:rFonts w:eastAsia="Calibri" w:cs="Times New Roman"/>
        </w:rPr>
        <w:lastRenderedPageBreak/>
        <w:t>pública de Salud Colectiva que contribuya al mejoramiento de la calidad de vida de la población del Municipio.</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D6CD6" w:rsidRDefault="009A2496" w:rsidP="009D6CD6">
      <w:pPr>
        <w:numPr>
          <w:ilvl w:val="0"/>
          <w:numId w:val="38"/>
        </w:numPr>
        <w:spacing w:after="0" w:line="240" w:lineRule="auto"/>
        <w:contextualSpacing/>
        <w:jc w:val="both"/>
        <w:rPr>
          <w:rFonts w:eastAsia="Times New Roman" w:cs="Times New Roman"/>
          <w:b/>
          <w:lang w:val="es-ES" w:eastAsia="ar-SA"/>
        </w:rPr>
      </w:pPr>
      <w:r w:rsidRPr="009D6CD6">
        <w:rPr>
          <w:rFonts w:eastAsia="Times New Roman" w:cs="Times New Roman"/>
          <w:b/>
          <w:lang w:val="es-ES" w:eastAsia="ar-SA"/>
        </w:rPr>
        <w:t>Programas, Proyectos y Acciones para mejorar la situación del indicador (2012 -2015):</w:t>
      </w:r>
    </w:p>
    <w:p w:rsidR="009A2496" w:rsidRPr="009A2496" w:rsidRDefault="009A2496" w:rsidP="00C81BDF">
      <w:pPr>
        <w:spacing w:after="0" w:line="240" w:lineRule="auto"/>
        <w:ind w:left="360"/>
        <w:jc w:val="both"/>
        <w:rPr>
          <w:rFonts w:eastAsia="Times New Roman" w:cs="Times New Roman"/>
          <w:lang w:val="es-ES" w:eastAsia="es-ES"/>
        </w:rPr>
      </w:pPr>
      <w:r w:rsidRPr="009A2496">
        <w:rPr>
          <w:rFonts w:eastAsia="Times New Roman" w:cs="Times New Roman"/>
          <w:lang w:val="es-ES" w:eastAsia="es-ES"/>
        </w:rPr>
        <w:t xml:space="preserve">Seguimientos a Modelo de Gestión del Riesgo implementado por las EPS, que coadyuva en que las gestantes afiliadas accedan oportunamente al control prenatal, antes de la semana 14  y que lo realicen periódicamente ya que el riesgo puede cambiar de un periodo a otro. También es importante el seguimiento a la implementación de la estrategia: “Mapeo de Gestante” en las IPS de baja complejidad, con el objeto de monitorear permanentemente a las gestantes y lograr que su parto sea atendido en una Institución de </w:t>
      </w:r>
      <w:r w:rsidR="006B0C6D" w:rsidRPr="009A2496">
        <w:rPr>
          <w:rFonts w:eastAsia="Times New Roman" w:cs="Times New Roman"/>
          <w:lang w:val="es-ES" w:eastAsia="es-ES"/>
        </w:rPr>
        <w:t>salud</w:t>
      </w:r>
      <w:r w:rsidR="006B0C6D" w:rsidRPr="009A2496">
        <w:rPr>
          <w:rFonts w:eastAsia="Times New Roman" w:cs="Arial"/>
          <w:lang w:val="es-ES"/>
        </w:rPr>
        <w:t>. También</w:t>
      </w:r>
      <w:r w:rsidRPr="009A2496">
        <w:rPr>
          <w:rFonts w:eastAsia="Times New Roman" w:cs="Arial"/>
          <w:lang w:val="es-ES"/>
        </w:rPr>
        <w:t xml:space="preserve"> se desarrolla el Plan de Intervenciones </w:t>
      </w:r>
      <w:r w:rsidR="006B0C6D" w:rsidRPr="009A2496">
        <w:rPr>
          <w:rFonts w:eastAsia="Times New Roman" w:cs="Arial"/>
          <w:lang w:val="es-ES"/>
        </w:rPr>
        <w:t>colectivas a</w:t>
      </w:r>
      <w:r w:rsidRPr="009A2496">
        <w:rPr>
          <w:rFonts w:eastAsia="Times New Roman" w:cs="Arial"/>
          <w:lang w:val="es-ES"/>
        </w:rPr>
        <w:t xml:space="preserve"> </w:t>
      </w:r>
      <w:r w:rsidR="006B0C6D" w:rsidRPr="009A2496">
        <w:rPr>
          <w:rFonts w:eastAsia="Times New Roman" w:cs="Arial"/>
          <w:lang w:val="es-ES"/>
        </w:rPr>
        <w:t>través de</w:t>
      </w:r>
      <w:r w:rsidRPr="009A2496">
        <w:rPr>
          <w:rFonts w:eastAsia="Times New Roman" w:cs="Arial"/>
          <w:lang w:val="es-ES"/>
        </w:rPr>
        <w:t xml:space="preserve"> la estrategia de Movilización Social “Ciudad Bienestar</w:t>
      </w:r>
      <w:r w:rsidR="006B0C6D" w:rsidRPr="009A2496">
        <w:rPr>
          <w:rFonts w:eastAsia="Times New Roman" w:cs="Arial"/>
          <w:lang w:val="es-ES"/>
        </w:rPr>
        <w:t>” con</w:t>
      </w:r>
      <w:r w:rsidRPr="009A2496">
        <w:rPr>
          <w:rFonts w:eastAsia="Times New Roman" w:cs="Arial"/>
          <w:lang w:val="es-ES"/>
        </w:rPr>
        <w:t xml:space="preserve"> perspectiva de derechos, para el empoderamiento de la comunidad hacia el cuidado de su salud. Seguimiento, evaluación y asistencia técnica al programa de Detección de alteraciones en el embarazo, para garantizar la adherencia a guías y protocolos por el personal asistencial para una atención de calidad.</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3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Productos: </w:t>
      </w:r>
    </w:p>
    <w:p w:rsidR="009A2496" w:rsidRPr="009A2496" w:rsidRDefault="009A2496" w:rsidP="00A92D87">
      <w:pPr>
        <w:suppressAutoHyphens/>
        <w:spacing w:after="0" w:line="240" w:lineRule="auto"/>
        <w:ind w:left="360"/>
        <w:contextualSpacing/>
        <w:jc w:val="both"/>
        <w:rPr>
          <w:rFonts w:eastAsia="Times New Roman" w:cs="Arial"/>
          <w:color w:val="000000"/>
          <w:lang w:val="es-ES" w:eastAsia="ar-SA"/>
        </w:rPr>
      </w:pPr>
    </w:p>
    <w:p w:rsidR="009A2496" w:rsidRPr="009A2496" w:rsidRDefault="009A2496" w:rsidP="00A92D87">
      <w:pPr>
        <w:numPr>
          <w:ilvl w:val="0"/>
          <w:numId w:val="1"/>
        </w:numPr>
        <w:spacing w:after="0" w:line="240" w:lineRule="auto"/>
        <w:contextualSpacing/>
        <w:jc w:val="both"/>
        <w:rPr>
          <w:rFonts w:eastAsia="Times New Roman" w:cs="Arial"/>
          <w:b/>
          <w:bCs/>
          <w:color w:val="000000"/>
          <w:lang w:val="es-ES_tradnl" w:eastAsia="es-ES"/>
        </w:rPr>
      </w:pPr>
      <w:r w:rsidRPr="009A2496">
        <w:rPr>
          <w:rFonts w:eastAsia="Times New Roman" w:cs="Arial"/>
          <w:color w:val="000000"/>
          <w:lang w:val="es-ES" w:eastAsia="ar-SA"/>
        </w:rPr>
        <w:t>Política pública  Nacional de Sexualidad, Derechos Sexuales y Derechos Reproductivos implementada y operando a nivel de los actores del SGSSS, en el Municipio de Pasto.</w:t>
      </w:r>
    </w:p>
    <w:p w:rsidR="009A2496" w:rsidRPr="009A2496" w:rsidRDefault="009A2496" w:rsidP="00A92D87">
      <w:pPr>
        <w:numPr>
          <w:ilvl w:val="0"/>
          <w:numId w:val="1"/>
        </w:numPr>
        <w:spacing w:after="0" w:line="240" w:lineRule="auto"/>
        <w:jc w:val="both"/>
        <w:rPr>
          <w:rFonts w:eastAsia="Calibri" w:cs="Arial"/>
          <w:color w:val="000000"/>
        </w:rPr>
      </w:pPr>
      <w:r w:rsidRPr="009A2496">
        <w:rPr>
          <w:rFonts w:eastAsia="Calibri" w:cs="Arial"/>
          <w:color w:val="000000"/>
        </w:rPr>
        <w:t>Lograda la adherencia a guías, normas técnicas y estrategias relacionadas con la Salud Materna.</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 xml:space="preserve">Implementada la estrategia de movilización social para el empoderamiento de la comunidad en el cuidado de la salud. </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Ruta de atención integral a la gestante y gestante menor de 15 años.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3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720"/>
        <w:contextualSpacing/>
        <w:jc w:val="both"/>
        <w:rPr>
          <w:rFonts w:eastAsia="Times New Roman" w:cs="Times New Roman"/>
          <w:lang w:val="es-ES" w:eastAsia="ar-SA"/>
        </w:rPr>
      </w:pPr>
    </w:p>
    <w:p w:rsidR="009A2496" w:rsidRPr="009A2496" w:rsidRDefault="009A2496" w:rsidP="00A92D87">
      <w:pPr>
        <w:numPr>
          <w:ilvl w:val="0"/>
          <w:numId w:val="12"/>
        </w:numPr>
        <w:spacing w:after="0" w:line="240" w:lineRule="auto"/>
        <w:contextualSpacing/>
        <w:jc w:val="both"/>
        <w:rPr>
          <w:rFonts w:eastAsia="Times New Roman" w:cs="Times New Roman"/>
          <w:lang w:val="es-ES" w:eastAsia="ar-SA"/>
        </w:rPr>
      </w:pPr>
      <w:r w:rsidRPr="009A2496">
        <w:rPr>
          <w:rFonts w:eastAsia="Times New Roman" w:cs="Times New Roman"/>
          <w:b/>
          <w:lang w:val="es-ES" w:eastAsia="ar-SA"/>
        </w:rPr>
        <w:t xml:space="preserve"> </w:t>
      </w:r>
      <w:r w:rsidRPr="009A2496">
        <w:rPr>
          <w:rFonts w:eastAsia="Times New Roman" w:cs="Times New Roman"/>
          <w:lang w:val="es-ES" w:eastAsia="ar-SA"/>
        </w:rPr>
        <w:t>El 89.2  % de nacidos vivos  con cuatro y más controles prenatales</w:t>
      </w:r>
    </w:p>
    <w:p w:rsidR="009A2496" w:rsidRPr="009A2496" w:rsidRDefault="009A2496" w:rsidP="00A92D87">
      <w:pPr>
        <w:numPr>
          <w:ilvl w:val="0"/>
          <w:numId w:val="1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99.6% de parto institucional.</w:t>
      </w:r>
    </w:p>
    <w:p w:rsidR="009A2496" w:rsidRPr="009A2496" w:rsidRDefault="009A2496" w:rsidP="00A92D87">
      <w:pPr>
        <w:numPr>
          <w:ilvl w:val="0"/>
          <w:numId w:val="1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100% de atención parto por personal calificado</w:t>
      </w:r>
    </w:p>
    <w:p w:rsidR="009A2496" w:rsidRPr="009A2496" w:rsidRDefault="009A2496" w:rsidP="00A92D87">
      <w:pPr>
        <w:numPr>
          <w:ilvl w:val="0"/>
          <w:numId w:val="1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Tasa de letalidad materna en = 0 cumpliendo la meta  de Planes de Desarrollo y Plan Territorial de Salud del Municipio de Pasto. (</w:t>
      </w:r>
      <w:r w:rsidRPr="009A2496">
        <w:rPr>
          <w:rFonts w:eastAsia="Times New Roman" w:cs="Times New Roman"/>
          <w:bCs/>
          <w:lang w:val="es-ES" w:eastAsia="ar-SA"/>
        </w:rPr>
        <w:t>número de muertes maternas / morbilidades Maternas Extremas x 100)</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3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Impacto: </w:t>
      </w:r>
    </w:p>
    <w:p w:rsidR="009A2496" w:rsidRPr="009A2496" w:rsidRDefault="009A2496" w:rsidP="00C81BDF">
      <w:pPr>
        <w:spacing w:after="0" w:line="240" w:lineRule="auto"/>
        <w:ind w:left="360"/>
        <w:jc w:val="both"/>
        <w:rPr>
          <w:rFonts w:eastAsia="Calibri" w:cs="Times New Roman"/>
        </w:rPr>
      </w:pPr>
      <w:r w:rsidRPr="009A2496">
        <w:rPr>
          <w:rFonts w:eastAsia="Calibri" w:cs="Times New Roman"/>
        </w:rPr>
        <w:t xml:space="preserve">Positivo: No se </w:t>
      </w:r>
      <w:r w:rsidR="006B0C6D" w:rsidRPr="009A2496">
        <w:rPr>
          <w:rFonts w:eastAsia="Calibri" w:cs="Times New Roman"/>
        </w:rPr>
        <w:t>presentó</w:t>
      </w:r>
      <w:r w:rsidRPr="009A2496">
        <w:rPr>
          <w:rFonts w:eastAsia="Calibri" w:cs="Times New Roman"/>
        </w:rPr>
        <w:t xml:space="preserve"> Mortalidad materna en el municipio de Pasto, en el año 2014, que está muy ligado al control prenatal periódico y de calidad.</w:t>
      </w:r>
    </w:p>
    <w:p w:rsidR="009A2496" w:rsidRPr="009A2496" w:rsidRDefault="009A2496" w:rsidP="00A92D87">
      <w:pPr>
        <w:spacing w:after="0" w:line="240" w:lineRule="auto"/>
        <w:jc w:val="both"/>
        <w:rPr>
          <w:rFonts w:eastAsia="Calibri" w:cs="Times New Roman"/>
        </w:rPr>
      </w:pPr>
    </w:p>
    <w:p w:rsidR="009A2496" w:rsidRPr="009A2496" w:rsidRDefault="009A2496" w:rsidP="00A92D87">
      <w:pPr>
        <w:numPr>
          <w:ilvl w:val="0"/>
          <w:numId w:val="38"/>
        </w:numPr>
        <w:spacing w:after="0" w:line="240" w:lineRule="auto"/>
        <w:jc w:val="both"/>
        <w:rPr>
          <w:rFonts w:eastAsia="Calibri" w:cs="Times New Roman"/>
          <w:b/>
        </w:rPr>
      </w:pPr>
      <w:r w:rsidRPr="009A2496">
        <w:rPr>
          <w:rFonts w:eastAsia="Calibri" w:cs="Times New Roman"/>
          <w:b/>
        </w:rPr>
        <w:t>Prioridades</w:t>
      </w:r>
    </w:p>
    <w:p w:rsidR="009A2496" w:rsidRDefault="009A2496" w:rsidP="00C81BDF">
      <w:pPr>
        <w:spacing w:after="0" w:line="240" w:lineRule="auto"/>
        <w:ind w:left="360"/>
        <w:jc w:val="both"/>
        <w:rPr>
          <w:rFonts w:eastAsia="Calibri" w:cs="Times New Roman"/>
        </w:rPr>
      </w:pPr>
      <w:r w:rsidRPr="009A2496">
        <w:rPr>
          <w:rFonts w:eastAsia="Calibri" w:cs="Times New Roman"/>
        </w:rPr>
        <w:t>Es prioridad para el municipio mantener estos indicadores de impacto fortaleciendo y dando continuidad a los programas y estrategias que permitieron lograrlo, apoyados en la normatividad vigente y la coordinación Institucional e intersectorial y transectorial en el marco de Plan Decenal 2012 – 2021.</w:t>
      </w:r>
    </w:p>
    <w:p w:rsidR="009D6CD6" w:rsidRPr="009A2496" w:rsidRDefault="009D6CD6" w:rsidP="00A92D87">
      <w:pPr>
        <w:spacing w:after="0" w:line="240" w:lineRule="auto"/>
        <w:jc w:val="both"/>
        <w:rPr>
          <w:rFonts w:eastAsia="Calibri" w:cs="Times New Roman"/>
        </w:rPr>
      </w:pPr>
    </w:p>
    <w:p w:rsidR="009A2496" w:rsidRPr="009A2496" w:rsidRDefault="009A2496" w:rsidP="00C81BDF">
      <w:pPr>
        <w:spacing w:after="0" w:line="240" w:lineRule="auto"/>
        <w:ind w:firstLine="360"/>
        <w:jc w:val="both"/>
        <w:rPr>
          <w:rFonts w:eastAsia="Calibri" w:cs="Times New Roman"/>
          <w:b/>
        </w:rPr>
      </w:pPr>
      <w:r w:rsidRPr="009A2496">
        <w:rPr>
          <w:rFonts w:eastAsia="Calibri" w:cs="Times New Roman"/>
          <w:b/>
        </w:rPr>
        <w:t>9. Recomendaciones</w:t>
      </w:r>
    </w:p>
    <w:p w:rsidR="009A2496" w:rsidRPr="009A2496" w:rsidRDefault="009A2496" w:rsidP="00A92D87">
      <w:pPr>
        <w:numPr>
          <w:ilvl w:val="0"/>
          <w:numId w:val="36"/>
        </w:numPr>
        <w:spacing w:after="0" w:line="240" w:lineRule="auto"/>
        <w:jc w:val="both"/>
        <w:rPr>
          <w:rFonts w:eastAsia="Calibri" w:cs="Times New Roman"/>
        </w:rPr>
      </w:pPr>
      <w:r w:rsidRPr="009A2496">
        <w:rPr>
          <w:rFonts w:eastAsia="Calibri" w:cs="Times New Roman"/>
        </w:rPr>
        <w:t>Implementar y monitorear la  ejecución de la Política Nacional de Sexualidad, DSDR de Ministerio de Salud y Protección Social en el  Municipio de Pasto.</w:t>
      </w:r>
    </w:p>
    <w:p w:rsidR="009A2496" w:rsidRPr="009A2496" w:rsidRDefault="009A2496" w:rsidP="00A92D87">
      <w:pPr>
        <w:numPr>
          <w:ilvl w:val="0"/>
          <w:numId w:val="36"/>
        </w:numPr>
        <w:spacing w:after="0" w:line="240" w:lineRule="auto"/>
        <w:jc w:val="both"/>
        <w:rPr>
          <w:rFonts w:eastAsia="Calibri" w:cs="Times New Roman"/>
        </w:rPr>
      </w:pPr>
      <w:r w:rsidRPr="009A2496">
        <w:rPr>
          <w:rFonts w:eastAsia="Calibri" w:cs="Times New Roman"/>
        </w:rPr>
        <w:t>Planear y ejecutar POA, SSR con los lineamientos de Plan decenal 2012 – 2021.</w:t>
      </w:r>
    </w:p>
    <w:p w:rsidR="009A2496" w:rsidRPr="009A2496" w:rsidRDefault="009A2496" w:rsidP="00A92D87">
      <w:pPr>
        <w:numPr>
          <w:ilvl w:val="0"/>
          <w:numId w:val="36"/>
        </w:numPr>
        <w:spacing w:after="0" w:line="240" w:lineRule="auto"/>
        <w:jc w:val="both"/>
        <w:rPr>
          <w:rFonts w:eastAsia="Calibri" w:cs="Times New Roman"/>
          <w:b/>
        </w:rPr>
      </w:pPr>
      <w:r w:rsidRPr="009A2496">
        <w:rPr>
          <w:rFonts w:eastAsia="Calibri" w:cs="Times New Roman"/>
        </w:rPr>
        <w:t>Fortalecer el Sistema de información de SSR, con SISPRO del MSPS.</w:t>
      </w:r>
    </w:p>
    <w:p w:rsidR="009A2496" w:rsidRPr="009A2496" w:rsidRDefault="009A2496" w:rsidP="00A92D87">
      <w:pPr>
        <w:spacing w:after="0" w:line="240" w:lineRule="auto"/>
        <w:jc w:val="both"/>
        <w:rPr>
          <w:rFonts w:eastAsia="Calibri" w:cs="Times New Roman"/>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5</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68"/>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Nombre del indicador: Tasa de mortalidad en menores de 5 años (por 1.000 niños menores de 5 años) </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RUAF-ND</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D6CD6" w:rsidRDefault="009A2496" w:rsidP="00AA1C79">
      <w:pPr>
        <w:numPr>
          <w:ilvl w:val="0"/>
          <w:numId w:val="40"/>
        </w:numPr>
        <w:suppressAutoHyphens/>
        <w:spacing w:after="0" w:line="240" w:lineRule="auto"/>
        <w:contextualSpacing/>
        <w:rPr>
          <w:rFonts w:eastAsia="Calibri" w:cs="Times New Roman"/>
        </w:rPr>
      </w:pPr>
      <w:r w:rsidRPr="009D6CD6">
        <w:rPr>
          <w:rFonts w:eastAsia="Times New Roman" w:cs="Times New Roman"/>
          <w:b/>
          <w:lang w:val="es-ES" w:eastAsia="ar-SA"/>
        </w:rPr>
        <w:t>Información estadística</w:t>
      </w:r>
      <w:r w:rsidRPr="009A2496">
        <w:rPr>
          <w:rFonts w:eastAsia="Calibri" w:cs="Times New Roman"/>
          <w:noProof/>
          <w:lang w:val="es-ES" w:eastAsia="es-ES"/>
        </w:rPr>
        <w:drawing>
          <wp:inline distT="0" distB="0" distL="0" distR="0">
            <wp:extent cx="4919870" cy="2604053"/>
            <wp:effectExtent l="19050" t="0" r="14080" b="5797"/>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RUAF-ND</w:t>
      </w:r>
    </w:p>
    <w:p w:rsidR="009A2496" w:rsidRPr="009A2496" w:rsidRDefault="009A2496" w:rsidP="00A92D87">
      <w:pPr>
        <w:spacing w:after="0" w:line="240" w:lineRule="auto"/>
        <w:rPr>
          <w:rFonts w:eastAsia="Calibri" w:cs="Times New Roman"/>
        </w:rPr>
      </w:pP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4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lastRenderedPageBreak/>
        <w:t>Situación detectada</w:t>
      </w:r>
    </w:p>
    <w:p w:rsidR="009A2496" w:rsidRPr="009A2496" w:rsidRDefault="009A2496" w:rsidP="00C81BDF">
      <w:pPr>
        <w:spacing w:after="200" w:line="240" w:lineRule="auto"/>
        <w:ind w:left="360"/>
        <w:jc w:val="both"/>
        <w:rPr>
          <w:rFonts w:eastAsia="Calibri" w:cs="Times New Roman"/>
        </w:rPr>
      </w:pPr>
      <w:r w:rsidRPr="009A2496">
        <w:rPr>
          <w:rFonts w:eastAsia="Calibri" w:cs="Times New Roman"/>
        </w:rPr>
        <w:t xml:space="preserve">La mortalidad en niños y niñas menores de 5 años es un </w:t>
      </w:r>
      <w:r w:rsidR="006B0C6D" w:rsidRPr="009A2496">
        <w:rPr>
          <w:rFonts w:eastAsia="Calibri" w:cs="Times New Roman"/>
        </w:rPr>
        <w:t>evento que</w:t>
      </w:r>
      <w:r w:rsidRPr="009A2496">
        <w:rPr>
          <w:rFonts w:eastAsia="Calibri" w:cs="Times New Roman"/>
        </w:rPr>
        <w:t xml:space="preserve"> vigila la calidad de los sistemas de salud del mundo. </w:t>
      </w:r>
      <w:r w:rsidRPr="009A2496">
        <w:rPr>
          <w:rFonts w:eastAsia="Calibri" w:cs="Arial"/>
        </w:rPr>
        <w:t>Es un indicador útil de la condición de la salud no solo en la población menor de 5 años, sino de toda la población y de las condiciones socioeconómicas en las que viven.</w:t>
      </w:r>
      <w:r w:rsidRPr="009A2496">
        <w:rPr>
          <w:rFonts w:eastAsia="Calibri" w:cs="Times New Roman"/>
        </w:rPr>
        <w:t xml:space="preserve"> (Indicadores de Salud Infantil Organización Mundial de la Salud- OMS).</w:t>
      </w:r>
    </w:p>
    <w:p w:rsidR="009A2496" w:rsidRPr="009A2496" w:rsidRDefault="009A2496" w:rsidP="00C81BDF">
      <w:pPr>
        <w:spacing w:after="200" w:line="240" w:lineRule="auto"/>
        <w:ind w:left="360"/>
        <w:jc w:val="both"/>
        <w:rPr>
          <w:rFonts w:eastAsia="Calibri" w:cs="Times New Roman"/>
          <w:lang w:val="es-ES"/>
        </w:rPr>
      </w:pPr>
      <w:r w:rsidRPr="009A2496">
        <w:rPr>
          <w:rFonts w:eastAsia="Calibri" w:cs="Times New Roman"/>
          <w:lang w:val="es-ES"/>
        </w:rPr>
        <w:t xml:space="preserve">El comportamiento del indicador de la mortalidad para menores de 5 años, en los años 2011 a 2014, se evidencia una disminución a partir del año 2012. Además en las primeras causas de mortalidad se refleja que se deben a problemas en el embarazo y malformaciones congénitas, lo que implica centrar esfuerzos para fortalecer los programas de riesgo preconcepcional, control prenatal y en mejorar la seguridad nutricional de las familias. </w:t>
      </w:r>
    </w:p>
    <w:p w:rsidR="009A2496" w:rsidRPr="009A2496" w:rsidRDefault="009A2496" w:rsidP="00A92D87">
      <w:pPr>
        <w:numPr>
          <w:ilvl w:val="0"/>
          <w:numId w:val="40"/>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Insumos</w:t>
      </w:r>
    </w:p>
    <w:p w:rsidR="009A2496" w:rsidRDefault="009A2496" w:rsidP="00C81BDF">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Dentro del Plan de Desarrollo Municipal “Pasto: Transformación productiva”, se encuentra contemplado éste indicador, con el fin de disminuir la mortalidad en niños y niñas menores de 5 año.  La Secretaría de Salud Municipal cuenta con un equipo de cuatro contratistas que conforman prioridad de salud infantil (tres enfermeras y un médico) y una funcionaria de planta como Coordinadora de la prioridad, para la ejecución de acciones relacionadas con propender la salud de los niños y niñas del Municipio,  desarrollando actividades de articulación intersectorial, seguimiento, evaluación y asistencia técnica a IPS y EPS,  fortalecimiento de la estrategia AIEPI en el componente clínico y comunitario y la implementación del Plan de Salud Pública de Intervenciones Colectivas. </w:t>
      </w:r>
    </w:p>
    <w:p w:rsidR="00C81BDF" w:rsidRPr="009A2496" w:rsidRDefault="00C81BDF" w:rsidP="00C81BDF">
      <w:pPr>
        <w:suppressAutoHyphens/>
        <w:spacing w:after="0" w:line="240" w:lineRule="auto"/>
        <w:ind w:left="360"/>
        <w:contextualSpacing/>
        <w:jc w:val="both"/>
        <w:rPr>
          <w:rFonts w:eastAsia="Times New Roman" w:cs="Times New Roman"/>
          <w:lang w:val="es-ES" w:eastAsia="ar-SA"/>
        </w:rPr>
      </w:pPr>
    </w:p>
    <w:p w:rsidR="009A2496" w:rsidRPr="009A2496" w:rsidRDefault="009A2496" w:rsidP="00C81BDF">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Adicionalmente se cuenta con un equipo de Unidades Centinelas en algunas zonas del área rural como apoyo a la comunidad.</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4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C81BDF">
      <w:pPr>
        <w:spacing w:after="200" w:line="240" w:lineRule="auto"/>
        <w:ind w:left="360"/>
        <w:jc w:val="both"/>
        <w:rPr>
          <w:rFonts w:eastAsia="Calibri" w:cs="Arial"/>
        </w:rPr>
      </w:pPr>
      <w:r w:rsidRPr="009A2496">
        <w:rPr>
          <w:rFonts w:eastAsia="Calibri" w:cs="Times New Roman"/>
        </w:rPr>
        <w:t xml:space="preserve">El municipio de Pasto, a través de la Secretaría de Salud, se ejecuta un proyecto denominado “NIÑOS Y NIÑAS SALUDABLES DEL MUNICIPIO DE </w:t>
      </w:r>
      <w:r w:rsidRPr="009A2496">
        <w:rPr>
          <w:rFonts w:eastAsia="Calibri" w:cs="Arial"/>
        </w:rPr>
        <w:t>PASTO” que busca lograr la articulación entre los actores inter e intrainstitucionales</w:t>
      </w:r>
      <w:r w:rsidR="006B0C6D">
        <w:rPr>
          <w:rFonts w:eastAsia="Calibri" w:cs="Arial"/>
        </w:rPr>
        <w:t xml:space="preserve"> </w:t>
      </w:r>
      <w:r w:rsidRPr="009A2496">
        <w:rPr>
          <w:rFonts w:eastAsia="Calibri" w:cs="Arial"/>
        </w:rPr>
        <w:t>que intervienen en la Salud infantil, y el seguimiento, evaluación y asistencia técnica a EPS e IPS con el fin de verificar la adherencia a guías, normas, estrategias y protocolos.</w:t>
      </w:r>
    </w:p>
    <w:p w:rsidR="009A2496" w:rsidRPr="009A2496" w:rsidRDefault="009A2496" w:rsidP="00C81BDF">
      <w:pPr>
        <w:spacing w:after="200" w:line="240" w:lineRule="auto"/>
        <w:ind w:left="360"/>
        <w:jc w:val="both"/>
        <w:rPr>
          <w:rFonts w:eastAsia="Calibri" w:cs="Arial"/>
        </w:rPr>
      </w:pPr>
      <w:r w:rsidRPr="009A2496">
        <w:rPr>
          <w:rFonts w:eastAsia="Calibri" w:cs="Arial"/>
        </w:rPr>
        <w:t>Además se aplica la Ruta de atención a la primera infancia e infancia enfocado a orientar y mejorar las actividades relacionadas con la salud infantil de nuestro Municipio.</w:t>
      </w:r>
    </w:p>
    <w:p w:rsidR="009A2496" w:rsidRPr="009A2496" w:rsidRDefault="009A2496" w:rsidP="00C81BDF">
      <w:pPr>
        <w:spacing w:after="200" w:line="240" w:lineRule="auto"/>
        <w:ind w:left="360"/>
        <w:jc w:val="both"/>
        <w:rPr>
          <w:rFonts w:eastAsia="Calibri" w:cs="Arial"/>
        </w:rPr>
      </w:pPr>
      <w:r w:rsidRPr="009A2496">
        <w:rPr>
          <w:rFonts w:eastAsia="Calibri" w:cs="Arial"/>
        </w:rPr>
        <w:t>También se desarrolla el Plan de Intervenciones colectivas, a través del cual se ejecuta actividades de articulación y empoderamiento de la salud con la comunidad.</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numPr>
          <w:ilvl w:val="0"/>
          <w:numId w:val="1"/>
        </w:numPr>
        <w:spacing w:after="0" w:line="240" w:lineRule="auto"/>
        <w:contextualSpacing/>
        <w:jc w:val="both"/>
        <w:rPr>
          <w:rFonts w:eastAsia="Times New Roman" w:cs="Arial"/>
          <w:b/>
          <w:bCs/>
          <w:color w:val="000000"/>
          <w:lang w:val="es-ES_tradnl" w:eastAsia="es-ES"/>
        </w:rPr>
      </w:pPr>
      <w:r w:rsidRPr="009A2496">
        <w:rPr>
          <w:rFonts w:eastAsia="Times New Roman" w:cs="Arial"/>
          <w:color w:val="000000"/>
          <w:lang w:val="es-ES" w:eastAsia="ar-SA"/>
        </w:rPr>
        <w:t>Política pública Municipal de primera infancia e infancia operando.</w:t>
      </w:r>
    </w:p>
    <w:p w:rsidR="009A2496" w:rsidRPr="009A2496" w:rsidRDefault="009A2496" w:rsidP="00A92D87">
      <w:pPr>
        <w:numPr>
          <w:ilvl w:val="0"/>
          <w:numId w:val="1"/>
        </w:numPr>
        <w:spacing w:after="0" w:line="240" w:lineRule="auto"/>
        <w:jc w:val="both"/>
        <w:rPr>
          <w:rFonts w:eastAsia="Calibri" w:cs="Arial"/>
          <w:color w:val="000000"/>
        </w:rPr>
      </w:pPr>
      <w:r w:rsidRPr="009A2496">
        <w:rPr>
          <w:rFonts w:eastAsia="Calibri" w:cs="Arial"/>
          <w:color w:val="000000"/>
        </w:rPr>
        <w:t>Lograda la adherencia a guías, normas técnicas y estrategias relacionadas con la Salud infantil del Municipio.</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lastRenderedPageBreak/>
        <w:t xml:space="preserve">Implementada la estrategia de movilización social para el empoderamiento de la comunidad. </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Ruta de atención integral a la primera infancia e infancia</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Componente AIEPI comunitario fortalecido a través de capacitaciones a actores sociales.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Política pública Municipal de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Ruta de atención integral a la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Estrategia AIEPI operando en IPS públicas y privadas</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Unidades Centinelas (11) operando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Positivo: Se evidencian avances en la Estrategia AIEPI en las IPS públicas y privadas.  El trabajo comunitario con la estrategia y las Unidades centinelas se ha evidenciado en los indicadores de mortalidad y morbilidad, y en el conocimiento de los aspectos con la salud infantil.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C81BDF">
      <w:pPr>
        <w:spacing w:after="0" w:line="240" w:lineRule="auto"/>
        <w:ind w:left="360"/>
        <w:jc w:val="both"/>
        <w:rPr>
          <w:rFonts w:eastAsia="Calibri" w:cs="Times New Roman"/>
        </w:rPr>
      </w:pPr>
      <w:r w:rsidRPr="009A2496">
        <w:rPr>
          <w:rFonts w:eastAsia="Calibri" w:cs="Times New Roman"/>
        </w:rPr>
        <w:t>Es importante fortalecer la articulación interinstitucional, con el fin de continuar aunando esfuerzos para evitar que los niños y niñas se nos mueran por enfermedades prevenibles.  Esto se logra trabajando de la mano con las IPS, EPS y con la comunidad en general, para que reconozcan los signos de peligro y acudan oportunamente a los centros de salud más cercanos.</w:t>
      </w:r>
    </w:p>
    <w:p w:rsidR="009A2496" w:rsidRPr="009A2496" w:rsidRDefault="009A2496" w:rsidP="00A92D87">
      <w:pPr>
        <w:spacing w:after="0" w:line="240" w:lineRule="auto"/>
        <w:jc w:val="both"/>
        <w:rPr>
          <w:rFonts w:eastAsia="Calibri" w:cs="Times New Roman"/>
        </w:rPr>
      </w:pPr>
    </w:p>
    <w:p w:rsidR="009A2496" w:rsidRPr="009A2496" w:rsidRDefault="009A2496" w:rsidP="00C81BDF">
      <w:pPr>
        <w:spacing w:after="0" w:line="240" w:lineRule="auto"/>
        <w:ind w:left="360"/>
        <w:jc w:val="both"/>
        <w:rPr>
          <w:rFonts w:eastAsia="Calibri" w:cs="Times New Roman"/>
        </w:rPr>
      </w:pPr>
      <w:r w:rsidRPr="009A2496">
        <w:rPr>
          <w:rFonts w:eastAsia="Calibri" w:cs="Times New Roman"/>
          <w:color w:val="000000"/>
          <w:lang w:val="es-ES_tradnl"/>
        </w:rPr>
        <w:t xml:space="preserve">Algunos aspectos como los bajos recursos económicos, factores culturales y educativos, pueden generar un impacto negativo, es por eso que el trabajo se debe enfocar en la educación a la comunidad a través del AIEPI Comunitario y la adecuada priorización de problemas para una oportuna intervención de los mismos. Es importante reconocer que la salud infantil empieza desde la preconcepción hasta los cinco años, por lo tanto dichas actividades se deben implementar desde las mujeres en edad fértil, gestación, parto, posparto y en el nacimiento hasta los 5 años.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C81BDF">
      <w:pPr>
        <w:spacing w:after="200" w:line="240" w:lineRule="auto"/>
        <w:ind w:left="360"/>
        <w:jc w:val="both"/>
        <w:rPr>
          <w:rFonts w:eastAsia="Calibri" w:cs="Times New Roman"/>
        </w:rPr>
      </w:pPr>
      <w:r w:rsidRPr="009A2496">
        <w:rPr>
          <w:rFonts w:eastAsia="Calibri" w:cs="Times New Roman"/>
        </w:rPr>
        <w:t xml:space="preserve">Se debe continuar trabajando en el seguimiento, evaluación y asistencia técnica con el fin de vigilar que las normas, guías, protocolos y estrategias se estén aplicando satisfactoriamente. </w:t>
      </w:r>
    </w:p>
    <w:p w:rsidR="009A2496" w:rsidRPr="009A2496" w:rsidRDefault="009A2496" w:rsidP="00C81BDF">
      <w:pPr>
        <w:spacing w:after="200" w:line="240" w:lineRule="auto"/>
        <w:ind w:left="360"/>
        <w:jc w:val="both"/>
        <w:rPr>
          <w:rFonts w:eastAsia="Calibri" w:cs="Times New Roman"/>
        </w:rPr>
      </w:pPr>
      <w:r w:rsidRPr="009A2496">
        <w:rPr>
          <w:rFonts w:eastAsia="Calibri" w:cs="Times New Roman"/>
        </w:rPr>
        <w:t xml:space="preserve">Dentro del mejoramiento de la calidad de atención es necesario fortalecer la aplicación de la Estrategia AIEPI, y en el componente comunitario las Unidades Centinelas, siendo ellas las primeras promotoras de la educación con la comunidad, y el puente de articulación con la prestación, en el marco de la referencia y contrareferencia. </w:t>
      </w:r>
    </w:p>
    <w:p w:rsidR="009A2496" w:rsidRPr="009A2496" w:rsidRDefault="009A2496" w:rsidP="00C81BDF">
      <w:pPr>
        <w:spacing w:after="200" w:line="240" w:lineRule="auto"/>
        <w:ind w:left="360"/>
        <w:jc w:val="both"/>
        <w:rPr>
          <w:rFonts w:eastAsia="Calibri" w:cs="Times New Roman"/>
        </w:rPr>
      </w:pPr>
      <w:r w:rsidRPr="009A2496">
        <w:rPr>
          <w:rFonts w:eastAsia="Calibri" w:cs="Times New Roman"/>
        </w:rPr>
        <w:t xml:space="preserve">De igual manera, la ruta de atención integral a la primera infancia e infancia, es una estrategia clave para orientar el trabajo de las EPS, IPS y actores sociales que intervienen en la misma, y garantizar la mejor atención a los niños y niñas de nuestro Municipio. </w:t>
      </w:r>
    </w:p>
    <w:p w:rsidR="009A2496" w:rsidRPr="009A2496" w:rsidRDefault="009A2496" w:rsidP="00A92D87">
      <w:pPr>
        <w:spacing w:line="240" w:lineRule="auto"/>
        <w:jc w:val="cente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
          <w:iCs/>
        </w:rPr>
      </w:pPr>
      <w:r w:rsidRPr="009A2496">
        <w:rPr>
          <w:rFonts w:eastAsia="Calibri" w:cs="Times New Roman"/>
          <w:b/>
          <w:i/>
          <w:iCs/>
        </w:rPr>
        <w:t xml:space="preserve">DESCRIPCIÓN DEL INDICADOR No. 6: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47"/>
          <w:jc w:val="center"/>
        </w:trPr>
        <w:tc>
          <w:tcPr>
            <w:tcW w:w="8828" w:type="dxa"/>
            <w:shd w:val="clear" w:color="auto" w:fill="FFFFFF"/>
          </w:tcPr>
          <w:p w:rsidR="009A2496" w:rsidRPr="009A2496" w:rsidRDefault="009A2496" w:rsidP="00A92D87">
            <w:pPr>
              <w:spacing w:after="0" w:line="240" w:lineRule="auto"/>
              <w:rPr>
                <w:bCs/>
              </w:rPr>
            </w:pPr>
            <w:r w:rsidRPr="009A2496">
              <w:rPr>
                <w:bCs/>
              </w:rPr>
              <w:t>MUNICIPIO: PASTO</w:t>
            </w:r>
          </w:p>
        </w:tc>
      </w:tr>
      <w:tr w:rsidR="009A2496" w:rsidRPr="009A2496" w:rsidTr="00000F81">
        <w:trPr>
          <w:trHeight w:val="241"/>
          <w:jc w:val="center"/>
        </w:trPr>
        <w:tc>
          <w:tcPr>
            <w:tcW w:w="8828" w:type="dxa"/>
            <w:shd w:val="clear" w:color="auto" w:fill="DAEEF3"/>
          </w:tcPr>
          <w:p w:rsidR="009A2496" w:rsidRPr="009A2496" w:rsidRDefault="009A2496" w:rsidP="00A92D87">
            <w:pPr>
              <w:spacing w:after="0" w:line="240" w:lineRule="auto"/>
              <w:rPr>
                <w:bCs/>
              </w:rPr>
            </w:pPr>
            <w:r w:rsidRPr="009A2496">
              <w:rPr>
                <w:bCs/>
              </w:rPr>
              <w:t>Nombre del indicador: Cinco primeras causas de mortalidad de niños y niñas</w:t>
            </w:r>
          </w:p>
        </w:tc>
      </w:tr>
      <w:tr w:rsidR="009A2496" w:rsidRPr="009A2496" w:rsidTr="00000F81">
        <w:trPr>
          <w:trHeight w:val="305"/>
          <w:jc w:val="center"/>
        </w:trPr>
        <w:tc>
          <w:tcPr>
            <w:tcW w:w="8828" w:type="dxa"/>
            <w:shd w:val="clear" w:color="auto" w:fill="auto"/>
          </w:tcPr>
          <w:p w:rsidR="009A2496" w:rsidRPr="009A2496" w:rsidRDefault="009A2496" w:rsidP="00A92D87">
            <w:pPr>
              <w:spacing w:after="0" w:line="240" w:lineRule="auto"/>
              <w:rPr>
                <w:bCs/>
              </w:rPr>
            </w:pPr>
            <w:r w:rsidRPr="009A2496">
              <w:rPr>
                <w:bCs/>
              </w:rPr>
              <w:t>Fuente Nacional: Otra Fuente: DANE-Estadísticas Vitales</w:t>
            </w:r>
          </w:p>
        </w:tc>
      </w:tr>
      <w:tr w:rsidR="009A2496" w:rsidRPr="009A2496" w:rsidTr="00000F81">
        <w:trPr>
          <w:trHeight w:val="320"/>
          <w:jc w:val="center"/>
        </w:trPr>
        <w:tc>
          <w:tcPr>
            <w:tcW w:w="8828" w:type="dxa"/>
            <w:shd w:val="clear" w:color="auto" w:fill="DAEEF3"/>
          </w:tcPr>
          <w:p w:rsidR="009A2496" w:rsidRPr="009A2496" w:rsidRDefault="009A2496" w:rsidP="00A92D87">
            <w:pPr>
              <w:spacing w:after="0" w:line="240" w:lineRule="auto"/>
              <w:rPr>
                <w:bCs/>
              </w:rPr>
            </w:pPr>
            <w:r w:rsidRPr="009A2496">
              <w:rPr>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bCs/>
              </w:rPr>
            </w:pPr>
            <w:r w:rsidRPr="009A2496">
              <w:rPr>
                <w:bCs/>
              </w:rPr>
              <w:t>Metodología: Análisis de la información a partir de la cadena de resultados</w:t>
            </w:r>
          </w:p>
        </w:tc>
      </w:tr>
      <w:tr w:rsidR="009A2496" w:rsidRPr="009A2496" w:rsidTr="00000F81">
        <w:trPr>
          <w:trHeight w:val="279"/>
          <w:jc w:val="center"/>
        </w:trPr>
        <w:tc>
          <w:tcPr>
            <w:tcW w:w="8828" w:type="dxa"/>
            <w:shd w:val="clear" w:color="auto" w:fill="DAEEF3"/>
          </w:tcPr>
          <w:p w:rsidR="009A2496" w:rsidRPr="009A2496" w:rsidRDefault="009A2496" w:rsidP="00A92D87">
            <w:pPr>
              <w:spacing w:after="0" w:line="240" w:lineRule="auto"/>
              <w:rPr>
                <w:bCs/>
              </w:rPr>
            </w:pPr>
            <w:r w:rsidRPr="009A2496">
              <w:rPr>
                <w:bCs/>
              </w:rPr>
              <w:t>Temas relacionados con el indicador: Salud sexual y reproductiva</w:t>
            </w:r>
          </w:p>
        </w:tc>
      </w:tr>
    </w:tbl>
    <w:p w:rsidR="009A2496" w:rsidRPr="009A2496" w:rsidRDefault="009A2496" w:rsidP="00A92D87">
      <w:pPr>
        <w:suppressAutoHyphens/>
        <w:spacing w:after="0" w:line="240" w:lineRule="auto"/>
        <w:ind w:left="360"/>
        <w:contextualSpacing/>
        <w:rPr>
          <w:rFonts w:eastAsia="Times New Roman" w:cs="Times New Roman"/>
          <w:b/>
          <w:lang w:val="es-ES" w:eastAsia="ar-SA"/>
        </w:rPr>
      </w:pPr>
    </w:p>
    <w:p w:rsidR="009A2496" w:rsidRPr="009A2496" w:rsidRDefault="009A2496" w:rsidP="00A92D87">
      <w:pPr>
        <w:numPr>
          <w:ilvl w:val="0"/>
          <w:numId w:val="4"/>
        </w:numPr>
        <w:suppressAutoHyphens/>
        <w:spacing w:after="0" w:line="240" w:lineRule="auto"/>
        <w:ind w:left="567" w:hanging="709"/>
        <w:contextualSpacing/>
        <w:rPr>
          <w:rFonts w:eastAsia="Times New Roman" w:cs="Times New Roman"/>
          <w:b/>
          <w:lang w:val="es-ES" w:eastAsia="ar-SA"/>
        </w:rPr>
      </w:pPr>
      <w:r w:rsidRPr="009A2496">
        <w:rPr>
          <w:rFonts w:eastAsia="Times New Roman" w:cs="Times New Roman"/>
          <w:b/>
          <w:lang w:val="es-ES" w:eastAsia="ar-SA"/>
        </w:rPr>
        <w:t>Información estadística</w:t>
      </w:r>
    </w:p>
    <w:tbl>
      <w:tblPr>
        <w:tblpPr w:leftFromText="141" w:rightFromText="141" w:vertAnchor="text" w:horzAnchor="margin" w:tblpXSpec="right" w:tblpY="133"/>
        <w:tblW w:w="4503"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4A0"/>
      </w:tblPr>
      <w:tblGrid>
        <w:gridCol w:w="3369"/>
        <w:gridCol w:w="1134"/>
      </w:tblGrid>
      <w:tr w:rsidR="009A2496" w:rsidRPr="009A2496" w:rsidTr="00000F81">
        <w:trPr>
          <w:trHeight w:val="660"/>
        </w:trPr>
        <w:tc>
          <w:tcPr>
            <w:tcW w:w="3369" w:type="dxa"/>
            <w:tcBorders>
              <w:top w:val="single" w:sz="8" w:space="0" w:color="78C0D4"/>
              <w:left w:val="single" w:sz="8" w:space="0" w:color="78C0D4"/>
              <w:bottom w:val="single" w:sz="8" w:space="0" w:color="78C0D4"/>
            </w:tcBorders>
            <w:shd w:val="clear" w:color="auto" w:fill="4BACC6"/>
            <w:hideMark/>
          </w:tcPr>
          <w:p w:rsidR="009A2496" w:rsidRPr="009A2496" w:rsidRDefault="009A2496" w:rsidP="00A92D87">
            <w:pPr>
              <w:spacing w:after="0" w:line="240" w:lineRule="auto"/>
              <w:jc w:val="center"/>
              <w:rPr>
                <w:rFonts w:eastAsia="Times New Roman" w:cs="Calibri"/>
                <w:b/>
                <w:bCs/>
                <w:color w:val="FFFFFF"/>
                <w:lang w:eastAsia="es-CO"/>
              </w:rPr>
            </w:pPr>
            <w:r w:rsidRPr="009A2496">
              <w:rPr>
                <w:rFonts w:eastAsia="Times New Roman" w:cs="Calibri"/>
                <w:b/>
                <w:bCs/>
                <w:color w:val="FFFFFF"/>
                <w:lang w:eastAsia="es-CO"/>
              </w:rPr>
              <w:t>Cinco primeras causas de mortalidad de niños y niñas 2012</w:t>
            </w:r>
          </w:p>
        </w:tc>
        <w:tc>
          <w:tcPr>
            <w:tcW w:w="1134" w:type="dxa"/>
            <w:tcBorders>
              <w:top w:val="single" w:sz="8" w:space="0" w:color="78C0D4"/>
              <w:bottom w:val="single" w:sz="8" w:space="0" w:color="78C0D4"/>
              <w:right w:val="single" w:sz="8" w:space="0" w:color="78C0D4"/>
            </w:tcBorders>
            <w:shd w:val="clear" w:color="auto" w:fill="4BACC6"/>
            <w:hideMark/>
          </w:tcPr>
          <w:p w:rsidR="009A2496" w:rsidRPr="009A2496" w:rsidRDefault="009A2496" w:rsidP="00A92D87">
            <w:pPr>
              <w:spacing w:after="0" w:line="240" w:lineRule="auto"/>
              <w:jc w:val="center"/>
              <w:rPr>
                <w:rFonts w:eastAsia="Times New Roman" w:cs="Calibri"/>
                <w:b/>
                <w:bCs/>
                <w:color w:val="FFFFFF"/>
                <w:lang w:eastAsia="es-CO"/>
              </w:rPr>
            </w:pPr>
            <w:r w:rsidRPr="009A2496">
              <w:rPr>
                <w:rFonts w:eastAsia="Times New Roman" w:cs="Calibri"/>
                <w:b/>
                <w:bCs/>
                <w:color w:val="FFFFFF"/>
                <w:lang w:eastAsia="es-CO"/>
              </w:rPr>
              <w:t>TOTAL</w:t>
            </w:r>
          </w:p>
        </w:tc>
      </w:tr>
      <w:tr w:rsidR="009A2496" w:rsidRPr="009A2496" w:rsidTr="00000F81">
        <w:trPr>
          <w:trHeight w:val="582"/>
        </w:trPr>
        <w:tc>
          <w:tcPr>
            <w:tcW w:w="3369"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615 MALFORMACIONES CONGEN., DEFORMID.Y ANOMALIAS CROMOSOMICAS</w:t>
            </w:r>
          </w:p>
        </w:tc>
        <w:tc>
          <w:tcPr>
            <w:tcW w:w="1134"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24</w:t>
            </w:r>
          </w:p>
        </w:tc>
      </w:tr>
      <w:tr w:rsidR="009A2496" w:rsidRPr="009A2496" w:rsidTr="00000F81">
        <w:trPr>
          <w:trHeight w:val="540"/>
        </w:trPr>
        <w:tc>
          <w:tcPr>
            <w:tcW w:w="3369" w:type="dxa"/>
            <w:tcBorders>
              <w:right w:val="nil"/>
            </w:tcBorders>
            <w:shd w:val="clear" w:color="auto" w:fill="auto"/>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404 TRAST. RESPIRATORIOS ESPECIFICOS DEL PERIODO PERINATAL</w:t>
            </w:r>
          </w:p>
        </w:tc>
        <w:tc>
          <w:tcPr>
            <w:tcW w:w="1134" w:type="dxa"/>
            <w:tcBorders>
              <w:left w:val="nil"/>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7</w:t>
            </w:r>
          </w:p>
        </w:tc>
      </w:tr>
      <w:tr w:rsidR="009A2496" w:rsidRPr="009A2496" w:rsidTr="00000F81">
        <w:trPr>
          <w:trHeight w:val="330"/>
        </w:trPr>
        <w:tc>
          <w:tcPr>
            <w:tcW w:w="3369"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407 OTRAS AFECC. ORIGINADAS EN PERIODO PERINATAL</w:t>
            </w:r>
          </w:p>
        </w:tc>
        <w:tc>
          <w:tcPr>
            <w:tcW w:w="1134"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5</w:t>
            </w:r>
          </w:p>
        </w:tc>
      </w:tr>
      <w:tr w:rsidR="009A2496" w:rsidRPr="009A2496" w:rsidTr="00000F81">
        <w:trPr>
          <w:trHeight w:val="580"/>
        </w:trPr>
        <w:tc>
          <w:tcPr>
            <w:tcW w:w="3369" w:type="dxa"/>
            <w:tcBorders>
              <w:right w:val="nil"/>
            </w:tcBorders>
            <w:shd w:val="clear" w:color="auto" w:fill="auto"/>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403 RETARDO CRECIM.FETAL, DESNUTR. FETAL., BAJO P./ NACER, GEST.CORTA</w:t>
            </w:r>
          </w:p>
        </w:tc>
        <w:tc>
          <w:tcPr>
            <w:tcW w:w="1134" w:type="dxa"/>
            <w:tcBorders>
              <w:left w:val="nil"/>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4</w:t>
            </w:r>
          </w:p>
        </w:tc>
      </w:tr>
      <w:tr w:rsidR="009A2496" w:rsidRPr="009A2496" w:rsidTr="00000F81">
        <w:trPr>
          <w:trHeight w:val="186"/>
        </w:trPr>
        <w:tc>
          <w:tcPr>
            <w:tcW w:w="3369" w:type="dxa"/>
            <w:shd w:val="clear" w:color="auto" w:fill="D2EAF1"/>
            <w:noWrap/>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109 INFECCIONES RESPIRATORIAS AGUDAS</w:t>
            </w:r>
          </w:p>
        </w:tc>
        <w:tc>
          <w:tcPr>
            <w:tcW w:w="1134"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3</w:t>
            </w:r>
          </w:p>
        </w:tc>
      </w:tr>
    </w:tbl>
    <w:p w:rsidR="009A2496" w:rsidRPr="009A2496" w:rsidRDefault="009A2496" w:rsidP="00A92D87">
      <w:pPr>
        <w:spacing w:after="0" w:line="240" w:lineRule="auto"/>
        <w:rPr>
          <w:vanish/>
        </w:rPr>
      </w:pPr>
    </w:p>
    <w:tbl>
      <w:tblPr>
        <w:tblpPr w:leftFromText="141" w:rightFromText="141" w:vertAnchor="text" w:horzAnchor="margin" w:tblpY="146"/>
        <w:tblW w:w="4290"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59"/>
        <w:gridCol w:w="809"/>
      </w:tblGrid>
      <w:tr w:rsidR="009A2496" w:rsidRPr="009A2496" w:rsidTr="00000F81">
        <w:trPr>
          <w:trHeight w:val="973"/>
        </w:trPr>
        <w:tc>
          <w:tcPr>
            <w:tcW w:w="3559" w:type="dxa"/>
            <w:tcBorders>
              <w:top w:val="single" w:sz="8" w:space="0" w:color="78C0D4"/>
              <w:left w:val="single" w:sz="8" w:space="0" w:color="78C0D4"/>
              <w:bottom w:val="single" w:sz="8" w:space="0" w:color="78C0D4"/>
            </w:tcBorders>
            <w:shd w:val="clear" w:color="auto" w:fill="4BACC6"/>
            <w:hideMark/>
          </w:tcPr>
          <w:p w:rsidR="009A2496" w:rsidRPr="009A2496" w:rsidRDefault="009A2496" w:rsidP="00A92D87">
            <w:pPr>
              <w:spacing w:after="0" w:line="240" w:lineRule="auto"/>
              <w:jc w:val="center"/>
              <w:rPr>
                <w:rFonts w:eastAsia="Times New Roman" w:cs="Calibri"/>
                <w:b/>
                <w:bCs/>
                <w:color w:val="FFFFFF"/>
                <w:lang w:eastAsia="es-CO"/>
              </w:rPr>
            </w:pPr>
            <w:r w:rsidRPr="009A2496">
              <w:rPr>
                <w:rFonts w:eastAsia="Times New Roman" w:cs="Calibri"/>
                <w:b/>
                <w:bCs/>
                <w:color w:val="FFFFFF"/>
                <w:lang w:eastAsia="es-CO"/>
              </w:rPr>
              <w:t xml:space="preserve">Cinco primeras causas de mortalidad </w:t>
            </w:r>
          </w:p>
          <w:p w:rsidR="009A2496" w:rsidRPr="009A2496" w:rsidRDefault="009A2496" w:rsidP="00A92D87">
            <w:pPr>
              <w:spacing w:after="0" w:line="240" w:lineRule="auto"/>
              <w:jc w:val="center"/>
              <w:rPr>
                <w:rFonts w:eastAsia="Times New Roman" w:cs="Calibri"/>
                <w:b/>
                <w:bCs/>
                <w:color w:val="FFFFFF"/>
                <w:lang w:eastAsia="es-CO"/>
              </w:rPr>
            </w:pPr>
            <w:r w:rsidRPr="009A2496">
              <w:rPr>
                <w:rFonts w:eastAsia="Times New Roman" w:cs="Calibri"/>
                <w:b/>
                <w:bCs/>
                <w:color w:val="FFFFFF"/>
                <w:lang w:eastAsia="es-CO"/>
              </w:rPr>
              <w:t>de niños y niñas 2011</w:t>
            </w:r>
          </w:p>
        </w:tc>
        <w:tc>
          <w:tcPr>
            <w:tcW w:w="731" w:type="dxa"/>
            <w:tcBorders>
              <w:top w:val="single" w:sz="8" w:space="0" w:color="78C0D4"/>
              <w:bottom w:val="single" w:sz="8" w:space="0" w:color="78C0D4"/>
              <w:right w:val="single" w:sz="8" w:space="0" w:color="78C0D4"/>
            </w:tcBorders>
            <w:shd w:val="clear" w:color="auto" w:fill="4BACC6"/>
            <w:hideMark/>
          </w:tcPr>
          <w:p w:rsidR="009A2496" w:rsidRPr="009A2496" w:rsidRDefault="009A2496" w:rsidP="00A92D87">
            <w:pPr>
              <w:spacing w:after="0" w:line="240" w:lineRule="auto"/>
              <w:jc w:val="center"/>
              <w:rPr>
                <w:rFonts w:eastAsia="Times New Roman" w:cs="Calibri"/>
                <w:b/>
                <w:bCs/>
                <w:color w:val="FFFFFF"/>
                <w:lang w:eastAsia="es-CO"/>
              </w:rPr>
            </w:pPr>
            <w:r w:rsidRPr="009A2496">
              <w:rPr>
                <w:rFonts w:eastAsia="Times New Roman" w:cs="Calibri"/>
                <w:b/>
                <w:bCs/>
                <w:color w:val="FFFFFF"/>
                <w:lang w:eastAsia="es-CO"/>
              </w:rPr>
              <w:t>TOTAL</w:t>
            </w:r>
          </w:p>
        </w:tc>
      </w:tr>
      <w:tr w:rsidR="009A2496" w:rsidRPr="009A2496" w:rsidTr="00000F81">
        <w:trPr>
          <w:trHeight w:val="555"/>
        </w:trPr>
        <w:tc>
          <w:tcPr>
            <w:tcW w:w="3559"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615 MALFORMACIONES CONGEN., DEFORMID.Y ANOMALIAS CROMOSOMICAS</w:t>
            </w:r>
          </w:p>
        </w:tc>
        <w:tc>
          <w:tcPr>
            <w:tcW w:w="731"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24</w:t>
            </w:r>
          </w:p>
        </w:tc>
      </w:tr>
      <w:tr w:rsidR="009A2496" w:rsidRPr="009A2496" w:rsidTr="00000F81">
        <w:trPr>
          <w:trHeight w:val="601"/>
        </w:trPr>
        <w:tc>
          <w:tcPr>
            <w:tcW w:w="3559" w:type="dxa"/>
            <w:tcBorders>
              <w:right w:val="nil"/>
            </w:tcBorders>
            <w:shd w:val="clear" w:color="auto" w:fill="auto"/>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404 TRAST. RESPIRATORIOS ESPECIFICOS DEL PERIODO PERINATAL</w:t>
            </w:r>
          </w:p>
        </w:tc>
        <w:tc>
          <w:tcPr>
            <w:tcW w:w="731" w:type="dxa"/>
            <w:tcBorders>
              <w:left w:val="nil"/>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14</w:t>
            </w:r>
          </w:p>
        </w:tc>
      </w:tr>
      <w:tr w:rsidR="009A2496" w:rsidRPr="009A2496" w:rsidTr="00000F81">
        <w:trPr>
          <w:trHeight w:val="496"/>
        </w:trPr>
        <w:tc>
          <w:tcPr>
            <w:tcW w:w="3559"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407 OTRAS AFECC. ORIGINADAS EN PERIODO PERINATAL</w:t>
            </w:r>
          </w:p>
        </w:tc>
        <w:tc>
          <w:tcPr>
            <w:tcW w:w="731"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9</w:t>
            </w:r>
          </w:p>
        </w:tc>
      </w:tr>
      <w:tr w:rsidR="009A2496" w:rsidRPr="009A2496" w:rsidTr="00000F81">
        <w:trPr>
          <w:trHeight w:val="375"/>
        </w:trPr>
        <w:tc>
          <w:tcPr>
            <w:tcW w:w="3559" w:type="dxa"/>
            <w:tcBorders>
              <w:right w:val="nil"/>
            </w:tcBorders>
            <w:shd w:val="clear" w:color="auto" w:fill="auto"/>
            <w:noWrap/>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510 OTROS ACCIDENTES, INCLUSIVE SECUELAS</w:t>
            </w:r>
          </w:p>
        </w:tc>
        <w:tc>
          <w:tcPr>
            <w:tcW w:w="731" w:type="dxa"/>
            <w:tcBorders>
              <w:left w:val="nil"/>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6</w:t>
            </w:r>
          </w:p>
        </w:tc>
      </w:tr>
      <w:tr w:rsidR="009A2496" w:rsidRPr="009A2496" w:rsidTr="00000F81">
        <w:trPr>
          <w:trHeight w:val="368"/>
        </w:trPr>
        <w:tc>
          <w:tcPr>
            <w:tcW w:w="3559" w:type="dxa"/>
            <w:shd w:val="clear" w:color="auto" w:fill="D2EAF1"/>
            <w:noWrap/>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700 SINTOMAS, SIGNOS Y AFECCIONES MAL DEFINIDAS</w:t>
            </w:r>
          </w:p>
        </w:tc>
        <w:tc>
          <w:tcPr>
            <w:tcW w:w="731"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4</w:t>
            </w:r>
          </w:p>
        </w:tc>
      </w:tr>
    </w:tbl>
    <w:p w:rsidR="009A2496" w:rsidRPr="009A2496" w:rsidRDefault="009A2496" w:rsidP="00A92D87">
      <w:pPr>
        <w:spacing w:after="0" w:line="240" w:lineRule="auto"/>
        <w:rPr>
          <w:rFonts w:eastAsia="Calibri" w:cs="Times New Roman"/>
          <w:i/>
        </w:rPr>
      </w:pPr>
    </w:p>
    <w:p w:rsidR="009A2496" w:rsidRPr="009A2496" w:rsidRDefault="009A2496" w:rsidP="00A92D87">
      <w:pPr>
        <w:spacing w:after="0" w:line="240" w:lineRule="auto"/>
        <w:rPr>
          <w:rFonts w:eastAsia="Calibri" w:cs="Times New Roman"/>
          <w:i/>
        </w:rPr>
      </w:pPr>
    </w:p>
    <w:p w:rsidR="009A2496" w:rsidRPr="009A2496" w:rsidRDefault="009A2496" w:rsidP="00A92D87">
      <w:pPr>
        <w:spacing w:after="0" w:line="240" w:lineRule="auto"/>
        <w:rPr>
          <w:rFonts w:eastAsia="Calibri" w:cs="Times New Roman"/>
          <w:i/>
        </w:rPr>
      </w:pPr>
      <w:r w:rsidRPr="009A2496">
        <w:rPr>
          <w:rFonts w:eastAsia="Calibri" w:cs="Times New Roman"/>
          <w:i/>
        </w:rPr>
        <w:t>FUENTE: DANE, Estadísticas vitales</w:t>
      </w:r>
    </w:p>
    <w:p w:rsidR="009A2496" w:rsidRPr="009A2496" w:rsidRDefault="009A2496" w:rsidP="00A92D87">
      <w:pPr>
        <w:spacing w:after="0" w:line="240" w:lineRule="auto"/>
        <w:ind w:left="4248" w:firstLine="708"/>
        <w:rPr>
          <w:rFonts w:eastAsia="Calibri" w:cs="Times New Roman"/>
          <w:i/>
        </w:rPr>
      </w:pPr>
      <w:r w:rsidRPr="009A2496">
        <w:rPr>
          <w:rFonts w:eastAsia="Calibri" w:cs="Times New Roman"/>
          <w:i/>
        </w:rPr>
        <w:t xml:space="preserve">     FUENTE: DANE, Estadísticas vitales</w:t>
      </w:r>
    </w:p>
    <w:p w:rsidR="009A2496" w:rsidRPr="009A2496" w:rsidRDefault="009A2496" w:rsidP="00A92D87">
      <w:pPr>
        <w:spacing w:after="0" w:line="240" w:lineRule="auto"/>
        <w:rPr>
          <w:rFonts w:eastAsia="Calibri" w:cs="Times New Roman"/>
        </w:rPr>
      </w:pPr>
    </w:p>
    <w:tbl>
      <w:tblPr>
        <w:tblpPr w:leftFromText="141" w:rightFromText="141" w:vertAnchor="text" w:tblpY="26"/>
        <w:tblW w:w="4413"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604"/>
        <w:gridCol w:w="809"/>
      </w:tblGrid>
      <w:tr w:rsidR="009A2496" w:rsidRPr="009A2496" w:rsidTr="00000F81">
        <w:trPr>
          <w:trHeight w:val="675"/>
        </w:trPr>
        <w:tc>
          <w:tcPr>
            <w:tcW w:w="3657" w:type="dxa"/>
            <w:tcBorders>
              <w:top w:val="single" w:sz="8" w:space="0" w:color="78C0D4"/>
              <w:left w:val="single" w:sz="8" w:space="0" w:color="78C0D4"/>
              <w:bottom w:val="single" w:sz="8" w:space="0" w:color="78C0D4"/>
            </w:tcBorders>
            <w:shd w:val="clear" w:color="auto" w:fill="4BACC6"/>
            <w:hideMark/>
          </w:tcPr>
          <w:p w:rsidR="009A2496" w:rsidRPr="009A2496" w:rsidRDefault="009A2496" w:rsidP="00A92D87">
            <w:pPr>
              <w:spacing w:after="0" w:line="240" w:lineRule="auto"/>
              <w:jc w:val="center"/>
              <w:rPr>
                <w:rFonts w:eastAsia="Times New Roman" w:cs="Calibri"/>
                <w:b/>
                <w:bCs/>
                <w:color w:val="FFFFFF"/>
                <w:lang w:eastAsia="es-CO"/>
              </w:rPr>
            </w:pPr>
            <w:r w:rsidRPr="009A2496">
              <w:rPr>
                <w:rFonts w:eastAsia="Times New Roman" w:cs="Calibri"/>
                <w:b/>
                <w:bCs/>
                <w:color w:val="FFFFFF"/>
                <w:lang w:eastAsia="es-CO"/>
              </w:rPr>
              <w:t>Cinco primeras causas de mortalidad de niños y niñas 2013</w:t>
            </w:r>
          </w:p>
        </w:tc>
        <w:tc>
          <w:tcPr>
            <w:tcW w:w="756" w:type="dxa"/>
            <w:tcBorders>
              <w:top w:val="single" w:sz="8" w:space="0" w:color="78C0D4"/>
              <w:bottom w:val="single" w:sz="8" w:space="0" w:color="78C0D4"/>
              <w:right w:val="single" w:sz="8" w:space="0" w:color="78C0D4"/>
            </w:tcBorders>
            <w:shd w:val="clear" w:color="auto" w:fill="4BACC6"/>
            <w:hideMark/>
          </w:tcPr>
          <w:p w:rsidR="009A2496" w:rsidRPr="009A2496" w:rsidRDefault="009A2496" w:rsidP="00A92D87">
            <w:pPr>
              <w:spacing w:after="0" w:line="240" w:lineRule="auto"/>
              <w:jc w:val="center"/>
              <w:rPr>
                <w:rFonts w:eastAsia="Times New Roman" w:cs="Calibri"/>
                <w:b/>
                <w:bCs/>
                <w:color w:val="FFFFFF"/>
                <w:lang w:eastAsia="es-CO"/>
              </w:rPr>
            </w:pPr>
            <w:r w:rsidRPr="009A2496">
              <w:rPr>
                <w:rFonts w:eastAsia="Times New Roman" w:cs="Calibri"/>
                <w:b/>
                <w:bCs/>
                <w:color w:val="FFFFFF"/>
                <w:lang w:eastAsia="es-CO"/>
              </w:rPr>
              <w:t>TOTAL</w:t>
            </w:r>
          </w:p>
        </w:tc>
      </w:tr>
      <w:tr w:rsidR="009A2496" w:rsidRPr="009A2496" w:rsidTr="00000F81">
        <w:trPr>
          <w:trHeight w:val="540"/>
        </w:trPr>
        <w:tc>
          <w:tcPr>
            <w:tcW w:w="3657"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615 MALFORMACIONES CONGEN., DEFORMID.Y ANOMALIAS CROMOSOMICAS</w:t>
            </w:r>
          </w:p>
        </w:tc>
        <w:tc>
          <w:tcPr>
            <w:tcW w:w="756"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21</w:t>
            </w:r>
          </w:p>
        </w:tc>
      </w:tr>
      <w:tr w:rsidR="009A2496" w:rsidRPr="009A2496" w:rsidTr="00000F81">
        <w:trPr>
          <w:trHeight w:val="540"/>
        </w:trPr>
        <w:tc>
          <w:tcPr>
            <w:tcW w:w="3657" w:type="dxa"/>
            <w:tcBorders>
              <w:right w:val="nil"/>
            </w:tcBorders>
            <w:shd w:val="clear" w:color="auto" w:fill="auto"/>
            <w:hideMark/>
          </w:tcPr>
          <w:p w:rsidR="009A2496" w:rsidRPr="009A2496" w:rsidRDefault="009A2496" w:rsidP="00A92D87">
            <w:pPr>
              <w:spacing w:after="0" w:line="240" w:lineRule="auto"/>
              <w:ind w:left="308"/>
              <w:rPr>
                <w:rFonts w:eastAsia="Times New Roman" w:cs="Calibri"/>
                <w:b/>
                <w:bCs/>
                <w:lang w:eastAsia="es-CO"/>
              </w:rPr>
            </w:pPr>
            <w:r w:rsidRPr="009A2496">
              <w:rPr>
                <w:rFonts w:eastAsia="Times New Roman" w:cs="Calibri"/>
                <w:b/>
                <w:bCs/>
                <w:lang w:eastAsia="es-CO"/>
              </w:rPr>
              <w:lastRenderedPageBreak/>
              <w:t>404 TRAST. RESPIRATORIOS ESPECIFICOS DEL PERIODO PERINATAL</w:t>
            </w:r>
          </w:p>
        </w:tc>
        <w:tc>
          <w:tcPr>
            <w:tcW w:w="756" w:type="dxa"/>
            <w:tcBorders>
              <w:left w:val="nil"/>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8</w:t>
            </w:r>
          </w:p>
        </w:tc>
      </w:tr>
      <w:tr w:rsidR="009A2496" w:rsidRPr="009A2496" w:rsidTr="00000F81">
        <w:trPr>
          <w:trHeight w:val="330"/>
        </w:trPr>
        <w:tc>
          <w:tcPr>
            <w:tcW w:w="3657"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510 OTROS ACCIDENTES, INCLUSIVE SECUELAS</w:t>
            </w:r>
          </w:p>
        </w:tc>
        <w:tc>
          <w:tcPr>
            <w:tcW w:w="756"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5</w:t>
            </w:r>
          </w:p>
        </w:tc>
      </w:tr>
      <w:tr w:rsidR="009A2496" w:rsidRPr="009A2496" w:rsidTr="00000F81">
        <w:trPr>
          <w:trHeight w:val="452"/>
        </w:trPr>
        <w:tc>
          <w:tcPr>
            <w:tcW w:w="3657" w:type="dxa"/>
            <w:tcBorders>
              <w:right w:val="nil"/>
            </w:tcBorders>
            <w:shd w:val="clear" w:color="auto" w:fill="auto"/>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403 RETARDO CRECIM.FETAL, DESNUTR. FETAL., BAJO P./ NACER, GEST.CORTA</w:t>
            </w:r>
          </w:p>
        </w:tc>
        <w:tc>
          <w:tcPr>
            <w:tcW w:w="756" w:type="dxa"/>
            <w:tcBorders>
              <w:left w:val="nil"/>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3</w:t>
            </w:r>
          </w:p>
        </w:tc>
      </w:tr>
      <w:tr w:rsidR="009A2496" w:rsidRPr="009A2496" w:rsidTr="00000F81">
        <w:trPr>
          <w:trHeight w:val="402"/>
        </w:trPr>
        <w:tc>
          <w:tcPr>
            <w:tcW w:w="3657"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405 SEPSIS BACTERIANA DEL RECIEN NACIDO</w:t>
            </w:r>
          </w:p>
        </w:tc>
        <w:tc>
          <w:tcPr>
            <w:tcW w:w="756"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3</w:t>
            </w:r>
          </w:p>
        </w:tc>
      </w:tr>
    </w:tbl>
    <w:p w:rsidR="009A2496" w:rsidRPr="009A2496" w:rsidRDefault="009A2496" w:rsidP="00A92D87">
      <w:pPr>
        <w:spacing w:after="0" w:line="240" w:lineRule="auto"/>
        <w:rPr>
          <w:vanish/>
        </w:rPr>
      </w:pPr>
    </w:p>
    <w:tbl>
      <w:tblPr>
        <w:tblpPr w:leftFromText="141" w:rightFromText="141" w:vertAnchor="text" w:horzAnchor="margin" w:tblpXSpec="right" w:tblpY="86"/>
        <w:tblW w:w="4268"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459"/>
        <w:gridCol w:w="809"/>
      </w:tblGrid>
      <w:tr w:rsidR="009A2496" w:rsidRPr="009A2496" w:rsidTr="00000F81">
        <w:trPr>
          <w:trHeight w:val="660"/>
        </w:trPr>
        <w:tc>
          <w:tcPr>
            <w:tcW w:w="3512" w:type="dxa"/>
            <w:tcBorders>
              <w:top w:val="single" w:sz="8" w:space="0" w:color="78C0D4"/>
              <w:left w:val="single" w:sz="8" w:space="0" w:color="78C0D4"/>
              <w:bottom w:val="single" w:sz="8" w:space="0" w:color="78C0D4"/>
            </w:tcBorders>
            <w:shd w:val="clear" w:color="auto" w:fill="4BACC6"/>
            <w:hideMark/>
          </w:tcPr>
          <w:p w:rsidR="009A2496" w:rsidRPr="009A2496" w:rsidRDefault="009A2496" w:rsidP="00A92D87">
            <w:pPr>
              <w:spacing w:after="0" w:line="240" w:lineRule="auto"/>
              <w:jc w:val="center"/>
              <w:rPr>
                <w:rFonts w:eastAsia="Times New Roman" w:cs="Calibri"/>
                <w:b/>
                <w:bCs/>
                <w:color w:val="FFFFFF"/>
                <w:lang w:eastAsia="es-CO"/>
              </w:rPr>
            </w:pPr>
            <w:r w:rsidRPr="009A2496">
              <w:rPr>
                <w:rFonts w:eastAsia="Times New Roman" w:cs="Calibri"/>
                <w:b/>
                <w:bCs/>
                <w:color w:val="FFFFFF"/>
                <w:lang w:eastAsia="es-CO"/>
              </w:rPr>
              <w:t>Cinco primeras causas de mortalidad de niños y niñas 2014 (Preliminar)</w:t>
            </w:r>
          </w:p>
        </w:tc>
        <w:tc>
          <w:tcPr>
            <w:tcW w:w="756" w:type="dxa"/>
            <w:tcBorders>
              <w:top w:val="single" w:sz="8" w:space="0" w:color="78C0D4"/>
              <w:bottom w:val="single" w:sz="8" w:space="0" w:color="78C0D4"/>
              <w:right w:val="single" w:sz="8" w:space="0" w:color="78C0D4"/>
            </w:tcBorders>
            <w:shd w:val="clear" w:color="auto" w:fill="4BACC6"/>
            <w:noWrap/>
            <w:hideMark/>
          </w:tcPr>
          <w:p w:rsidR="009A2496" w:rsidRPr="009A2496" w:rsidRDefault="009A2496" w:rsidP="00A92D87">
            <w:pPr>
              <w:spacing w:after="0" w:line="240" w:lineRule="auto"/>
              <w:jc w:val="center"/>
              <w:rPr>
                <w:rFonts w:eastAsia="Times New Roman" w:cs="Calibri"/>
                <w:b/>
                <w:bCs/>
                <w:color w:val="FFFFFF"/>
                <w:lang w:eastAsia="es-CO"/>
              </w:rPr>
            </w:pPr>
            <w:r w:rsidRPr="009A2496">
              <w:rPr>
                <w:rFonts w:eastAsia="Times New Roman" w:cs="Calibri"/>
                <w:b/>
                <w:bCs/>
                <w:color w:val="FFFFFF"/>
                <w:lang w:eastAsia="es-CO"/>
              </w:rPr>
              <w:t>TOTAL</w:t>
            </w:r>
          </w:p>
        </w:tc>
      </w:tr>
      <w:tr w:rsidR="009A2496" w:rsidRPr="009A2496" w:rsidTr="00000F81">
        <w:trPr>
          <w:trHeight w:val="540"/>
        </w:trPr>
        <w:tc>
          <w:tcPr>
            <w:tcW w:w="3512"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615 MALFORMACIONES CONGEN., DEFORMID.Y ANOMALIAS CROMOSOMICAS</w:t>
            </w:r>
          </w:p>
        </w:tc>
        <w:tc>
          <w:tcPr>
            <w:tcW w:w="756"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19</w:t>
            </w:r>
          </w:p>
        </w:tc>
      </w:tr>
      <w:tr w:rsidR="009A2496" w:rsidRPr="009A2496" w:rsidTr="00000F81">
        <w:trPr>
          <w:trHeight w:val="330"/>
        </w:trPr>
        <w:tc>
          <w:tcPr>
            <w:tcW w:w="3512" w:type="dxa"/>
            <w:tcBorders>
              <w:right w:val="nil"/>
            </w:tcBorders>
            <w:shd w:val="clear" w:color="auto" w:fill="auto"/>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407 OTRAS AFECC. ORIGINADAS EN PERIODO PERINATAL</w:t>
            </w:r>
          </w:p>
        </w:tc>
        <w:tc>
          <w:tcPr>
            <w:tcW w:w="756" w:type="dxa"/>
            <w:tcBorders>
              <w:left w:val="nil"/>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10</w:t>
            </w:r>
          </w:p>
        </w:tc>
      </w:tr>
      <w:tr w:rsidR="009A2496" w:rsidRPr="009A2496" w:rsidTr="00000F81">
        <w:trPr>
          <w:trHeight w:val="540"/>
        </w:trPr>
        <w:tc>
          <w:tcPr>
            <w:tcW w:w="3512"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404 TRAST. RESPIRATORIOS ESPECIFICOS DEL PERIODO PERINATAL</w:t>
            </w:r>
          </w:p>
        </w:tc>
        <w:tc>
          <w:tcPr>
            <w:tcW w:w="756"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9</w:t>
            </w:r>
          </w:p>
        </w:tc>
      </w:tr>
      <w:tr w:rsidR="009A2496" w:rsidRPr="009A2496" w:rsidTr="00000F81">
        <w:trPr>
          <w:trHeight w:val="431"/>
        </w:trPr>
        <w:tc>
          <w:tcPr>
            <w:tcW w:w="3512" w:type="dxa"/>
            <w:tcBorders>
              <w:right w:val="nil"/>
            </w:tcBorders>
            <w:shd w:val="clear" w:color="auto" w:fill="auto"/>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403 RETARDO CRECIM.FETAL, DESNUTR. FETAL., BAJO P./ NACER, GEST.CORTA</w:t>
            </w:r>
          </w:p>
        </w:tc>
        <w:tc>
          <w:tcPr>
            <w:tcW w:w="756" w:type="dxa"/>
            <w:tcBorders>
              <w:left w:val="nil"/>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6</w:t>
            </w:r>
          </w:p>
        </w:tc>
      </w:tr>
      <w:tr w:rsidR="009A2496" w:rsidRPr="009A2496" w:rsidTr="00000F81">
        <w:trPr>
          <w:trHeight w:val="430"/>
        </w:trPr>
        <w:tc>
          <w:tcPr>
            <w:tcW w:w="3512" w:type="dxa"/>
            <w:shd w:val="clear" w:color="auto" w:fill="D2EAF1"/>
            <w:hideMark/>
          </w:tcPr>
          <w:p w:rsidR="009A2496" w:rsidRPr="009A2496" w:rsidRDefault="009A2496" w:rsidP="00A92D87">
            <w:pPr>
              <w:spacing w:after="0" w:line="240" w:lineRule="auto"/>
              <w:rPr>
                <w:rFonts w:eastAsia="Times New Roman" w:cs="Calibri"/>
                <w:b/>
                <w:bCs/>
                <w:lang w:eastAsia="es-CO"/>
              </w:rPr>
            </w:pPr>
            <w:r w:rsidRPr="009A2496">
              <w:rPr>
                <w:rFonts w:eastAsia="Times New Roman" w:cs="Calibri"/>
                <w:b/>
                <w:bCs/>
                <w:lang w:eastAsia="es-CO"/>
              </w:rPr>
              <w:t>109 INFECCIONES RESPIRATORIAS AGUDAS</w:t>
            </w:r>
          </w:p>
        </w:tc>
        <w:tc>
          <w:tcPr>
            <w:tcW w:w="756" w:type="dxa"/>
            <w:shd w:val="clear" w:color="auto" w:fill="D2EAF1"/>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5</w:t>
            </w:r>
          </w:p>
        </w:tc>
      </w:tr>
    </w:tbl>
    <w:p w:rsidR="009A2496" w:rsidRPr="009A2496" w:rsidRDefault="009A2496" w:rsidP="00A92D87">
      <w:pPr>
        <w:spacing w:after="0" w:line="240" w:lineRule="auto"/>
      </w:pPr>
    </w:p>
    <w:p w:rsidR="009A2496" w:rsidRPr="009A2496" w:rsidRDefault="009A2496" w:rsidP="00A92D87">
      <w:pPr>
        <w:spacing w:after="0" w:line="240" w:lineRule="auto"/>
      </w:pPr>
    </w:p>
    <w:p w:rsidR="009A2496" w:rsidRPr="009A2496" w:rsidRDefault="009A2496" w:rsidP="00A92D87">
      <w:pPr>
        <w:spacing w:after="0" w:line="240" w:lineRule="auto"/>
        <w:rPr>
          <w:vanish/>
        </w:rPr>
      </w:pPr>
    </w:p>
    <w:p w:rsidR="009A2496" w:rsidRPr="009A2496" w:rsidRDefault="009A2496" w:rsidP="00A92D87">
      <w:pPr>
        <w:spacing w:after="0" w:line="240" w:lineRule="auto"/>
        <w:rPr>
          <w:rFonts w:eastAsia="Calibri" w:cs="Times New Roman"/>
        </w:rPr>
      </w:pPr>
      <w:r w:rsidRPr="009A2496">
        <w:rPr>
          <w:rFonts w:eastAsia="Calibri" w:cs="Times New Roman"/>
          <w:i/>
        </w:rPr>
        <w:t xml:space="preserve">FUENTE: DANE, Estadísticas </w:t>
      </w:r>
      <w:r w:rsidR="006B0C6D" w:rsidRPr="009A2496">
        <w:rPr>
          <w:rFonts w:eastAsia="Calibri" w:cs="Times New Roman"/>
          <w:i/>
        </w:rPr>
        <w:t>vitales FUENTE</w:t>
      </w:r>
      <w:r w:rsidRPr="009A2496">
        <w:rPr>
          <w:rFonts w:eastAsia="Calibri" w:cs="Times New Roman"/>
          <w:i/>
        </w:rPr>
        <w:t>: DANE, Estadísticas vitales</w:t>
      </w:r>
    </w:p>
    <w:p w:rsidR="009A2496" w:rsidRPr="009A2496" w:rsidRDefault="009A2496" w:rsidP="00A92D87">
      <w:pPr>
        <w:spacing w:after="0" w:line="240" w:lineRule="auto"/>
        <w:rPr>
          <w:rFonts w:eastAsia="Calibri" w:cs="Times New Roman"/>
        </w:rPr>
      </w:pPr>
    </w:p>
    <w:p w:rsidR="009A2496" w:rsidRDefault="009A2496" w:rsidP="00A92D87">
      <w:pPr>
        <w:spacing w:after="0" w:line="240" w:lineRule="auto"/>
        <w:rPr>
          <w:rFonts w:eastAsia="Calibri" w:cs="Times New Roman"/>
        </w:rPr>
      </w:pPr>
    </w:p>
    <w:p w:rsidR="003D55C4" w:rsidRPr="009A2496" w:rsidRDefault="003D55C4" w:rsidP="00A92D87">
      <w:pPr>
        <w:spacing w:after="0" w:line="240" w:lineRule="auto"/>
        <w:rPr>
          <w:rFonts w:eastAsia="Calibri" w:cs="Times New Roman"/>
        </w:rPr>
      </w:pPr>
    </w:p>
    <w:p w:rsidR="009A2496" w:rsidRPr="009A2496" w:rsidRDefault="009A2496" w:rsidP="00A92D87">
      <w:pPr>
        <w:numPr>
          <w:ilvl w:val="0"/>
          <w:numId w:val="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3D55C4">
      <w:pPr>
        <w:spacing w:line="240" w:lineRule="auto"/>
        <w:ind w:left="360"/>
        <w:jc w:val="both"/>
      </w:pPr>
      <w:r w:rsidRPr="009A2496">
        <w:t xml:space="preserve">Dentro de las causas principales de mortalidad en los niños y niñas menores de cinco años, se reflejan las malformaciones congénitas y otras afecciones en el período perinatal en el período 2011 a 2014. </w:t>
      </w:r>
    </w:p>
    <w:p w:rsidR="009A2496" w:rsidRPr="009A2496" w:rsidRDefault="009A2496" w:rsidP="003D55C4">
      <w:pPr>
        <w:spacing w:line="240" w:lineRule="auto"/>
        <w:ind w:left="360"/>
        <w:jc w:val="both"/>
        <w:rPr>
          <w:lang w:val="es-ES"/>
        </w:rPr>
      </w:pPr>
      <w:r w:rsidRPr="009A2496">
        <w:rPr>
          <w:lang w:val="es-ES"/>
        </w:rPr>
        <w:t xml:space="preserve">Lo cual orienta y dirige el trabajo a mantener y fortalecer los programas maternos infantiles: riesgo preconcepcional, control prenatal, parto y posparto, Estrategia AIEPI, Minuto de ORO, crecimiento y desarrollo y en mejorar la seguridad nutricional de las familias. </w:t>
      </w:r>
    </w:p>
    <w:p w:rsidR="009A2496" w:rsidRPr="009A2496" w:rsidRDefault="009A2496" w:rsidP="00A92D87">
      <w:pPr>
        <w:numPr>
          <w:ilvl w:val="0"/>
          <w:numId w:val="3"/>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3D55C4">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Dentro del Plan de Desarrollo Municipal “Pasto: Transformación productiva”, se encuentra contemplado éste indicador, con el fin de disminuir la mortalidad en niños y niñas menores de 5 año.  La Secretaría de Salud Municipal cuenta con un equipo de cuatro contratistas que conforman prioridad de salud infantil (tres enfermeras y un médico) y una funcionaria de planta como Coordinadora de la prioridad, para la ejecución de acciones relacionadas con propender la salud de los niños y niñas del Municipio,  desarrollando actividades de articulación intersectorial, seguimiento, evaluación y asistencia técnica a IPS y EPS,  fortalecimiento de la estrategia AIEPI en el componente clínico y comunitario y la implementación del Plan de Salud Pública de Intervenciones Colectivas. </w:t>
      </w:r>
      <w:r w:rsidR="003D55C4">
        <w:rPr>
          <w:rFonts w:eastAsia="Times New Roman" w:cs="Times New Roman"/>
          <w:lang w:val="es-ES" w:eastAsia="ar-SA"/>
        </w:rPr>
        <w:t xml:space="preserve"> </w:t>
      </w:r>
      <w:r w:rsidRPr="009A2496">
        <w:rPr>
          <w:rFonts w:eastAsia="Times New Roman" w:cs="Times New Roman"/>
          <w:lang w:val="es-ES" w:eastAsia="ar-SA"/>
        </w:rPr>
        <w:t>Adicionalmente se cuenta con un equipo de Unidades Centinelas en algunas zonas del área rural como apoyo a la comunidad.</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3D55C4">
      <w:pPr>
        <w:spacing w:line="240" w:lineRule="auto"/>
        <w:ind w:left="360"/>
        <w:jc w:val="both"/>
        <w:rPr>
          <w:rFonts w:cs="Arial"/>
        </w:rPr>
      </w:pPr>
      <w:r w:rsidRPr="009A2496">
        <w:t xml:space="preserve">El municipio de Pasto, a través de la Secretaría de Salud, se ejecuta un proyecto denominado “NIÑOS Y NIÑAS SALUDABLES DEL MUNICIPIO DE </w:t>
      </w:r>
      <w:r w:rsidRPr="009A2496">
        <w:rPr>
          <w:rFonts w:cs="Arial"/>
        </w:rPr>
        <w:t>PASTO” que busca lograr la articulación entre los actores inter e intrainstitucionales que intervienen en la Salud infantil, y el seguimiento, evaluación y asistencia técnica a EPS e IPS con el fin de verificar la adherencia a guías, normas, estrategias y protocolos.</w:t>
      </w:r>
    </w:p>
    <w:p w:rsidR="009A2496" w:rsidRPr="009A2496" w:rsidRDefault="009A2496" w:rsidP="003D55C4">
      <w:pPr>
        <w:spacing w:line="240" w:lineRule="auto"/>
        <w:ind w:left="360"/>
        <w:jc w:val="both"/>
        <w:rPr>
          <w:rFonts w:cs="Arial"/>
        </w:rPr>
      </w:pPr>
      <w:r w:rsidRPr="009A2496">
        <w:rPr>
          <w:rFonts w:cs="Arial"/>
        </w:rPr>
        <w:lastRenderedPageBreak/>
        <w:t>Además se aplica la Ruta de atención a la primera infancia e infancia enfocado a orientar y mejorar las actividades relacionadas con la salud infantil de nuestro Municipio.</w:t>
      </w:r>
    </w:p>
    <w:p w:rsidR="009A2496" w:rsidRPr="009A2496" w:rsidRDefault="009A2496" w:rsidP="003D55C4">
      <w:pPr>
        <w:spacing w:line="240" w:lineRule="auto"/>
        <w:ind w:left="360"/>
        <w:jc w:val="both"/>
        <w:rPr>
          <w:rFonts w:cs="Arial"/>
        </w:rPr>
      </w:pPr>
      <w:r w:rsidRPr="009A2496">
        <w:rPr>
          <w:rFonts w:cs="Arial"/>
        </w:rPr>
        <w:t>También se desarrolla el Plan de Intervenciones colectivas, a través del cual se ejecuta actividades de articulación y empoderamiento de la salud con la comunidad.</w:t>
      </w:r>
    </w:p>
    <w:p w:rsidR="009A2496" w:rsidRPr="003D55C4" w:rsidRDefault="009A2496" w:rsidP="00A92D87">
      <w:pPr>
        <w:suppressAutoHyphens/>
        <w:spacing w:after="0" w:line="240" w:lineRule="auto"/>
        <w:ind w:left="360"/>
        <w:contextualSpacing/>
        <w:jc w:val="both"/>
        <w:rPr>
          <w:rFonts w:eastAsia="Times New Roman" w:cs="Times New Roman"/>
          <w:lang w:eastAsia="ar-SA"/>
        </w:rPr>
      </w:pPr>
    </w:p>
    <w:p w:rsidR="009A2496" w:rsidRPr="009A2496" w:rsidRDefault="009A2496" w:rsidP="003D55C4">
      <w:pPr>
        <w:numPr>
          <w:ilvl w:val="0"/>
          <w:numId w:val="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426" w:hanging="426"/>
        <w:contextualSpacing/>
        <w:jc w:val="both"/>
        <w:rPr>
          <w:rFonts w:eastAsia="Times New Roman" w:cs="Arial"/>
          <w:color w:val="000000"/>
          <w:lang w:val="es-ES" w:eastAsia="ar-SA"/>
        </w:rPr>
      </w:pPr>
    </w:p>
    <w:p w:rsidR="009A2496" w:rsidRPr="009A2496" w:rsidRDefault="009A2496" w:rsidP="003D55C4">
      <w:pPr>
        <w:numPr>
          <w:ilvl w:val="0"/>
          <w:numId w:val="1"/>
        </w:numPr>
        <w:spacing w:after="0" w:line="240" w:lineRule="auto"/>
        <w:contextualSpacing/>
        <w:jc w:val="both"/>
        <w:rPr>
          <w:rFonts w:eastAsia="Times New Roman" w:cs="Arial"/>
          <w:b/>
          <w:bCs/>
          <w:color w:val="000000"/>
          <w:lang w:val="es-ES_tradnl" w:eastAsia="es-ES"/>
        </w:rPr>
      </w:pPr>
      <w:r w:rsidRPr="009A2496">
        <w:rPr>
          <w:rFonts w:eastAsia="Times New Roman" w:cs="Arial"/>
          <w:color w:val="000000"/>
          <w:lang w:val="es-ES" w:eastAsia="ar-SA"/>
        </w:rPr>
        <w:t>Política pública Municipal de primera infancia e infancia operando.</w:t>
      </w:r>
    </w:p>
    <w:p w:rsidR="009A2496" w:rsidRPr="009A2496" w:rsidRDefault="009A2496" w:rsidP="003D55C4">
      <w:pPr>
        <w:numPr>
          <w:ilvl w:val="0"/>
          <w:numId w:val="1"/>
        </w:numPr>
        <w:spacing w:after="0" w:line="240" w:lineRule="auto"/>
        <w:jc w:val="both"/>
        <w:rPr>
          <w:rFonts w:eastAsia="Calibri" w:cs="Arial"/>
          <w:color w:val="000000"/>
        </w:rPr>
      </w:pPr>
      <w:r w:rsidRPr="009A2496">
        <w:rPr>
          <w:rFonts w:eastAsia="Calibri" w:cs="Arial"/>
          <w:color w:val="000000"/>
        </w:rPr>
        <w:t>Lograda la adherencia a guías, normas técnicas y estrategias relacionadas con la Salud infantil del Municipio.</w:t>
      </w:r>
    </w:p>
    <w:p w:rsidR="009A2496" w:rsidRPr="0078472D" w:rsidRDefault="009A2496" w:rsidP="003D55C4">
      <w:pPr>
        <w:numPr>
          <w:ilvl w:val="0"/>
          <w:numId w:val="1"/>
        </w:numPr>
        <w:spacing w:after="0" w:line="240" w:lineRule="auto"/>
        <w:jc w:val="both"/>
        <w:rPr>
          <w:rFonts w:eastAsia="Calibri" w:cs="Arial"/>
          <w:b/>
        </w:rPr>
      </w:pPr>
      <w:r w:rsidRPr="009A2496">
        <w:rPr>
          <w:rFonts w:eastAsia="Calibri" w:cs="Arial"/>
          <w:color w:val="000000"/>
        </w:rPr>
        <w:t xml:space="preserve">Implementada la estrategia de movilización social para el empoderamiento de la comunidad. </w:t>
      </w:r>
    </w:p>
    <w:p w:rsidR="009A2496" w:rsidRPr="009A2496" w:rsidRDefault="009A2496" w:rsidP="003D55C4">
      <w:pPr>
        <w:numPr>
          <w:ilvl w:val="0"/>
          <w:numId w:val="1"/>
        </w:numPr>
        <w:spacing w:after="0" w:line="240" w:lineRule="auto"/>
        <w:jc w:val="both"/>
        <w:rPr>
          <w:rFonts w:eastAsia="Calibri" w:cs="Arial"/>
          <w:b/>
        </w:rPr>
      </w:pPr>
      <w:r w:rsidRPr="009A2496">
        <w:rPr>
          <w:rFonts w:eastAsia="Calibri" w:cs="Arial"/>
          <w:color w:val="000000"/>
        </w:rPr>
        <w:t>Ruta de atención integral a la primera infancia e infancia</w:t>
      </w:r>
    </w:p>
    <w:p w:rsidR="009A2496" w:rsidRPr="009A2496" w:rsidRDefault="009A2496" w:rsidP="003D55C4">
      <w:pPr>
        <w:numPr>
          <w:ilvl w:val="0"/>
          <w:numId w:val="1"/>
        </w:numPr>
        <w:spacing w:after="0" w:line="240" w:lineRule="auto"/>
        <w:jc w:val="both"/>
        <w:rPr>
          <w:rFonts w:eastAsia="Calibri" w:cs="Arial"/>
          <w:b/>
        </w:rPr>
      </w:pPr>
      <w:r w:rsidRPr="009A2496">
        <w:rPr>
          <w:rFonts w:eastAsia="Calibri" w:cs="Arial"/>
          <w:color w:val="000000"/>
        </w:rPr>
        <w:t>Componente AIEPI comunitario fortalecido a través de capacitaciones a actores sociales.</w:t>
      </w:r>
    </w:p>
    <w:p w:rsidR="009A2496" w:rsidRPr="003D55C4" w:rsidRDefault="009A2496" w:rsidP="00A92D87">
      <w:pPr>
        <w:suppressAutoHyphens/>
        <w:spacing w:after="0" w:line="240" w:lineRule="auto"/>
        <w:ind w:left="426" w:hanging="426"/>
        <w:contextualSpacing/>
        <w:jc w:val="both"/>
        <w:rPr>
          <w:rFonts w:eastAsia="Times New Roman" w:cs="Times New Roman"/>
          <w:lang w:eastAsia="ar-SA"/>
        </w:rPr>
      </w:pPr>
    </w:p>
    <w:p w:rsidR="009A2496" w:rsidRPr="009A2496" w:rsidRDefault="009A2496" w:rsidP="003D55C4">
      <w:pPr>
        <w:numPr>
          <w:ilvl w:val="0"/>
          <w:numId w:val="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426" w:hanging="426"/>
        <w:contextualSpacing/>
        <w:jc w:val="both"/>
        <w:rPr>
          <w:rFonts w:eastAsia="Times New Roman" w:cs="Times New Roman"/>
          <w:lang w:val="es-ES" w:eastAsia="ar-SA"/>
        </w:rPr>
      </w:pPr>
    </w:p>
    <w:p w:rsidR="009A2496" w:rsidRPr="009A2496" w:rsidRDefault="009A2496" w:rsidP="003D55C4">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Política pública Municipal de primera infancia e infancia</w:t>
      </w:r>
    </w:p>
    <w:p w:rsidR="009A2496" w:rsidRPr="009A2496" w:rsidRDefault="009A2496" w:rsidP="003D55C4">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Ruta de atención integral a la primera infancia e infancia</w:t>
      </w:r>
    </w:p>
    <w:p w:rsidR="009A2496" w:rsidRPr="009A2496" w:rsidRDefault="009A2496" w:rsidP="003D55C4">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Estrategia AIEPI operando en IPS públicas y privadas</w:t>
      </w:r>
    </w:p>
    <w:p w:rsidR="009A2496" w:rsidRPr="009A2496" w:rsidRDefault="009A2496" w:rsidP="003D55C4">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Unidades Centinelas (11) operando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D6CD6" w:rsidRDefault="009D6CD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Positivo: Se evidencian avances en la Estrategia AIEPI en las IPS públicas y privadas.  El trabajo comunitario con la estrategia y las Unidades centinelas se ha evidenciado en los indicadores de mortalidad y morbilidad, y en el conocimiento de los aspectos con la salud infantil.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3D55C4">
      <w:pPr>
        <w:spacing w:after="0" w:line="240" w:lineRule="auto"/>
        <w:ind w:left="360"/>
        <w:jc w:val="both"/>
      </w:pPr>
      <w:r w:rsidRPr="009A2496">
        <w:t>Es importante fortalecer la articulación interinstitucional, con el fin de continuar aunando</w:t>
      </w:r>
      <w:r w:rsidR="003D55C4">
        <w:t xml:space="preserve"> </w:t>
      </w:r>
      <w:r w:rsidRPr="009A2496">
        <w:t>esfuerzos para evitar que los niños y niñas se nos mueran por enfermedades prevenibles.  Esto se logra trabajando de la mano con las IPS, EPS y con la comunidad en general, para que reconozcan los signos de peligro y acudan oportunamente a los centros de salud más cercanos.</w:t>
      </w:r>
    </w:p>
    <w:p w:rsidR="009A2496" w:rsidRPr="009A2496" w:rsidRDefault="009A2496" w:rsidP="00A92D87">
      <w:pPr>
        <w:spacing w:after="0" w:line="240" w:lineRule="auto"/>
        <w:jc w:val="both"/>
      </w:pPr>
    </w:p>
    <w:p w:rsidR="009A2496" w:rsidRPr="009A2496" w:rsidRDefault="009A2496" w:rsidP="003D55C4">
      <w:pPr>
        <w:spacing w:after="0" w:line="240" w:lineRule="auto"/>
        <w:ind w:left="360"/>
        <w:jc w:val="both"/>
      </w:pPr>
      <w:r w:rsidRPr="009A2496">
        <w:rPr>
          <w:color w:val="000000"/>
          <w:lang w:val="es-ES_tradnl"/>
        </w:rPr>
        <w:t xml:space="preserve">Algunos aspectos como los bajos recursos económicos, factores culturales y educativos, pueden generar un impacto negativo, es por eso que el trabajo se debe enfocar en la educación a la comunidad a través del AIEPI Comunitario y la adecuada priorización de problemas para una oportuna intervención de los mismos. Es importante reconocer que la salud infantil empieza desde la preconcepción hasta los cinco años, por lo tanto dichas </w:t>
      </w:r>
      <w:r w:rsidRPr="009A2496">
        <w:rPr>
          <w:color w:val="000000"/>
          <w:lang w:val="es-ES_tradnl"/>
        </w:rPr>
        <w:lastRenderedPageBreak/>
        <w:t xml:space="preserve">actividades se deben implementar desde las mujeres en edad fértil, gestación, parto, posparto y en el nacimiento hasta los 5 años.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3D55C4">
      <w:pPr>
        <w:numPr>
          <w:ilvl w:val="0"/>
          <w:numId w:val="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3D55C4">
      <w:pPr>
        <w:spacing w:line="240" w:lineRule="auto"/>
        <w:ind w:left="360"/>
        <w:jc w:val="both"/>
      </w:pPr>
      <w:r w:rsidRPr="009A2496">
        <w:t xml:space="preserve">Se debe continuar trabajando en el seguimiento, evaluación y asistencia técnica con el fin de vigilar que las normas, guías, protocolos y estrategias se estén aplicando satisfactoriamente. </w:t>
      </w:r>
    </w:p>
    <w:p w:rsidR="009A2496" w:rsidRPr="009A2496" w:rsidRDefault="009A2496" w:rsidP="003D55C4">
      <w:pPr>
        <w:spacing w:line="240" w:lineRule="auto"/>
        <w:ind w:left="360"/>
        <w:jc w:val="both"/>
      </w:pPr>
      <w:r w:rsidRPr="009A2496">
        <w:t xml:space="preserve">Dentro del mejoramiento de la calidad de atención es necesario fortalecer la aplicación de la Estrategia AIEPI, y en el componente comunitario las Unidades Centinelas, siendo ellas las primeras promotoras de la educación con la comunidad, y el puente de articulación con la prestación, en el marco de la referencia y contrareferencia. </w:t>
      </w:r>
    </w:p>
    <w:p w:rsidR="009A2496" w:rsidRDefault="009A2496" w:rsidP="003D55C4">
      <w:pPr>
        <w:spacing w:line="240" w:lineRule="auto"/>
        <w:ind w:left="360"/>
        <w:jc w:val="both"/>
      </w:pPr>
      <w:r w:rsidRPr="009A2496">
        <w:t xml:space="preserve">De igual manera, la ruta de atención integral a la primera infancia e infancia, es una estrategia clave para orientar el trabajo de las EPS, IPS y actores sociales que intervienen en la misma, y garantizar la mejor atención a los niños y niñas de nuestro Municipio. </w:t>
      </w:r>
    </w:p>
    <w:p w:rsidR="0078472D" w:rsidRDefault="0078472D" w:rsidP="00A92D87">
      <w:pPr>
        <w:spacing w:line="240" w:lineRule="auto"/>
        <w:jc w:val="both"/>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254"/>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397"/>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mortalidad por ERA en niños y niñas menores de 5 años</w:t>
            </w:r>
          </w:p>
        </w:tc>
      </w:tr>
      <w:tr w:rsidR="009A2496" w:rsidRPr="009A2496" w:rsidTr="00000F81">
        <w:trPr>
          <w:trHeight w:val="801"/>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RUAF-ND</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Default="009A2496" w:rsidP="00A92D87">
      <w:pPr>
        <w:spacing w:after="200" w:line="240" w:lineRule="auto"/>
        <w:rPr>
          <w:rFonts w:eastAsia="Calibri" w:cs="Times New Roman"/>
        </w:rPr>
      </w:pPr>
    </w:p>
    <w:p w:rsidR="003D55C4" w:rsidRDefault="003D55C4">
      <w:pPr>
        <w:rPr>
          <w:rFonts w:eastAsia="Calibri" w:cs="Times New Roman"/>
        </w:rPr>
      </w:pPr>
      <w:r>
        <w:rPr>
          <w:rFonts w:eastAsia="Calibri" w:cs="Times New Roman"/>
        </w:rPr>
        <w:br w:type="page"/>
      </w:r>
    </w:p>
    <w:p w:rsidR="003D55C4" w:rsidRDefault="003D55C4" w:rsidP="00A92D87">
      <w:pPr>
        <w:spacing w:after="200" w:line="240" w:lineRule="auto"/>
        <w:rPr>
          <w:rFonts w:eastAsia="Calibri" w:cs="Times New Roman"/>
        </w:rPr>
      </w:pPr>
    </w:p>
    <w:p w:rsidR="009A2496" w:rsidRPr="009A2496" w:rsidRDefault="009A2496" w:rsidP="00A92D87">
      <w:pPr>
        <w:numPr>
          <w:ilvl w:val="0"/>
          <w:numId w:val="6"/>
        </w:numPr>
        <w:suppressAutoHyphens/>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pacing w:after="0" w:line="240" w:lineRule="auto"/>
        <w:rPr>
          <w:rFonts w:eastAsia="Calibri" w:cs="Times New Roman"/>
        </w:rPr>
      </w:pP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617210" cy="3027680"/>
            <wp:effectExtent l="0" t="0" r="2540" b="127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RUAF-ND</w:t>
      </w: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6"/>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3D55C4">
      <w:pPr>
        <w:spacing w:after="200" w:line="240" w:lineRule="auto"/>
        <w:ind w:left="360"/>
        <w:jc w:val="both"/>
        <w:rPr>
          <w:rFonts w:eastAsia="Calibri" w:cs="Times New Roman"/>
        </w:rPr>
      </w:pPr>
      <w:r w:rsidRPr="009A2496">
        <w:rPr>
          <w:rFonts w:eastAsia="Calibri" w:cs="Times New Roman"/>
        </w:rPr>
        <w:t xml:space="preserve">La tasa de mortalidad por ERA en niños y niñas menores de 5 años es un indicador que se vigila en los sistemas de salud del mundo. </w:t>
      </w:r>
      <w:r w:rsidRPr="009A2496">
        <w:rPr>
          <w:rFonts w:eastAsia="Calibri" w:cs="Arial"/>
        </w:rPr>
        <w:t>Es un indicador útil de la condición de la salud no solo en la población menor de 5 años, sino de toda la población y de las condiciones socioeconómicas en las que viven.</w:t>
      </w:r>
      <w:r w:rsidRPr="009A2496">
        <w:rPr>
          <w:rFonts w:eastAsia="Calibri" w:cs="Times New Roman"/>
        </w:rPr>
        <w:t xml:space="preserve"> (Indicadores de Salud Infantil Organización Mundial de la Salud- OMS).</w:t>
      </w:r>
    </w:p>
    <w:p w:rsidR="009A2496" w:rsidRPr="009A2496" w:rsidRDefault="009A2496" w:rsidP="003D55C4">
      <w:pPr>
        <w:spacing w:after="200" w:line="240" w:lineRule="auto"/>
        <w:ind w:left="360"/>
        <w:jc w:val="both"/>
        <w:rPr>
          <w:rFonts w:eastAsia="Calibri" w:cs="Times New Roman"/>
          <w:lang w:val="es-ES"/>
        </w:rPr>
      </w:pPr>
      <w:r w:rsidRPr="009A2496">
        <w:rPr>
          <w:rFonts w:eastAsia="Calibri" w:cs="Times New Roman"/>
          <w:lang w:val="es-ES"/>
        </w:rPr>
        <w:t xml:space="preserve">El comportamiento de éste indicador, en el año 2011 no se evidencia casos, mientras que en el año 2012 a 2014, se presentan casos que aumentan el indicador.  El trabajo articulado para lograr disminuir éste indicador es sin lugar a dudas la Estrategia AIEPI en sus tres componentes. Siendo necesario fortalecerla con sus nuevos componentes, a través de la capacitación, seguimiento y asistencia técnica al personal operativo, y a las Unidades Centinelas y comunidad en general.  </w:t>
      </w:r>
    </w:p>
    <w:p w:rsidR="009A2496" w:rsidRPr="009A2496" w:rsidRDefault="009A2496" w:rsidP="00A92D87">
      <w:pPr>
        <w:numPr>
          <w:ilvl w:val="0"/>
          <w:numId w:val="6"/>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3D55C4">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Dentro del Plan de Desarrollo Municipal “Pasto: Transformación productiva”, se encuentra contemplado éste indicador, con el fin de disminuir la mortalidad por ERA en niños y niñas menores de 5 años.  La Secretaría de Salud Municipal cuenta con un equipo de cuatro contratistas que conforman prioridad de salud infantil (tres enfermeras y un médico) y una funcionaria de planta como Coordinadora de la prioridad, para la ejecución de acciones relacionadas con propender la salud de los niños y niñas del Municipio,  desarrollando actividades de articulación intersectorial, seguimiento, evaluación y asistencia técnica a IPS y </w:t>
      </w:r>
      <w:r w:rsidRPr="009A2496">
        <w:rPr>
          <w:rFonts w:eastAsia="Times New Roman" w:cs="Times New Roman"/>
          <w:lang w:val="es-ES" w:eastAsia="ar-SA"/>
        </w:rPr>
        <w:lastRenderedPageBreak/>
        <w:t xml:space="preserve">EPS,  fortalecimiento de la estrategia AIEPI en el componente clínico y comunitario y la implementación del Plan de Salud Pública de Intervenciones Colectivas. </w:t>
      </w:r>
      <w:r w:rsidR="003D55C4">
        <w:rPr>
          <w:rFonts w:eastAsia="Times New Roman" w:cs="Times New Roman"/>
          <w:lang w:val="es-ES" w:eastAsia="ar-SA"/>
        </w:rPr>
        <w:t xml:space="preserve"> </w:t>
      </w:r>
      <w:r w:rsidRPr="009A2496">
        <w:rPr>
          <w:rFonts w:eastAsia="Times New Roman" w:cs="Times New Roman"/>
          <w:lang w:val="es-ES" w:eastAsia="ar-SA"/>
        </w:rPr>
        <w:t>Adicionalmente se cuenta con un equipo de Unidades Centinelas en algunas zonas del área rural como apoyo a la comunidad.</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6"/>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3D55C4">
      <w:pPr>
        <w:spacing w:after="200" w:line="240" w:lineRule="auto"/>
        <w:ind w:left="360"/>
        <w:jc w:val="both"/>
        <w:rPr>
          <w:rFonts w:eastAsia="Calibri" w:cs="Arial"/>
        </w:rPr>
      </w:pPr>
      <w:r w:rsidRPr="009A2496">
        <w:rPr>
          <w:rFonts w:eastAsia="Calibri" w:cs="Times New Roman"/>
        </w:rPr>
        <w:t xml:space="preserve">El municipio de Pasto, a través de la Secretaría de Salud, se ejecuta un proyecto denominado “NIÑOS Y NIÑAS SALUDABLES DEL MUNICIPIO DE </w:t>
      </w:r>
      <w:r w:rsidRPr="009A2496">
        <w:rPr>
          <w:rFonts w:eastAsia="Calibri" w:cs="Arial"/>
        </w:rPr>
        <w:t>PASTO” que busca lograr la articulación entre los actores inter e intrainstitucionales que intervienen en la Salud infantil, y el seguimiento, evaluación y asistencia técnica a EPS e IPS con el fin de verificar la adherencia a guías, normas, estrategias y protocolos.</w:t>
      </w:r>
    </w:p>
    <w:p w:rsidR="009A2496" w:rsidRPr="009A2496" w:rsidRDefault="009A2496" w:rsidP="003D55C4">
      <w:pPr>
        <w:spacing w:after="200" w:line="240" w:lineRule="auto"/>
        <w:ind w:left="360"/>
        <w:jc w:val="both"/>
        <w:rPr>
          <w:rFonts w:eastAsia="Calibri" w:cs="Arial"/>
        </w:rPr>
      </w:pPr>
      <w:r w:rsidRPr="009A2496">
        <w:rPr>
          <w:rFonts w:eastAsia="Calibri" w:cs="Arial"/>
        </w:rPr>
        <w:t>Además se aplica la Ruta de atención a la primera infancia e infancia enfocado a orientar y mejorar las actividades relacionadas con la salud infantil de nuestro Municipio.</w:t>
      </w:r>
    </w:p>
    <w:p w:rsidR="009A2496" w:rsidRPr="009A2496" w:rsidRDefault="009A2496" w:rsidP="003D55C4">
      <w:pPr>
        <w:spacing w:after="200" w:line="240" w:lineRule="auto"/>
        <w:ind w:left="360"/>
        <w:jc w:val="both"/>
        <w:rPr>
          <w:rFonts w:eastAsia="Calibri" w:cs="Arial"/>
        </w:rPr>
      </w:pPr>
      <w:r w:rsidRPr="009A2496">
        <w:rPr>
          <w:rFonts w:eastAsia="Calibri" w:cs="Arial"/>
        </w:rPr>
        <w:t>También se desarrolla el Plan de Intervenciones colectivas, a través del cual se ejecuta actividades de articulación y empoderamiento de la salud con la comunidad.</w:t>
      </w:r>
    </w:p>
    <w:p w:rsidR="009A2496" w:rsidRPr="003D55C4" w:rsidRDefault="009A2496" w:rsidP="00A92D87">
      <w:pPr>
        <w:suppressAutoHyphens/>
        <w:spacing w:after="0" w:line="240" w:lineRule="auto"/>
        <w:ind w:left="360"/>
        <w:contextualSpacing/>
        <w:jc w:val="both"/>
        <w:rPr>
          <w:rFonts w:eastAsia="Times New Roman" w:cs="Times New Roman"/>
          <w:lang w:eastAsia="ar-SA"/>
        </w:rPr>
      </w:pPr>
    </w:p>
    <w:p w:rsidR="009A2496" w:rsidRPr="009A2496" w:rsidRDefault="009A2496" w:rsidP="00A92D87">
      <w:pPr>
        <w:numPr>
          <w:ilvl w:val="0"/>
          <w:numId w:val="6"/>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numPr>
          <w:ilvl w:val="0"/>
          <w:numId w:val="1"/>
        </w:numPr>
        <w:spacing w:after="0" w:line="240" w:lineRule="auto"/>
        <w:contextualSpacing/>
        <w:jc w:val="both"/>
        <w:rPr>
          <w:rFonts w:eastAsia="Times New Roman" w:cs="Arial"/>
          <w:b/>
          <w:bCs/>
          <w:color w:val="000000"/>
          <w:lang w:val="es-ES_tradnl" w:eastAsia="es-ES"/>
        </w:rPr>
      </w:pPr>
      <w:r w:rsidRPr="009A2496">
        <w:rPr>
          <w:rFonts w:eastAsia="Times New Roman" w:cs="Arial"/>
          <w:color w:val="000000"/>
          <w:lang w:val="es-ES" w:eastAsia="ar-SA"/>
        </w:rPr>
        <w:t>Política pública Municipal de primera infancia e infancia operando.</w:t>
      </w:r>
    </w:p>
    <w:p w:rsidR="009A2496" w:rsidRPr="009A2496" w:rsidRDefault="009A2496" w:rsidP="00A92D87">
      <w:pPr>
        <w:numPr>
          <w:ilvl w:val="0"/>
          <w:numId w:val="1"/>
        </w:numPr>
        <w:spacing w:after="0" w:line="240" w:lineRule="auto"/>
        <w:jc w:val="both"/>
        <w:rPr>
          <w:rFonts w:eastAsia="Calibri" w:cs="Arial"/>
          <w:color w:val="000000"/>
        </w:rPr>
      </w:pPr>
      <w:r w:rsidRPr="009A2496">
        <w:rPr>
          <w:rFonts w:eastAsia="Calibri" w:cs="Arial"/>
          <w:color w:val="000000"/>
        </w:rPr>
        <w:t xml:space="preserve">Lograda la adherencia a guías, normas técnicas y estrategias relacionadas con la Salud infantil del Municipio. </w:t>
      </w:r>
    </w:p>
    <w:p w:rsidR="009A2496" w:rsidRPr="009A2496" w:rsidRDefault="009A2496" w:rsidP="00A92D87">
      <w:pPr>
        <w:numPr>
          <w:ilvl w:val="0"/>
          <w:numId w:val="1"/>
        </w:numPr>
        <w:spacing w:after="0" w:line="240" w:lineRule="auto"/>
        <w:jc w:val="both"/>
        <w:rPr>
          <w:rFonts w:eastAsia="Calibri" w:cs="Arial"/>
          <w:color w:val="000000"/>
        </w:rPr>
      </w:pPr>
      <w:r w:rsidRPr="009A2496">
        <w:rPr>
          <w:rFonts w:eastAsia="Calibri" w:cs="Arial"/>
          <w:color w:val="000000"/>
        </w:rPr>
        <w:t>3 Salas ERA Institucionales (Hospital Local Civil, Centro Hospital La Rosa y Centro de Salud Lorenzo)</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 xml:space="preserve">Implementada la estrategia de movilización social para el empoderamiento de la comunidad. </w:t>
      </w:r>
    </w:p>
    <w:p w:rsidR="009A2496" w:rsidRPr="0078472D" w:rsidRDefault="009A2496" w:rsidP="00A92D87">
      <w:pPr>
        <w:numPr>
          <w:ilvl w:val="0"/>
          <w:numId w:val="1"/>
        </w:numPr>
        <w:spacing w:after="0" w:line="240" w:lineRule="auto"/>
        <w:jc w:val="both"/>
        <w:rPr>
          <w:rFonts w:eastAsia="Calibri" w:cs="Arial"/>
          <w:b/>
        </w:rPr>
      </w:pPr>
      <w:r w:rsidRPr="009A2496">
        <w:rPr>
          <w:rFonts w:eastAsia="Calibri" w:cs="Arial"/>
          <w:color w:val="000000"/>
        </w:rPr>
        <w:t>Ruta de atención integral a la primera infancia e infancia</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Componente AIEPI comunitario fortalecido a través de capacitaciones a actores sociales.</w:t>
      </w:r>
    </w:p>
    <w:p w:rsidR="009A2496" w:rsidRPr="003D55C4" w:rsidRDefault="009A2496" w:rsidP="00A92D87">
      <w:pPr>
        <w:suppressAutoHyphens/>
        <w:spacing w:after="0" w:line="240" w:lineRule="auto"/>
        <w:ind w:left="360"/>
        <w:contextualSpacing/>
        <w:jc w:val="both"/>
        <w:rPr>
          <w:rFonts w:eastAsia="Times New Roman" w:cs="Times New Roman"/>
          <w:lang w:eastAsia="ar-SA"/>
        </w:rPr>
      </w:pPr>
    </w:p>
    <w:p w:rsidR="009A2496" w:rsidRPr="009A2496" w:rsidRDefault="009A2496" w:rsidP="00A92D87">
      <w:pPr>
        <w:numPr>
          <w:ilvl w:val="0"/>
          <w:numId w:val="6"/>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Política pública Municipal de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Ruta de atención integral a la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Estrategia AIEPI operando en IPS públicas y privadas</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Unidades Centinelas (11) operando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6"/>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3D55C4">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Positivo: Se evidencian avances en la Estrategia AIEPI en las IPS públicas y privadas.  El trabajo comunitario con la estrategia y las Unidades centinelas se ha evidenciado en los indicadores de mortalidad y morbilidad, y en el conocimiento de los aspectos con la salud infantil.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6"/>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3D55C4">
      <w:pPr>
        <w:spacing w:after="0" w:line="240" w:lineRule="auto"/>
        <w:ind w:left="360"/>
        <w:jc w:val="both"/>
        <w:rPr>
          <w:rFonts w:eastAsia="Calibri" w:cs="Times New Roman"/>
        </w:rPr>
      </w:pPr>
      <w:r w:rsidRPr="009A2496">
        <w:rPr>
          <w:rFonts w:eastAsia="Calibri" w:cs="Times New Roman"/>
        </w:rPr>
        <w:lastRenderedPageBreak/>
        <w:t>Es importante fortalecer la articulación interinstitucional, con el fin de continuar aunando esfuerzos para evitar que los niños y niñas se nos mueran por enfermedades prevenibles.  Esto se logra trabajando de la mano con las IPS, EPS y con la comunidad en general, para que reconozcan los signos de peligro y acudan oportunamente a los centros de salud más cercanos.</w:t>
      </w:r>
    </w:p>
    <w:p w:rsidR="009A2496" w:rsidRPr="009A2496" w:rsidRDefault="009A2496" w:rsidP="00A92D87">
      <w:pPr>
        <w:spacing w:after="0" w:line="240" w:lineRule="auto"/>
        <w:jc w:val="both"/>
        <w:rPr>
          <w:rFonts w:eastAsia="Calibri" w:cs="Times New Roman"/>
        </w:rPr>
      </w:pPr>
    </w:p>
    <w:p w:rsidR="009A2496" w:rsidRPr="009A2496" w:rsidRDefault="009A2496" w:rsidP="003D55C4">
      <w:pPr>
        <w:spacing w:after="0" w:line="240" w:lineRule="auto"/>
        <w:ind w:left="360"/>
        <w:jc w:val="both"/>
        <w:rPr>
          <w:rFonts w:eastAsia="Calibri" w:cs="Times New Roman"/>
        </w:rPr>
      </w:pPr>
      <w:r w:rsidRPr="009A2496">
        <w:rPr>
          <w:rFonts w:eastAsia="Calibri" w:cs="Times New Roman"/>
          <w:color w:val="000000"/>
          <w:lang w:val="es-ES_tradnl"/>
        </w:rPr>
        <w:t xml:space="preserve">Algunos aspectos como los bajos recursos económicos, factores culturales y educativos, pueden generar un impacto negativo, es por eso que el trabajo se debe enfocar en la educación a la comunidad a través del AIEPI Comunitario y la adecuada priorización de problemas para una oportuna intervención de los mismos.  Es importante reconocer que la salud infantil empieza desde la preconcepción hasta los cinco años, por lo tanto dichas actividades se deben implementar desde las mujeres en edad fértil, gestación, parto, posparto y en el nacimiento hasta los 5 años.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6"/>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3D55C4">
      <w:pPr>
        <w:spacing w:after="200" w:line="240" w:lineRule="auto"/>
        <w:ind w:left="360"/>
        <w:jc w:val="both"/>
        <w:rPr>
          <w:rFonts w:eastAsia="Calibri" w:cs="Times New Roman"/>
        </w:rPr>
      </w:pPr>
      <w:r w:rsidRPr="009A2496">
        <w:rPr>
          <w:rFonts w:eastAsia="Calibri" w:cs="Times New Roman"/>
        </w:rPr>
        <w:t xml:space="preserve">Se debe continuar trabajando en el seguimiento, evaluación y asistencia técnica con el fin de vigilar que las normas, guías, protocolos y estrategias se estén aplicando satisfactoriamente. </w:t>
      </w:r>
    </w:p>
    <w:p w:rsidR="009A2496" w:rsidRPr="009A2496" w:rsidRDefault="009A2496" w:rsidP="003D55C4">
      <w:pPr>
        <w:spacing w:after="200" w:line="240" w:lineRule="auto"/>
        <w:ind w:left="360"/>
        <w:jc w:val="both"/>
        <w:rPr>
          <w:rFonts w:eastAsia="Calibri" w:cs="Times New Roman"/>
        </w:rPr>
      </w:pPr>
      <w:r w:rsidRPr="009A2496">
        <w:rPr>
          <w:rFonts w:eastAsia="Calibri" w:cs="Times New Roman"/>
        </w:rPr>
        <w:t xml:space="preserve">Dentro del mejoramiento de la calidad de atención es necesario fortalecer la aplicación de la Estrategia AIEPI, y en el componente comunitario las Unidades Centinelas, siendo ellas las primeras promotoras de la educación con la comunidad, y el puente de articulación con la prestación, en el marco de la referencia y contrareferencia. </w:t>
      </w:r>
    </w:p>
    <w:p w:rsidR="009A2496" w:rsidRDefault="009A2496" w:rsidP="003D55C4">
      <w:pPr>
        <w:spacing w:after="200" w:line="240" w:lineRule="auto"/>
        <w:ind w:left="360"/>
        <w:jc w:val="both"/>
        <w:rPr>
          <w:rFonts w:eastAsia="Calibri" w:cs="Times New Roman"/>
        </w:rPr>
      </w:pPr>
      <w:r w:rsidRPr="009A2496">
        <w:rPr>
          <w:rFonts w:eastAsia="Calibri" w:cs="Times New Roman"/>
        </w:rPr>
        <w:t xml:space="preserve">De igual manera, la ruta de atención integral a la primera infancia e infancia, es una estrategia clave para orientar el trabajo de las EPS, IPS y actores sociales que intervienen en la misma, y garantizar la mejor atención a los niños y niñas de nuestro Municipio.   </w:t>
      </w:r>
    </w:p>
    <w:p w:rsidR="009A2496" w:rsidRPr="009A2496" w:rsidRDefault="009A2496" w:rsidP="00A92D87">
      <w:pPr>
        <w:spacing w:after="200" w:line="240" w:lineRule="auto"/>
        <w:rPr>
          <w:rFonts w:eastAsia="Calibri" w:cs="Times New Roman"/>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8</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03"/>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mortalidad por EDA en niños y niñas menores de 5 años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RUAF-ND</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5"/>
        </w:numPr>
        <w:suppressAutoHyphens/>
        <w:spacing w:after="0" w:line="240" w:lineRule="auto"/>
        <w:contextualSpacing/>
        <w:rPr>
          <w:rFonts w:eastAsia="Times New Roman" w:cs="Times New Roman"/>
          <w:b/>
          <w:lang w:val="es-ES" w:eastAsia="ar-SA"/>
        </w:rPr>
      </w:pPr>
      <w:r w:rsidRPr="009A2496">
        <w:rPr>
          <w:rFonts w:eastAsia="Times New Roman" w:cs="Times New Roman"/>
          <w:b/>
          <w:lang w:val="es-ES" w:eastAsia="ar-SA"/>
        </w:rPr>
        <w:lastRenderedPageBreak/>
        <w:t>Información estadística</w:t>
      </w:r>
    </w:p>
    <w:p w:rsidR="009A2496" w:rsidRPr="009A2496" w:rsidRDefault="009A2496" w:rsidP="00A92D87">
      <w:pPr>
        <w:spacing w:after="0" w:line="240" w:lineRule="auto"/>
        <w:rPr>
          <w:rFonts w:eastAsia="Calibri" w:cs="Times New Roman"/>
        </w:rPr>
      </w:pP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617210" cy="2941320"/>
            <wp:effectExtent l="0" t="0" r="2540" b="1143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w:t>
      </w:r>
      <w:r w:rsidR="006B0C6D" w:rsidRPr="009A2496">
        <w:rPr>
          <w:rFonts w:eastAsia="Calibri" w:cs="Times New Roman"/>
        </w:rPr>
        <w:t>: RUAF</w:t>
      </w:r>
      <w:r w:rsidRPr="009A2496">
        <w:rPr>
          <w:rFonts w:eastAsia="Calibri" w:cs="Times New Roman"/>
        </w:rPr>
        <w:t>-ND</w:t>
      </w: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5"/>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Default="009A2496" w:rsidP="003D55C4">
      <w:pPr>
        <w:spacing w:after="200" w:line="240" w:lineRule="auto"/>
        <w:ind w:left="360"/>
        <w:jc w:val="both"/>
        <w:rPr>
          <w:rFonts w:eastAsia="Calibri" w:cs="Times New Roman"/>
        </w:rPr>
      </w:pPr>
      <w:r w:rsidRPr="009A2496">
        <w:rPr>
          <w:rFonts w:eastAsia="Calibri" w:cs="Times New Roman"/>
        </w:rPr>
        <w:t xml:space="preserve">La tasa de mortalidad por EDA en niños y niñas menores de 5 años es un indicador que se vigila en los sistemas de salud del mundo. </w:t>
      </w:r>
      <w:r w:rsidRPr="009A2496">
        <w:rPr>
          <w:rFonts w:eastAsia="Calibri" w:cs="Arial"/>
        </w:rPr>
        <w:t>Es un indicador útil de la condición de la salud no solo en la población menor de 5 años, sino de toda la población y de las condiciones socioeconómicas en las que viven.</w:t>
      </w:r>
      <w:r w:rsidRPr="009A2496">
        <w:rPr>
          <w:rFonts w:eastAsia="Calibri" w:cs="Times New Roman"/>
        </w:rPr>
        <w:t xml:space="preserve"> (Indicadores de Salud Infantil Organización Mundial de la Salud- OMS).</w:t>
      </w:r>
    </w:p>
    <w:p w:rsidR="009A2496" w:rsidRPr="009A2496" w:rsidRDefault="009A2496" w:rsidP="003D55C4">
      <w:pPr>
        <w:spacing w:after="200" w:line="240" w:lineRule="auto"/>
        <w:ind w:left="360"/>
        <w:jc w:val="both"/>
        <w:rPr>
          <w:rFonts w:eastAsia="Calibri" w:cs="Times New Roman"/>
          <w:lang w:val="es-ES"/>
        </w:rPr>
      </w:pPr>
      <w:r w:rsidRPr="009A2496">
        <w:rPr>
          <w:rFonts w:eastAsia="Calibri" w:cs="Times New Roman"/>
          <w:lang w:val="es-ES"/>
        </w:rPr>
        <w:t xml:space="preserve">El comportamiento de éste indicador, en los años 2011 a 2014 se presenta con cero casos, lo que refleja el trabajo articulado y fortalecido con la Estrategia AIEPI en sus tres componentes. Siendo necesario mantenerla con sus nuevos componentes, a través de la capacitación, seguimiento y asistencia técnica al personal operativo, y a las Unidades Centinelas y comunidad en general.  </w:t>
      </w:r>
    </w:p>
    <w:p w:rsidR="009A2496" w:rsidRPr="009A2496" w:rsidRDefault="009A2496" w:rsidP="00A92D87">
      <w:pPr>
        <w:numPr>
          <w:ilvl w:val="0"/>
          <w:numId w:val="5"/>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3D55C4">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La Secretaría de Salud Municipal cuenta con un equipo de cuatro contratistas que conforman prioridad de salud infantil (tres enfermeras y un médico) y una funcionaria de planta como Coordinadora de la prioridad, para la ejecución de acciones relacionadas con propender la salud de los niños y niñas del Municipio,  desarrollando actividades de articulación intersectorial, seguimiento, evaluación y asistencia técnica a IPS y EPS,  fortalecimiento de la estrategia AIEPI en el componente clínico y comunitario y la implementación del Plan de Salud Pública de Intervenciones Colectivas. </w:t>
      </w:r>
      <w:r w:rsidR="003D55C4">
        <w:rPr>
          <w:rFonts w:eastAsia="Times New Roman" w:cs="Times New Roman"/>
          <w:lang w:val="es-ES" w:eastAsia="ar-SA"/>
        </w:rPr>
        <w:t xml:space="preserve"> </w:t>
      </w:r>
      <w:r w:rsidRPr="009A2496">
        <w:rPr>
          <w:rFonts w:eastAsia="Times New Roman" w:cs="Times New Roman"/>
          <w:lang w:val="es-ES" w:eastAsia="ar-SA"/>
        </w:rPr>
        <w:t>Adicionalmente se cuenta con un equipo de Unidades Centinelas en algunas zonas del área rural como apoyo a la comunidad.</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5"/>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lastRenderedPageBreak/>
        <w:t>Programas, Proyectos y Acciones para mejorar la situación del indicador (2012 -2015)</w:t>
      </w:r>
    </w:p>
    <w:p w:rsidR="009A2496" w:rsidRPr="009A2496" w:rsidRDefault="009A2496" w:rsidP="003D55C4">
      <w:pPr>
        <w:spacing w:after="200" w:line="240" w:lineRule="auto"/>
        <w:ind w:left="360"/>
        <w:jc w:val="both"/>
        <w:rPr>
          <w:rFonts w:eastAsia="Calibri" w:cs="Arial"/>
        </w:rPr>
      </w:pPr>
      <w:r w:rsidRPr="009A2496">
        <w:rPr>
          <w:rFonts w:eastAsia="Calibri" w:cs="Times New Roman"/>
        </w:rPr>
        <w:t xml:space="preserve">El municipio de Pasto, a través de la Secretaría de Salud, se ejecuta un proyecto denominado “NIÑOS Y NIÑAS SALUDABLES DEL MUNICIPIO DE </w:t>
      </w:r>
      <w:r w:rsidRPr="009A2496">
        <w:rPr>
          <w:rFonts w:eastAsia="Calibri" w:cs="Arial"/>
        </w:rPr>
        <w:t>PASTO” que busca lograr la articulación entre los actores inter e intrainstitucionales que intervienen en la Salud infantil, y el seguimiento, evaluación y asistencia técnica a EPS e IPS con el fin de verificar la adherencia a guías, normas, estrategias y protocolos.</w:t>
      </w:r>
    </w:p>
    <w:p w:rsidR="009A2496" w:rsidRPr="009A2496" w:rsidRDefault="009A2496" w:rsidP="003D55C4">
      <w:pPr>
        <w:spacing w:after="200" w:line="240" w:lineRule="auto"/>
        <w:ind w:left="360"/>
        <w:jc w:val="both"/>
        <w:rPr>
          <w:rFonts w:eastAsia="Calibri" w:cs="Arial"/>
        </w:rPr>
      </w:pPr>
      <w:r w:rsidRPr="009A2496">
        <w:rPr>
          <w:rFonts w:eastAsia="Calibri" w:cs="Arial"/>
        </w:rPr>
        <w:t>Además se aplica la Ruta de atención a la primera infancia e infancia enfocado a orientar y mejorar las actividades relacionadas con la salud infantil de nuestro Municipio.</w:t>
      </w:r>
    </w:p>
    <w:p w:rsidR="009A2496" w:rsidRPr="009A2496" w:rsidRDefault="009A2496" w:rsidP="003D55C4">
      <w:pPr>
        <w:spacing w:after="200" w:line="240" w:lineRule="auto"/>
        <w:ind w:left="360"/>
        <w:jc w:val="both"/>
        <w:rPr>
          <w:rFonts w:eastAsia="Calibri" w:cs="Arial"/>
        </w:rPr>
      </w:pPr>
      <w:r w:rsidRPr="009A2496">
        <w:rPr>
          <w:rFonts w:eastAsia="Calibri" w:cs="Arial"/>
        </w:rPr>
        <w:t>También se desarrolla el Plan de Intervenciones colectivas, a través del cual se ejecuta actividades de articulación y empoderamiento de la salud con la comunidad.</w:t>
      </w:r>
    </w:p>
    <w:p w:rsidR="009A2496" w:rsidRPr="009A2496" w:rsidRDefault="009A2496" w:rsidP="00A92D87">
      <w:pPr>
        <w:numPr>
          <w:ilvl w:val="0"/>
          <w:numId w:val="5"/>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numPr>
          <w:ilvl w:val="0"/>
          <w:numId w:val="1"/>
        </w:numPr>
        <w:spacing w:after="0" w:line="240" w:lineRule="auto"/>
        <w:contextualSpacing/>
        <w:jc w:val="both"/>
        <w:rPr>
          <w:rFonts w:eastAsia="Times New Roman" w:cs="Arial"/>
          <w:b/>
          <w:bCs/>
          <w:color w:val="000000"/>
          <w:lang w:val="es-ES_tradnl" w:eastAsia="es-ES"/>
        </w:rPr>
      </w:pPr>
      <w:r w:rsidRPr="009A2496">
        <w:rPr>
          <w:rFonts w:eastAsia="Times New Roman" w:cs="Arial"/>
          <w:color w:val="000000"/>
          <w:lang w:val="es-ES" w:eastAsia="ar-SA"/>
        </w:rPr>
        <w:t>Política pública Municipal de primera infancia e infancia operando.</w:t>
      </w:r>
    </w:p>
    <w:p w:rsidR="009A2496" w:rsidRPr="009A2496" w:rsidRDefault="009A2496" w:rsidP="00A92D87">
      <w:pPr>
        <w:numPr>
          <w:ilvl w:val="0"/>
          <w:numId w:val="1"/>
        </w:numPr>
        <w:spacing w:after="0" w:line="240" w:lineRule="auto"/>
        <w:jc w:val="both"/>
        <w:rPr>
          <w:rFonts w:eastAsia="Calibri" w:cs="Arial"/>
          <w:color w:val="000000"/>
        </w:rPr>
      </w:pPr>
      <w:r w:rsidRPr="009A2496">
        <w:rPr>
          <w:rFonts w:eastAsia="Calibri" w:cs="Arial"/>
          <w:color w:val="000000"/>
        </w:rPr>
        <w:t xml:space="preserve">Lograda la adherencia a guías, normas técnicas y estrategias relacionadas con la Salud infantil del Municipio. </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 xml:space="preserve">Implementada la estrategia de movilización social para el empoderamiento de la comunidad. </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Ruta de atención integral a la primera infancia e infancia</w:t>
      </w:r>
    </w:p>
    <w:p w:rsidR="009A2496" w:rsidRPr="003D55C4" w:rsidRDefault="009A2496" w:rsidP="00A92D87">
      <w:pPr>
        <w:numPr>
          <w:ilvl w:val="0"/>
          <w:numId w:val="1"/>
        </w:numPr>
        <w:spacing w:after="0" w:line="240" w:lineRule="auto"/>
        <w:jc w:val="both"/>
        <w:rPr>
          <w:rFonts w:eastAsia="Calibri" w:cs="Arial"/>
          <w:b/>
        </w:rPr>
      </w:pPr>
      <w:r w:rsidRPr="009A2496">
        <w:rPr>
          <w:rFonts w:eastAsia="Calibri" w:cs="Arial"/>
          <w:color w:val="000000"/>
        </w:rPr>
        <w:t>Componente AIEPI comunitario fortalecido a través de capacitaciones a actores sociales.</w:t>
      </w:r>
    </w:p>
    <w:p w:rsidR="003D55C4" w:rsidRPr="009A2496" w:rsidRDefault="003D55C4" w:rsidP="003D55C4">
      <w:pPr>
        <w:spacing w:after="0" w:line="240" w:lineRule="auto"/>
        <w:ind w:left="1080"/>
        <w:jc w:val="both"/>
        <w:rPr>
          <w:rFonts w:eastAsia="Calibri" w:cs="Arial"/>
          <w:b/>
        </w:rPr>
      </w:pPr>
    </w:p>
    <w:p w:rsidR="009A2496" w:rsidRPr="009A2496" w:rsidRDefault="009A2496" w:rsidP="00A92D87">
      <w:pPr>
        <w:numPr>
          <w:ilvl w:val="0"/>
          <w:numId w:val="5"/>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Política pública Municipal de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Ruta de atención integral a la primera infancia e infancia</w:t>
      </w:r>
    </w:p>
    <w:p w:rsid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Estrategia AIEPI operando en IPS públicas y privadas</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Unidades Centinelas (11) operando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5"/>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Positivo: Se evidencian avances en la Estrategia AIEPI en las IPS públicas y privadas.  El trabajo comunitario con la estrategia y las Unidades centinelas se ha evidenciado en los indicadores de mortalidad y morbilidad, y en el conocimiento de los aspectos con la salud infantil.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5"/>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3D55C4">
      <w:pPr>
        <w:spacing w:after="0" w:line="240" w:lineRule="auto"/>
        <w:ind w:left="360"/>
        <w:jc w:val="both"/>
        <w:rPr>
          <w:rFonts w:eastAsia="Calibri" w:cs="Times New Roman"/>
        </w:rPr>
      </w:pPr>
      <w:r w:rsidRPr="009A2496">
        <w:rPr>
          <w:rFonts w:eastAsia="Calibri" w:cs="Times New Roman"/>
        </w:rPr>
        <w:t>Es importante fortalecer la articulación interinstitucional, con el fin de continuar aunando esfuerzos para evitar que los niños y niñas se nos mueran por enfermedades prevenibles.  Esto se logra trabajando de la mano con las IPS, EPS y con la comunidad en general, para que reconozcan los signos de peligro y acudan oportunamente a los centros de salud más cercanos.</w:t>
      </w:r>
    </w:p>
    <w:p w:rsidR="009A2496" w:rsidRPr="009A2496" w:rsidRDefault="009A2496" w:rsidP="00A92D87">
      <w:pPr>
        <w:spacing w:after="0" w:line="240" w:lineRule="auto"/>
        <w:jc w:val="both"/>
        <w:rPr>
          <w:rFonts w:eastAsia="Calibri" w:cs="Times New Roman"/>
        </w:rPr>
      </w:pPr>
    </w:p>
    <w:p w:rsidR="009A2496" w:rsidRPr="009A2496" w:rsidRDefault="009A2496" w:rsidP="003D55C4">
      <w:pPr>
        <w:spacing w:after="0" w:line="240" w:lineRule="auto"/>
        <w:ind w:left="360"/>
        <w:jc w:val="both"/>
        <w:rPr>
          <w:rFonts w:eastAsia="Calibri" w:cs="Times New Roman"/>
        </w:rPr>
      </w:pPr>
      <w:r w:rsidRPr="009A2496">
        <w:rPr>
          <w:rFonts w:eastAsia="Calibri" w:cs="Times New Roman"/>
          <w:color w:val="000000"/>
          <w:lang w:val="es-ES_tradnl"/>
        </w:rPr>
        <w:t xml:space="preserve">Algunos aspectos como los bajos recursos económicos, factores culturales y educativos, pueden generar un impacto negativo, es por eso que el trabajo se debe enfocar en la educación a la comunidad a través del AIEPI Comunitario y la adecuada priorización de </w:t>
      </w:r>
      <w:r w:rsidRPr="009A2496">
        <w:rPr>
          <w:rFonts w:eastAsia="Calibri" w:cs="Times New Roman"/>
          <w:color w:val="000000"/>
          <w:lang w:val="es-ES_tradnl"/>
        </w:rPr>
        <w:lastRenderedPageBreak/>
        <w:t xml:space="preserve">problemas para una oportuna intervención de los mismos.  Es importante reconocer que la salud infantil empieza desde la preconcepción hasta los cinco años, por lo tanto dichas actividades se deben implementar desde las mujeres en edad fértil, gestación, parto, posparto y en el nacimiento hasta los 5 años.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5"/>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3D55C4">
      <w:pPr>
        <w:spacing w:after="200" w:line="240" w:lineRule="auto"/>
        <w:ind w:left="360"/>
        <w:jc w:val="both"/>
        <w:rPr>
          <w:rFonts w:eastAsia="Calibri" w:cs="Times New Roman"/>
        </w:rPr>
      </w:pPr>
      <w:r w:rsidRPr="009A2496">
        <w:rPr>
          <w:rFonts w:eastAsia="Calibri" w:cs="Times New Roman"/>
        </w:rPr>
        <w:t xml:space="preserve">Se debe continuar trabajando en el seguimiento, evaluación y asistencia técnica con el fin de vigilar que las normas, guías, protocolos y estrategias se estén aplicando satisfactoriamente. </w:t>
      </w:r>
    </w:p>
    <w:p w:rsidR="009A2496" w:rsidRPr="009A2496" w:rsidRDefault="009A2496" w:rsidP="003D55C4">
      <w:pPr>
        <w:spacing w:after="200" w:line="240" w:lineRule="auto"/>
        <w:ind w:left="360"/>
        <w:jc w:val="both"/>
        <w:rPr>
          <w:rFonts w:eastAsia="Calibri" w:cs="Times New Roman"/>
        </w:rPr>
      </w:pPr>
      <w:r w:rsidRPr="009A2496">
        <w:rPr>
          <w:rFonts w:eastAsia="Calibri" w:cs="Times New Roman"/>
        </w:rPr>
        <w:t xml:space="preserve">Dentro del mejoramiento de la calidad de atención es necesario fortalecer la aplicación de la Estrategia AIEPI, y en el componente comunitario las Unidades Centinelas, siendo ellas las primeras promotoras de la educación con la comunidad, y el puente de articulación con la prestación, en el marco de la referencia y contrareferencia. </w:t>
      </w:r>
    </w:p>
    <w:p w:rsidR="009A2496" w:rsidRDefault="009A2496" w:rsidP="00BC5E44">
      <w:pPr>
        <w:spacing w:after="200" w:line="240" w:lineRule="auto"/>
        <w:ind w:left="360"/>
        <w:jc w:val="both"/>
        <w:rPr>
          <w:rFonts w:eastAsia="Calibri" w:cs="Times New Roman"/>
        </w:rPr>
      </w:pPr>
      <w:r w:rsidRPr="009A2496">
        <w:rPr>
          <w:rFonts w:eastAsia="Calibri" w:cs="Times New Roman"/>
        </w:rPr>
        <w:t xml:space="preserve">De igual manera, la ruta de atención integral a la primera infancia e infancia, es una estrategia clave para orientar el trabajo de las EPS, IPS y actores sociales que intervienen en la misma, y garantizar la mejor atención a los niños y niñas de nuestro Municipio.   </w:t>
      </w:r>
    </w:p>
    <w:p w:rsidR="00BC5E44" w:rsidRPr="009A2496" w:rsidRDefault="00BC5E44" w:rsidP="00BC5E44">
      <w:pPr>
        <w:spacing w:after="200" w:line="240" w:lineRule="auto"/>
        <w:ind w:left="360"/>
        <w:jc w:val="both"/>
        <w:rPr>
          <w:rFonts w:eastAsia="Calibri" w:cs="Times New Roman"/>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9</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68"/>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Mortalidad en niños, niñas y adolescentes por malaria (Casos)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SIVIGILA</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33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Default="009A2496" w:rsidP="00A92D87">
      <w:pPr>
        <w:spacing w:after="200" w:line="240" w:lineRule="auto"/>
        <w:rPr>
          <w:rFonts w:eastAsia="Calibri" w:cs="Times New Roman"/>
        </w:rPr>
      </w:pPr>
    </w:p>
    <w:p w:rsidR="00BC5E44" w:rsidRDefault="00BC5E44">
      <w:pPr>
        <w:rPr>
          <w:rFonts w:eastAsia="Calibri" w:cs="Times New Roman"/>
        </w:rPr>
      </w:pPr>
      <w:r>
        <w:rPr>
          <w:rFonts w:eastAsia="Calibri" w:cs="Times New Roman"/>
        </w:rPr>
        <w:br w:type="page"/>
      </w:r>
    </w:p>
    <w:p w:rsidR="00BC5E44" w:rsidRPr="009A2496" w:rsidRDefault="00BC5E44" w:rsidP="00A92D87">
      <w:pPr>
        <w:spacing w:after="200" w:line="240" w:lineRule="auto"/>
        <w:rPr>
          <w:rFonts w:eastAsia="Calibri" w:cs="Times New Roman"/>
        </w:rPr>
      </w:pPr>
    </w:p>
    <w:p w:rsidR="009A2496" w:rsidRPr="009A2496" w:rsidRDefault="009A2496" w:rsidP="00A92D87">
      <w:pPr>
        <w:numPr>
          <w:ilvl w:val="0"/>
          <w:numId w:val="42"/>
        </w:numPr>
        <w:suppressAutoHyphens/>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360"/>
        <w:contextualSpacing/>
        <w:rPr>
          <w:rFonts w:eastAsia="Times New Roman" w:cs="Times New Roman"/>
          <w:b/>
          <w:lang w:val="es-ES" w:eastAsia="ar-SA"/>
        </w:rPr>
      </w:pP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617210" cy="3025140"/>
            <wp:effectExtent l="0" t="0" r="2540" b="381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SIVIGILA</w:t>
      </w:r>
    </w:p>
    <w:p w:rsidR="009A2496" w:rsidRPr="009A2496" w:rsidRDefault="009A2496" w:rsidP="00A92D87">
      <w:pPr>
        <w:spacing w:after="0" w:line="240" w:lineRule="auto"/>
        <w:rPr>
          <w:rFonts w:eastAsia="Calibri" w:cs="Times New Roman"/>
        </w:rPr>
      </w:pP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42"/>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Situación detectada: </w:t>
      </w:r>
    </w:p>
    <w:p w:rsidR="009A2496" w:rsidRPr="009A2496" w:rsidRDefault="009A2496" w:rsidP="00BC5E44">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Teniendo en cuenta que el  municipio de Pasto no es una zona endémica para el evento, la probabilidad de que se presente es muy baja; sin embargo, no estamos exentos de que algún momento se presente una mortalidad por dengue importado de las zonas endémicas.  Por otra parte nuestras IPS de primer, segundo y tercer nivel de complejidad tienen capacidad resolutiva para atender los casos que se presenten.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2"/>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 xml:space="preserve">Insumos: </w:t>
      </w:r>
    </w:p>
    <w:p w:rsidR="009A2496" w:rsidRDefault="009A2496" w:rsidP="00BC5E44">
      <w:pPr>
        <w:spacing w:after="200" w:line="240" w:lineRule="auto"/>
        <w:ind w:left="360"/>
        <w:jc w:val="both"/>
        <w:rPr>
          <w:rFonts w:eastAsia="Calibri" w:cs="Times New Roman"/>
        </w:rPr>
      </w:pPr>
      <w:r w:rsidRPr="009A2496">
        <w:rPr>
          <w:rFonts w:eastAsia="Calibri" w:cs="Times New Roman"/>
        </w:rPr>
        <w:t>La Secretaria Municipal de Salud cuenta con un equipo de vigilancia en Salud Pública capacitado, con el fin de actuar en el momento en que se presenten casos.</w:t>
      </w:r>
    </w:p>
    <w:p w:rsidR="00BC5E44" w:rsidRDefault="00BC5E44">
      <w:pPr>
        <w:rPr>
          <w:rFonts w:eastAsia="Calibri" w:cs="Times New Roman"/>
        </w:rPr>
      </w:pPr>
      <w:r>
        <w:rPr>
          <w:rFonts w:eastAsia="Calibri" w:cs="Times New Roman"/>
        </w:rPr>
        <w:br w:type="page"/>
      </w:r>
    </w:p>
    <w:p w:rsidR="00BC5E44" w:rsidRDefault="00BC5E44" w:rsidP="00BC5E44">
      <w:pPr>
        <w:spacing w:after="200" w:line="240" w:lineRule="auto"/>
        <w:ind w:left="360"/>
        <w:jc w:val="both"/>
        <w:rPr>
          <w:rFonts w:eastAsia="Calibri" w:cs="Times New Roman"/>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10</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68"/>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Mortalidad en niños, niñas y adolescentes por dengue (casos)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SIVIGILA</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41"/>
        </w:numPr>
        <w:suppressAutoHyphens/>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549265" cy="2911475"/>
            <wp:effectExtent l="0" t="0" r="13335" b="3175"/>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2496" w:rsidRDefault="009A2496" w:rsidP="00A92D87">
      <w:pPr>
        <w:spacing w:after="0" w:line="240" w:lineRule="auto"/>
        <w:rPr>
          <w:rFonts w:eastAsia="Calibri" w:cs="Times New Roman"/>
        </w:rPr>
      </w:pPr>
      <w:r w:rsidRPr="009A2496">
        <w:rPr>
          <w:rFonts w:eastAsia="Calibri" w:cs="Times New Roman"/>
        </w:rPr>
        <w:t>FUENTE: SIVIGILA</w:t>
      </w:r>
    </w:p>
    <w:p w:rsidR="00BC5E44" w:rsidRDefault="00BC5E44">
      <w:pPr>
        <w:rPr>
          <w:rFonts w:eastAsia="Calibri" w:cs="Times New Roman"/>
        </w:rPr>
      </w:pPr>
      <w:r>
        <w:rPr>
          <w:rFonts w:eastAsia="Calibri" w:cs="Times New Roman"/>
        </w:rPr>
        <w:br w:type="page"/>
      </w:r>
    </w:p>
    <w:p w:rsidR="00BC5E44" w:rsidRPr="009A2496" w:rsidRDefault="00BC5E44" w:rsidP="00A92D87">
      <w:pPr>
        <w:spacing w:after="0" w:line="240" w:lineRule="auto"/>
        <w:rPr>
          <w:rFonts w:eastAsia="Calibri" w:cs="Times New Roman"/>
        </w:rPr>
      </w:pPr>
    </w:p>
    <w:p w:rsidR="009A2496" w:rsidRPr="009A2496" w:rsidRDefault="009A2496" w:rsidP="00A92D87">
      <w:pPr>
        <w:numPr>
          <w:ilvl w:val="0"/>
          <w:numId w:val="41"/>
        </w:numPr>
        <w:spacing w:after="0" w:line="240" w:lineRule="auto"/>
        <w:contextualSpacing/>
        <w:jc w:val="both"/>
        <w:rPr>
          <w:rFonts w:eastAsia="Times New Roman" w:cs="Times New Roman"/>
          <w:lang w:val="es-ES" w:eastAsia="ar-SA"/>
        </w:rPr>
      </w:pPr>
      <w:r w:rsidRPr="009A2496">
        <w:rPr>
          <w:rFonts w:eastAsia="Times New Roman" w:cs="Times New Roman"/>
          <w:b/>
          <w:lang w:val="es-ES" w:eastAsia="ar-SA"/>
        </w:rPr>
        <w:t xml:space="preserve">Situación detectada: </w:t>
      </w:r>
    </w:p>
    <w:p w:rsid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Teniendo en cuenta que el municipio de Pasto no es una zona endémica para el evento, la probabilidad de que se presente es muy baja; sin embargo, no estamos exentos de que algún momento se presente una mortalidad por dengue importado de las zonas endémicas.  </w:t>
      </w:r>
    </w:p>
    <w:p w:rsidR="0078472D" w:rsidRPr="009A2496" w:rsidRDefault="0078472D"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Por otra parte nuestras IPS de primer, segundo y tercer nivel de complejidad tienen capacidad resolutiva para atender los casos que se presenten.</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41"/>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 xml:space="preserve">Insumos: </w:t>
      </w:r>
    </w:p>
    <w:p w:rsidR="00BC5E44" w:rsidRDefault="009A2496" w:rsidP="00BC5E44">
      <w:pPr>
        <w:suppressAutoHyphens/>
        <w:spacing w:after="0" w:line="240" w:lineRule="auto"/>
        <w:ind w:left="360"/>
        <w:contextualSpacing/>
        <w:jc w:val="both"/>
        <w:rPr>
          <w:rFonts w:eastAsia="Times New Roman" w:cs="Times New Roman"/>
          <w:b/>
          <w:lang w:val="es-ES" w:eastAsia="ar-SA"/>
        </w:rPr>
      </w:pPr>
      <w:r w:rsidRPr="009A2496">
        <w:rPr>
          <w:rFonts w:eastAsia="Times New Roman" w:cs="Times New Roman"/>
          <w:lang w:val="es-ES" w:eastAsia="ar-SA"/>
        </w:rPr>
        <w:t>La Secretaria Municipal de Salud cuenta con un equipo de vigilancia en Salud Pública capacitado, con el fin de actuar en el momento en que se presenten casos.</w:t>
      </w:r>
    </w:p>
    <w:p w:rsidR="00BC5E44" w:rsidRDefault="00BC5E44" w:rsidP="00BC5E44">
      <w:pPr>
        <w:suppressAutoHyphens/>
        <w:spacing w:after="0" w:line="240" w:lineRule="auto"/>
        <w:ind w:left="360"/>
        <w:contextualSpacing/>
        <w:jc w:val="both"/>
        <w:rPr>
          <w:rFonts w:eastAsia="Times New Roman" w:cs="Times New Roman"/>
          <w:lang w:val="es-ES" w:eastAsia="ar-SA"/>
        </w:rPr>
      </w:pPr>
    </w:p>
    <w:p w:rsidR="009A2496" w:rsidRPr="00BC5E44" w:rsidRDefault="009A2496" w:rsidP="00BC5E44">
      <w:pPr>
        <w:suppressAutoHyphens/>
        <w:spacing w:after="0" w:line="240" w:lineRule="auto"/>
        <w:ind w:left="360"/>
        <w:contextualSpacing/>
        <w:jc w:val="both"/>
        <w:rPr>
          <w:rFonts w:eastAsia="Times New Roman" w:cs="Times New Roman"/>
          <w:b/>
          <w:lang w:val="es-ES" w:eastAsia="ar-SA"/>
        </w:rPr>
      </w:pPr>
      <w:r w:rsidRPr="009A2496">
        <w:rPr>
          <w:rFonts w:eastAsia="Times New Roman" w:cs="Times New Roman"/>
          <w:lang w:val="es-ES" w:eastAsia="ar-SA"/>
        </w:rPr>
        <w:t xml:space="preserve">Indicador No. 11 </w:t>
      </w:r>
    </w:p>
    <w:p w:rsidR="009A2496" w:rsidRPr="009A2496" w:rsidRDefault="009A2496" w:rsidP="00A92D87">
      <w:pPr>
        <w:suppressAutoHyphens/>
        <w:spacing w:after="0" w:line="240" w:lineRule="auto"/>
        <w:ind w:left="1080"/>
        <w:contextualSpacing/>
        <w:rPr>
          <w:rFonts w:eastAsia="Times New Roman" w:cs="Times New Roman"/>
          <w:lang w:val="es-ES" w:eastAsia="ar-SA"/>
        </w:rPr>
      </w:pPr>
    </w:p>
    <w:p w:rsidR="009A2496" w:rsidRPr="009A2496" w:rsidRDefault="009A2496" w:rsidP="00BC5E44">
      <w:pPr>
        <w:suppressAutoHyphens/>
        <w:spacing w:after="0" w:line="240" w:lineRule="auto"/>
        <w:ind w:left="360"/>
        <w:contextualSpacing/>
        <w:rPr>
          <w:rFonts w:eastAsia="Times New Roman" w:cs="Times New Roman"/>
          <w:lang w:val="es-ES" w:eastAsia="ar-SA"/>
        </w:rPr>
      </w:pPr>
      <w:r w:rsidRPr="009A2496">
        <w:rPr>
          <w:rFonts w:eastAsia="Times New Roman" w:cs="Times New Roman"/>
          <w:lang w:val="es-ES" w:eastAsia="ar-SA"/>
        </w:rPr>
        <w:t>Indicador: Prevalencia de desnutrición crónica o retraso en talla para la edad en menores de 5 años</w:t>
      </w:r>
    </w:p>
    <w:p w:rsidR="009A2496" w:rsidRPr="009A2496" w:rsidRDefault="009A2496" w:rsidP="00A92D87">
      <w:pPr>
        <w:suppressAutoHyphens/>
        <w:spacing w:after="0" w:line="240" w:lineRule="auto"/>
        <w:ind w:left="1080"/>
        <w:contextualSpacing/>
        <w:rPr>
          <w:rFonts w:eastAsia="Times New Roman" w:cs="Times New Roman"/>
          <w:lang w:val="es-ES" w:eastAsia="ar-SA"/>
        </w:rPr>
      </w:pPr>
    </w:p>
    <w:tbl>
      <w:tblPr>
        <w:tblStyle w:val="Tablaconcuadrcula"/>
        <w:tblW w:w="0" w:type="auto"/>
        <w:tblLook w:val="04A0"/>
      </w:tblPr>
      <w:tblGrid>
        <w:gridCol w:w="2207"/>
        <w:gridCol w:w="2207"/>
        <w:gridCol w:w="2207"/>
        <w:gridCol w:w="2207"/>
      </w:tblGrid>
      <w:tr w:rsidR="009A2496" w:rsidRPr="009A2496" w:rsidTr="00000F81">
        <w:tc>
          <w:tcPr>
            <w:tcW w:w="2207" w:type="dxa"/>
          </w:tcPr>
          <w:p w:rsidR="009A2496" w:rsidRPr="009A2496" w:rsidRDefault="009A2496" w:rsidP="00A92D87">
            <w:pPr>
              <w:jc w:val="center"/>
              <w:rPr>
                <w:b/>
              </w:rPr>
            </w:pPr>
            <w:r w:rsidRPr="009A2496">
              <w:rPr>
                <w:b/>
              </w:rPr>
              <w:t>AÑO</w:t>
            </w:r>
          </w:p>
        </w:tc>
        <w:tc>
          <w:tcPr>
            <w:tcW w:w="2207" w:type="dxa"/>
          </w:tcPr>
          <w:p w:rsidR="009A2496" w:rsidRPr="009A2496" w:rsidRDefault="009A2496" w:rsidP="00A92D87">
            <w:pPr>
              <w:jc w:val="center"/>
              <w:rPr>
                <w:b/>
              </w:rPr>
            </w:pPr>
            <w:r w:rsidRPr="009A2496">
              <w:rPr>
                <w:b/>
              </w:rPr>
              <w:t>NUMERADOR</w:t>
            </w:r>
          </w:p>
        </w:tc>
        <w:tc>
          <w:tcPr>
            <w:tcW w:w="2207" w:type="dxa"/>
          </w:tcPr>
          <w:p w:rsidR="009A2496" w:rsidRPr="009A2496" w:rsidRDefault="009A2496" w:rsidP="00A92D87">
            <w:pPr>
              <w:jc w:val="center"/>
              <w:rPr>
                <w:b/>
              </w:rPr>
            </w:pPr>
            <w:r w:rsidRPr="009A2496">
              <w:rPr>
                <w:b/>
              </w:rPr>
              <w:t>DENOMINADOR</w:t>
            </w:r>
          </w:p>
        </w:tc>
        <w:tc>
          <w:tcPr>
            <w:tcW w:w="2207" w:type="dxa"/>
          </w:tcPr>
          <w:p w:rsidR="009A2496" w:rsidRPr="009A2496" w:rsidRDefault="009A2496" w:rsidP="00A92D87">
            <w:pPr>
              <w:jc w:val="center"/>
              <w:rPr>
                <w:b/>
              </w:rPr>
            </w:pPr>
            <w:r w:rsidRPr="009A2496">
              <w:rPr>
                <w:b/>
              </w:rPr>
              <w:t>RESULTADO</w:t>
            </w:r>
          </w:p>
        </w:tc>
      </w:tr>
      <w:tr w:rsidR="009A2496" w:rsidRPr="009A2496" w:rsidTr="00000F81">
        <w:tc>
          <w:tcPr>
            <w:tcW w:w="2207" w:type="dxa"/>
          </w:tcPr>
          <w:p w:rsidR="009A2496" w:rsidRPr="009A2496" w:rsidRDefault="009A2496" w:rsidP="00A92D87">
            <w:pPr>
              <w:jc w:val="center"/>
              <w:rPr>
                <w:b/>
              </w:rPr>
            </w:pPr>
            <w:r w:rsidRPr="009A2496">
              <w:rPr>
                <w:b/>
              </w:rPr>
              <w:t>2011</w:t>
            </w:r>
          </w:p>
        </w:tc>
        <w:tc>
          <w:tcPr>
            <w:tcW w:w="2207" w:type="dxa"/>
          </w:tcPr>
          <w:p w:rsidR="009A2496" w:rsidRPr="009A2496" w:rsidRDefault="009A2496" w:rsidP="00A92D87">
            <w:pPr>
              <w:jc w:val="both"/>
            </w:pPr>
            <w:r w:rsidRPr="009A2496">
              <w:t>1273</w:t>
            </w:r>
          </w:p>
        </w:tc>
        <w:tc>
          <w:tcPr>
            <w:tcW w:w="2207" w:type="dxa"/>
          </w:tcPr>
          <w:p w:rsidR="009A2496" w:rsidRPr="009A2496" w:rsidRDefault="009A2496" w:rsidP="00A92D87">
            <w:pPr>
              <w:jc w:val="both"/>
            </w:pPr>
            <w:r w:rsidRPr="009A2496">
              <w:t>10655</w:t>
            </w:r>
          </w:p>
        </w:tc>
        <w:tc>
          <w:tcPr>
            <w:tcW w:w="2207" w:type="dxa"/>
          </w:tcPr>
          <w:p w:rsidR="009A2496" w:rsidRPr="009A2496" w:rsidRDefault="009A2496" w:rsidP="00A92D87">
            <w:pPr>
              <w:jc w:val="both"/>
            </w:pPr>
            <w:r w:rsidRPr="009A2496">
              <w:t>11.9</w:t>
            </w:r>
          </w:p>
        </w:tc>
      </w:tr>
      <w:tr w:rsidR="009A2496" w:rsidRPr="009A2496" w:rsidTr="00000F81">
        <w:tc>
          <w:tcPr>
            <w:tcW w:w="2207" w:type="dxa"/>
          </w:tcPr>
          <w:p w:rsidR="009A2496" w:rsidRPr="009A2496" w:rsidRDefault="009A2496" w:rsidP="00A92D87">
            <w:pPr>
              <w:jc w:val="center"/>
              <w:rPr>
                <w:b/>
              </w:rPr>
            </w:pPr>
            <w:r w:rsidRPr="009A2496">
              <w:rPr>
                <w:b/>
              </w:rPr>
              <w:t>2012</w:t>
            </w:r>
          </w:p>
        </w:tc>
        <w:tc>
          <w:tcPr>
            <w:tcW w:w="2207" w:type="dxa"/>
          </w:tcPr>
          <w:p w:rsidR="009A2496" w:rsidRPr="009A2496" w:rsidRDefault="009A2496" w:rsidP="00A92D87">
            <w:pPr>
              <w:jc w:val="both"/>
            </w:pPr>
            <w:r w:rsidRPr="009A2496">
              <w:t>2878</w:t>
            </w:r>
          </w:p>
        </w:tc>
        <w:tc>
          <w:tcPr>
            <w:tcW w:w="2207" w:type="dxa"/>
          </w:tcPr>
          <w:p w:rsidR="009A2496" w:rsidRPr="009A2496" w:rsidRDefault="009A2496" w:rsidP="00A92D87">
            <w:pPr>
              <w:jc w:val="both"/>
            </w:pPr>
            <w:r w:rsidRPr="009A2496">
              <w:t>24596</w:t>
            </w:r>
          </w:p>
        </w:tc>
        <w:tc>
          <w:tcPr>
            <w:tcW w:w="2207" w:type="dxa"/>
          </w:tcPr>
          <w:p w:rsidR="009A2496" w:rsidRPr="009A2496" w:rsidRDefault="009A2496" w:rsidP="00A92D87">
            <w:pPr>
              <w:jc w:val="both"/>
            </w:pPr>
            <w:r w:rsidRPr="009A2496">
              <w:t>11.7</w:t>
            </w:r>
          </w:p>
        </w:tc>
      </w:tr>
      <w:tr w:rsidR="009A2496" w:rsidRPr="009A2496" w:rsidTr="00000F81">
        <w:tc>
          <w:tcPr>
            <w:tcW w:w="2207" w:type="dxa"/>
          </w:tcPr>
          <w:p w:rsidR="009A2496" w:rsidRPr="009A2496" w:rsidRDefault="009A2496" w:rsidP="00A92D87">
            <w:pPr>
              <w:jc w:val="center"/>
              <w:rPr>
                <w:b/>
              </w:rPr>
            </w:pPr>
            <w:r w:rsidRPr="009A2496">
              <w:rPr>
                <w:b/>
              </w:rPr>
              <w:t>2013</w:t>
            </w:r>
          </w:p>
        </w:tc>
        <w:tc>
          <w:tcPr>
            <w:tcW w:w="2207" w:type="dxa"/>
          </w:tcPr>
          <w:p w:rsidR="009A2496" w:rsidRPr="009A2496" w:rsidRDefault="009A2496" w:rsidP="00A92D87">
            <w:pPr>
              <w:jc w:val="both"/>
            </w:pPr>
            <w:r w:rsidRPr="009A2496">
              <w:t>2214</w:t>
            </w:r>
          </w:p>
        </w:tc>
        <w:tc>
          <w:tcPr>
            <w:tcW w:w="2207" w:type="dxa"/>
          </w:tcPr>
          <w:p w:rsidR="009A2496" w:rsidRPr="009A2496" w:rsidRDefault="009A2496" w:rsidP="00A92D87">
            <w:pPr>
              <w:jc w:val="both"/>
            </w:pPr>
            <w:r w:rsidRPr="009A2496">
              <w:t>17635</w:t>
            </w:r>
          </w:p>
        </w:tc>
        <w:tc>
          <w:tcPr>
            <w:tcW w:w="2207" w:type="dxa"/>
          </w:tcPr>
          <w:p w:rsidR="009A2496" w:rsidRPr="009A2496" w:rsidRDefault="009A2496" w:rsidP="00A92D87">
            <w:pPr>
              <w:jc w:val="both"/>
            </w:pPr>
            <w:r w:rsidRPr="009A2496">
              <w:t>12.6</w:t>
            </w:r>
          </w:p>
        </w:tc>
      </w:tr>
      <w:tr w:rsidR="009A2496" w:rsidRPr="009A2496" w:rsidTr="00000F81">
        <w:tc>
          <w:tcPr>
            <w:tcW w:w="2207" w:type="dxa"/>
          </w:tcPr>
          <w:p w:rsidR="009A2496" w:rsidRPr="009A2496" w:rsidRDefault="009A2496" w:rsidP="00A92D87">
            <w:pPr>
              <w:jc w:val="center"/>
              <w:rPr>
                <w:b/>
              </w:rPr>
            </w:pPr>
            <w:r w:rsidRPr="009A2496">
              <w:rPr>
                <w:b/>
              </w:rPr>
              <w:t>2014</w:t>
            </w:r>
          </w:p>
        </w:tc>
        <w:tc>
          <w:tcPr>
            <w:tcW w:w="2207" w:type="dxa"/>
          </w:tcPr>
          <w:p w:rsidR="009A2496" w:rsidRPr="009A2496" w:rsidRDefault="009A2496" w:rsidP="00A92D87">
            <w:pPr>
              <w:jc w:val="both"/>
            </w:pPr>
            <w:r w:rsidRPr="009A2496">
              <w:t>2645</w:t>
            </w:r>
          </w:p>
        </w:tc>
        <w:tc>
          <w:tcPr>
            <w:tcW w:w="2207" w:type="dxa"/>
          </w:tcPr>
          <w:p w:rsidR="009A2496" w:rsidRPr="009A2496" w:rsidRDefault="009A2496" w:rsidP="00A92D87">
            <w:pPr>
              <w:jc w:val="both"/>
            </w:pPr>
            <w:r w:rsidRPr="009A2496">
              <w:t>19375</w:t>
            </w:r>
          </w:p>
        </w:tc>
        <w:tc>
          <w:tcPr>
            <w:tcW w:w="2207" w:type="dxa"/>
          </w:tcPr>
          <w:p w:rsidR="009A2496" w:rsidRPr="009A2496" w:rsidRDefault="009A2496" w:rsidP="00A92D87">
            <w:pPr>
              <w:jc w:val="both"/>
            </w:pPr>
            <w:r w:rsidRPr="009A2496">
              <w:t>13.7</w:t>
            </w:r>
          </w:p>
        </w:tc>
      </w:tr>
    </w:tbl>
    <w:p w:rsidR="009A2496" w:rsidRPr="009A2496" w:rsidRDefault="006B0C6D" w:rsidP="00A92D87">
      <w:pPr>
        <w:suppressAutoHyphens/>
        <w:spacing w:after="0" w:line="240" w:lineRule="auto"/>
        <w:ind w:left="1080"/>
        <w:contextualSpacing/>
        <w:rPr>
          <w:rFonts w:eastAsia="Times New Roman" w:cs="Times New Roman"/>
          <w:lang w:val="es-ES" w:eastAsia="ar-SA"/>
        </w:rPr>
      </w:pPr>
      <w:r w:rsidRPr="009A2496">
        <w:rPr>
          <w:rFonts w:eastAsia="Times New Roman" w:cs="Times New Roman"/>
          <w:lang w:val="es-ES" w:eastAsia="ar-SA"/>
        </w:rPr>
        <w:t>Fuente:</w:t>
      </w:r>
      <w:r w:rsidR="009A2496" w:rsidRPr="009A2496">
        <w:rPr>
          <w:rFonts w:eastAsia="Times New Roman" w:cs="Times New Roman"/>
          <w:lang w:val="es-ES" w:eastAsia="ar-SA"/>
        </w:rPr>
        <w:t xml:space="preserve"> SISTEMA DE VIGILANCIA NUTRICIONAL DEL MUNICIPIO DE PASTO</w:t>
      </w:r>
    </w:p>
    <w:p w:rsidR="009A2496" w:rsidRPr="009A2496" w:rsidRDefault="009A2496" w:rsidP="00A92D87">
      <w:pPr>
        <w:suppressAutoHyphens/>
        <w:spacing w:after="0" w:line="240" w:lineRule="auto"/>
        <w:ind w:left="1080"/>
        <w:contextualSpacing/>
        <w:jc w:val="both"/>
        <w:rPr>
          <w:rFonts w:eastAsia="Times New Roman" w:cs="Times New Roman"/>
          <w:lang w:val="es-ES" w:eastAsia="ar-SA"/>
        </w:rPr>
      </w:pPr>
    </w:p>
    <w:p w:rsidR="009A2496" w:rsidRPr="009A2496" w:rsidRDefault="009A2496" w:rsidP="00A92D87">
      <w:pPr>
        <w:suppressAutoHyphens/>
        <w:spacing w:after="0" w:line="240" w:lineRule="auto"/>
        <w:contextualSpacing/>
        <w:jc w:val="both"/>
        <w:rPr>
          <w:rFonts w:eastAsia="Times New Roman" w:cs="Times New Roman"/>
          <w:lang w:val="es-ES" w:eastAsia="ar-SA"/>
        </w:rPr>
      </w:pPr>
    </w:p>
    <w:p w:rsidR="009A2496" w:rsidRPr="009A2496" w:rsidRDefault="009A2496" w:rsidP="00A92D87">
      <w:pPr>
        <w:suppressAutoHyphens/>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 xml:space="preserve">   Fuente local.</w:t>
      </w:r>
    </w:p>
    <w:p w:rsidR="009A2496" w:rsidRPr="009A2496" w:rsidRDefault="009A2496" w:rsidP="00A92D87">
      <w:pPr>
        <w:suppressAutoHyphens/>
        <w:spacing w:after="0" w:line="240" w:lineRule="auto"/>
        <w:contextualSpacing/>
        <w:jc w:val="both"/>
        <w:rPr>
          <w:rFonts w:eastAsia="Times New Roman" w:cs="Times New Roman"/>
          <w:lang w:val="es-ES" w:eastAsia="ar-SA"/>
        </w:rPr>
      </w:pPr>
    </w:p>
    <w:p w:rsidR="009A2496" w:rsidRPr="009A2496" w:rsidRDefault="009A2496" w:rsidP="00BC5E44">
      <w:pPr>
        <w:suppressAutoHyphens/>
        <w:spacing w:after="0" w:line="240" w:lineRule="auto"/>
        <w:ind w:firstLine="708"/>
        <w:contextualSpacing/>
        <w:jc w:val="both"/>
        <w:rPr>
          <w:rFonts w:eastAsia="Times New Roman" w:cs="Times New Roman"/>
          <w:lang w:val="es-ES" w:eastAsia="ar-SA"/>
        </w:rPr>
      </w:pPr>
      <w:r w:rsidRPr="009A2496">
        <w:rPr>
          <w:rFonts w:eastAsia="Times New Roman" w:cs="Times New Roman"/>
          <w:lang w:val="es-ES" w:eastAsia="ar-SA"/>
        </w:rPr>
        <w:t xml:space="preserve">Fortaleza </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"Oportunidad en la recepción de la información que permite hacer seguimiento y evaluación a las IPS y EPS del Municipio de Pasto en cuanto a los indicadores de malnutrición de los niños y niñas menores de 18 años.</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Se cuenta con un manual para el funcionamiento del sistema que permite hacer seguimiento al mismo para su adecuado funcionamiento de acuerdo al flujo de la información y procesamiento de datos.</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Muestra representativa de usuarios que asisten al servicio de salud lo que permite generar </w:t>
      </w:r>
      <w:r w:rsidR="006B0C6D" w:rsidRPr="009A2496">
        <w:rPr>
          <w:rFonts w:eastAsia="Calibri" w:cs="Times New Roman"/>
          <w:lang w:val="es-ES"/>
        </w:rPr>
        <w:t>más</w:t>
      </w:r>
      <w:r w:rsidRPr="009A2496">
        <w:rPr>
          <w:rFonts w:eastAsia="Calibri" w:cs="Times New Roman"/>
          <w:lang w:val="es-ES"/>
        </w:rPr>
        <w:t xml:space="preserve"> confiabilidad en los datos, esta muestra se ha incrementado con el tiempo captando más información"</w:t>
      </w:r>
    </w:p>
    <w:p w:rsidR="009A2496" w:rsidRPr="009A2496" w:rsidRDefault="009A2496" w:rsidP="00BC5E44">
      <w:pPr>
        <w:spacing w:after="200" w:line="240" w:lineRule="auto"/>
        <w:ind w:firstLine="708"/>
        <w:jc w:val="both"/>
        <w:rPr>
          <w:rFonts w:eastAsia="Calibri" w:cs="Times New Roman"/>
          <w:lang w:val="es-ES"/>
        </w:rPr>
      </w:pPr>
      <w:r w:rsidRPr="009A2496">
        <w:rPr>
          <w:rFonts w:eastAsia="Calibri" w:cs="Times New Roman"/>
          <w:lang w:val="es-ES"/>
        </w:rPr>
        <w:t xml:space="preserve">Debilidades </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"Existe debilidad en la toma de los datos de peso y talla en la consulta, esto a causa de la alta rotación del personal que no </w:t>
      </w:r>
      <w:r w:rsidR="006B0C6D" w:rsidRPr="009A2496">
        <w:rPr>
          <w:rFonts w:eastAsia="Calibri" w:cs="Times New Roman"/>
          <w:lang w:val="es-ES"/>
        </w:rPr>
        <w:t>está</w:t>
      </w:r>
      <w:r w:rsidRPr="009A2496">
        <w:rPr>
          <w:rFonts w:eastAsia="Calibri" w:cs="Times New Roman"/>
          <w:lang w:val="es-ES"/>
        </w:rPr>
        <w:t xml:space="preserve"> capacitado, sumado a esto el tiempo dedicado a la </w:t>
      </w:r>
      <w:r w:rsidRPr="009A2496">
        <w:rPr>
          <w:rFonts w:eastAsia="Calibri" w:cs="Times New Roman"/>
          <w:lang w:val="es-ES"/>
        </w:rPr>
        <w:lastRenderedPageBreak/>
        <w:t>consulta no es suficiente lo que dificulta la dedicación de tiempo suficiente para la toma adecuada de estas medidas antropométricas.</w:t>
      </w:r>
    </w:p>
    <w:p w:rsid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En el proceso de flujo de información existe una persona encargada por UPGD de hacer el reporte de las variables, esta persona no hace parte del personal de salud que obtiene los datos directamente, por este motivo puede existir un sesgo en la información digitada que debe ser verificada ya que hay datos alterados. </w:t>
      </w:r>
    </w:p>
    <w:p w:rsidR="0078472D" w:rsidRPr="009A2496" w:rsidRDefault="0078472D" w:rsidP="00A92D87">
      <w:pPr>
        <w:spacing w:after="200" w:line="240" w:lineRule="auto"/>
        <w:jc w:val="both"/>
        <w:rPr>
          <w:rFonts w:eastAsia="Calibri" w:cs="Times New Roman"/>
          <w:lang w:val="es-ES"/>
        </w:rPr>
      </w:pP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La unificación de variables se dificulta teniendo en cuenta que estas </w:t>
      </w:r>
      <w:r w:rsidR="006B0C6D" w:rsidRPr="009A2496">
        <w:rPr>
          <w:rFonts w:eastAsia="Calibri" w:cs="Times New Roman"/>
          <w:lang w:val="es-ES"/>
        </w:rPr>
        <w:t>están</w:t>
      </w:r>
      <w:r w:rsidRPr="009A2496">
        <w:rPr>
          <w:rFonts w:eastAsia="Calibri" w:cs="Times New Roman"/>
          <w:lang w:val="es-ES"/>
        </w:rPr>
        <w:t xml:space="preserve"> establecidas dentro de formatos y softwares en cada institución, por este motivo se requiere realizar un proceso de análisis exhaustivo para comprobar y unificar unidades de medida.</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No es posible la caracterización de la población teniendo en cuenta variables como desplazamiento, etnia y discapacidad, ya que en el momento de caracterizar al paciente estos datos no siempre se diligencian y la información llega incompleta, lo mismo ocurre con los datos de vivienda que no son actualizados y muchas veces se encuentran errados. "</w:t>
      </w:r>
    </w:p>
    <w:p w:rsidR="009A2496" w:rsidRPr="009A2496" w:rsidRDefault="009A2496" w:rsidP="00BC5E44">
      <w:pPr>
        <w:spacing w:after="200" w:line="240" w:lineRule="auto"/>
        <w:ind w:firstLine="708"/>
        <w:jc w:val="both"/>
        <w:rPr>
          <w:rFonts w:eastAsia="Calibri" w:cs="Times New Roman"/>
          <w:lang w:val="es-ES"/>
        </w:rPr>
      </w:pPr>
      <w:r w:rsidRPr="009A2496">
        <w:rPr>
          <w:rFonts w:eastAsia="Calibri" w:cs="Times New Roman"/>
          <w:lang w:val="es-ES"/>
        </w:rPr>
        <w:t xml:space="preserve">Estable </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Se debe considerar el incremento en la muestra si se compara el año 2011 con el 2014, esto se refleja en el incremento del indicador entre estos dos años. Por otro lado desde el 2012 el indicador se ha mantenido estable considerando que es un indicador sensible a periodos cortos de tiempo y existen en el municipio programas de complementación nutricional dirigidos a esta problemática en menores de 5 años.</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Considerando la importancia que tiene el indicador de desnutrición global, pues es sensible a cortos periodos de tiempo y permite identificar las alteraciones tempranas en el estado nutricional; como meta de plan de desarrollo se </w:t>
      </w:r>
      <w:r w:rsidR="006B0C6D" w:rsidRPr="009A2496">
        <w:rPr>
          <w:rFonts w:eastAsia="Calibri" w:cs="Times New Roman"/>
          <w:lang w:val="es-ES"/>
        </w:rPr>
        <w:t>planteó</w:t>
      </w:r>
      <w:r w:rsidRPr="009A2496">
        <w:rPr>
          <w:rFonts w:eastAsia="Calibri" w:cs="Times New Roman"/>
          <w:lang w:val="es-ES"/>
        </w:rPr>
        <w:t xml:space="preserve"> reducirla a menos de 3% a 2015 en menores de dos años, para el año 2014 este tipo de desnutrición se encontró en 4,9% debido a que actualmente son insuficientes las acciones para la reducción de la malnutrición, tanto por exceso como por déficit, ya que para alcanzar estas metas es necesaria la intervención integral que involucra sectores principalmente como el agrícola, económico, educativo y salud; frente a este último se debe enfatizar en la capacitación continua del personal de salud no solo para la promoción de hábitos y estilos de vida saludables, sino también para la adecuada toma de medidas antropométricas, realización de la clasificación del estado nutricional, suministro de micronutrientes y remisión a programas de complementación nutricional existentes en el municipio. Así mismo, es pertinente determinar la responsabilidad de las EPS en la disminución de la malnutrición ya que son responsables directamente del paciente, en este sentido considerando que la EPS Emssanar es la que atiende a la mayor parte de la población reportada, es también quien tiene los más altos índices de malnutrición.</w:t>
      </w:r>
    </w:p>
    <w:p w:rsidR="009A2496" w:rsidRPr="009A2496" w:rsidRDefault="009A2496" w:rsidP="00A92D87">
      <w:pPr>
        <w:spacing w:after="200" w:line="240" w:lineRule="auto"/>
        <w:jc w:val="both"/>
        <w:rPr>
          <w:rFonts w:eastAsia="Calibri" w:cs="Times New Roman"/>
          <w:lang w:val="es-ES"/>
        </w:rPr>
      </w:pP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lastRenderedPageBreak/>
        <w:t xml:space="preserve">El indicador de desnutrición global para menores de 5 años </w:t>
      </w:r>
      <w:r w:rsidR="006B0C6D" w:rsidRPr="009A2496">
        <w:rPr>
          <w:rFonts w:eastAsia="Calibri" w:cs="Times New Roman"/>
          <w:lang w:val="es-ES"/>
        </w:rPr>
        <w:t>reportados</w:t>
      </w:r>
      <w:r w:rsidRPr="009A2496">
        <w:rPr>
          <w:rFonts w:eastAsia="Calibri" w:cs="Times New Roman"/>
          <w:lang w:val="es-ES"/>
        </w:rPr>
        <w:t xml:space="preserve"> para el país, se encuentra en la ENSIN 2010 que reporta una prevalencia de 3,4% superior a las encontradas en el municipio. Hay que tener en cuenta que las dos fuentes de información (Nacional y Local) difieren significativamente en la metodología de obtención de los datos teniendo en cuenta que la primera se realiza a través de una encuesta de un estudio dirigido y la segunda es un sistema de información que se alimenta de los servicios de salud.</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"Es fundamental continuar con la implementación del sistema de vigilancia nutricional y el manual elaborado por la secretaría de salud municipal para la implementación de</w:t>
      </w:r>
      <w:r w:rsidR="006B0C6D">
        <w:rPr>
          <w:rFonts w:eastAsia="Calibri" w:cs="Times New Roman"/>
          <w:lang w:val="es-ES"/>
        </w:rPr>
        <w:t xml:space="preserve">l mismo que permite paso  </w:t>
      </w:r>
      <w:r w:rsidRPr="009A2496">
        <w:rPr>
          <w:rFonts w:eastAsia="Calibri" w:cs="Times New Roman"/>
          <w:lang w:val="es-ES"/>
        </w:rPr>
        <w:t xml:space="preserve">a paso identificar las funciones y responsabilidades de los actores encargados de dar el correcto funcionamiento al sistema.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La </w:t>
      </w:r>
      <w:r w:rsidR="006B0C6D" w:rsidRPr="009A2496">
        <w:rPr>
          <w:rFonts w:eastAsia="Calibri" w:cs="Times New Roman"/>
          <w:lang w:val="es-ES"/>
        </w:rPr>
        <w:t>confiabilidad</w:t>
      </w:r>
      <w:r w:rsidRPr="009A2496">
        <w:rPr>
          <w:rFonts w:eastAsia="Calibri" w:cs="Times New Roman"/>
          <w:lang w:val="es-ES"/>
        </w:rPr>
        <w:t xml:space="preserve"> de los datos del Sistema de Vigilancia Nutricional parte de la capacitación al personal de salud, verificación de equipos antropométricos, análisis exhaustivo de datos reportados y solicitud de corrección de los mismos a las UPGDs, retroalimentación tanto a IPS como a EPS con la información obtenida, desarrollo de salas </w:t>
      </w:r>
      <w:r w:rsidR="006B0C6D" w:rsidRPr="009A2496">
        <w:rPr>
          <w:rFonts w:eastAsia="Calibri" w:cs="Times New Roman"/>
          <w:lang w:val="es-ES"/>
        </w:rPr>
        <w:t>situaciones</w:t>
      </w:r>
      <w:r w:rsidRPr="009A2496">
        <w:rPr>
          <w:rFonts w:eastAsia="Calibri" w:cs="Times New Roman"/>
          <w:lang w:val="es-ES"/>
        </w:rPr>
        <w:t xml:space="preserve"> con aseguradoras para analizar los resultados y generación de escenarios de articulación con entidades de protección como ICBF para tomar medidas necesarias con el fin de disminuir los indicadores. Es </w:t>
      </w:r>
      <w:r w:rsidR="006B0C6D" w:rsidRPr="009A2496">
        <w:rPr>
          <w:rFonts w:eastAsia="Calibri" w:cs="Times New Roman"/>
          <w:lang w:val="es-ES"/>
        </w:rPr>
        <w:t>importante</w:t>
      </w:r>
      <w:r w:rsidRPr="009A2496">
        <w:rPr>
          <w:rFonts w:eastAsia="Calibri" w:cs="Times New Roman"/>
          <w:lang w:val="es-ES"/>
        </w:rPr>
        <w:t xml:space="preserve"> por otro lado, continuar con la implementación de la vigilancia nutricional de la gestante, fundamental para la prevención de la malnutrición infantil.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"Dentro del Plan de Desarrollo Municipal “Pasto: Transformación productiva” se encuentra específicamente el indicador de desnutrición global en menores de 2 años, y se establece como meta la formulación e implementación del Plan de Seguridad Alimentaria y Nutricional del municipio, el cual a su vez le apunta a la disminución de la malnutrición tanto en niños y niñas como en adolescentes. La Secretaría de Salud Municipal cuenta con un equipo de cuatro contratistas que conforman la dimensión de Seguridad Alimentaria y Nutricional (nutricionista, fonoaudiólogo, </w:t>
      </w:r>
      <w:r w:rsidR="006B0C6D" w:rsidRPr="009A2496">
        <w:rPr>
          <w:rFonts w:eastAsia="Calibri" w:cs="Times New Roman"/>
          <w:lang w:val="es-ES"/>
        </w:rPr>
        <w:t>tecnólogo</w:t>
      </w:r>
      <w:r w:rsidRPr="009A2496">
        <w:rPr>
          <w:rFonts w:eastAsia="Calibri" w:cs="Times New Roman"/>
          <w:lang w:val="es-ES"/>
        </w:rPr>
        <w:t xml:space="preserve"> de promoción de la salud y auxiliar de enfermería) para la ejecución de acciones relacionadas con propender por la garantía de la Seguridad Alimentaria y Nutricional del Municipio, ejecutando actividades de articulación intersectorial, suministro de paquetes alimentarios, vigilancia del estado nutricional, seguimiento a la implementación de normas y guías relacionadas con nutrición, fortalecimiento de la estrategia IAMI y la implementación del Plan de Salud Pública de </w:t>
      </w:r>
      <w:r w:rsidR="006B0C6D" w:rsidRPr="009A2496">
        <w:rPr>
          <w:rFonts w:eastAsia="Calibri" w:cs="Times New Roman"/>
          <w:lang w:val="es-ES"/>
        </w:rPr>
        <w:t>Intervenciones</w:t>
      </w:r>
      <w:r w:rsidRPr="009A2496">
        <w:rPr>
          <w:rFonts w:eastAsia="Calibri" w:cs="Times New Roman"/>
          <w:lang w:val="es-ES"/>
        </w:rPr>
        <w:t xml:space="preserve"> Colectivas.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El municipio de Pasto, a través de la Secretaría de Salud, ejecuta el proyecto denominado “PASTO TRANSFORMANDO SU CULTURA EN SEGURIDAD ALIMENTARIA Y NUTRICIONAL” que busca dar solución al problema “</w:t>
      </w:r>
      <w:r w:rsidR="006B0C6D" w:rsidRPr="009A2496">
        <w:rPr>
          <w:rFonts w:eastAsia="Calibri" w:cs="Times New Roman"/>
          <w:lang w:val="es-ES"/>
        </w:rPr>
        <w:t>Débil</w:t>
      </w:r>
      <w:r w:rsidRPr="009A2496">
        <w:rPr>
          <w:rFonts w:eastAsia="Calibri" w:cs="Times New Roman"/>
          <w:lang w:val="es-ES"/>
        </w:rPr>
        <w:t xml:space="preserve"> articulación entre los actores inter e intrainstitucionales con injerencia en la Seguridad Alimentaria y Nutricional”. Lo anterior considerando que la malnutrición (tanto por exceso como por déficit) es consecuencia de la falta de </w:t>
      </w:r>
      <w:r w:rsidR="006B0C6D" w:rsidRPr="009A2496">
        <w:rPr>
          <w:rFonts w:eastAsia="Calibri" w:cs="Times New Roman"/>
          <w:lang w:val="es-ES"/>
        </w:rPr>
        <w:t>intervenciones</w:t>
      </w:r>
      <w:r w:rsidRPr="009A2496">
        <w:rPr>
          <w:rFonts w:eastAsia="Calibri" w:cs="Times New Roman"/>
          <w:lang w:val="es-ES"/>
        </w:rPr>
        <w:t xml:space="preserve"> de distintos sectores involucrados con la SAN pero ajenos al sector salud, debido a que este </w:t>
      </w:r>
      <w:r w:rsidR="006B0C6D" w:rsidRPr="009A2496">
        <w:rPr>
          <w:rFonts w:eastAsia="Calibri" w:cs="Times New Roman"/>
          <w:lang w:val="es-ES"/>
        </w:rPr>
        <w:t>último</w:t>
      </w:r>
      <w:r w:rsidRPr="009A2496">
        <w:rPr>
          <w:rFonts w:eastAsia="Calibri" w:cs="Times New Roman"/>
          <w:lang w:val="es-ES"/>
        </w:rPr>
        <w:t xml:space="preserve"> por </w:t>
      </w:r>
      <w:r w:rsidR="006B0C6D" w:rsidRPr="009A2496">
        <w:rPr>
          <w:rFonts w:eastAsia="Calibri" w:cs="Times New Roman"/>
          <w:lang w:val="es-ES"/>
        </w:rPr>
        <w:t>sí</w:t>
      </w:r>
      <w:r w:rsidRPr="009A2496">
        <w:rPr>
          <w:rFonts w:eastAsia="Calibri" w:cs="Times New Roman"/>
          <w:lang w:val="es-ES"/>
        </w:rPr>
        <w:t xml:space="preserve"> mismo no puede solucionar el problema de la malnutrición. Además el municipio cuenta con el Plan de Seguridad Alimentaria y Nutricional, Pasto Asegurando su Alimentación y Nutrición (PAAN), aprobado por el concejo municipal. Las acciones de SAN van dirigidas a toda la población del municipio en especial a la más vulnerable, madres gestantes, lactantes, menores de cinco años.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lastRenderedPageBreak/>
        <w:t>Durante la administración se realizaron las siguientes actividades de complementación nutricional:</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2010-2011: OPERACION PROLONGADA DE SOCORRO Y RECUPERACIÓN (OPSR) OPSR 10588.0: 958 beneficiarios de paquetes alimentarios entre madres gestantes y lactantes y menores de 6 años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2011-2012: Convenio maternoinfantil: 350 beneficiarios entre madres gestantes, lactantes y menores de 6 años</w:t>
      </w:r>
    </w:p>
    <w:p w:rsidR="009A2496" w:rsidRDefault="009A2496" w:rsidP="00A92D87">
      <w:pPr>
        <w:spacing w:after="200" w:line="240" w:lineRule="auto"/>
        <w:jc w:val="both"/>
        <w:rPr>
          <w:rFonts w:eastAsia="Calibri" w:cs="Times New Roman"/>
          <w:lang w:val="es-ES"/>
        </w:rPr>
      </w:pPr>
      <w:r w:rsidRPr="009A2496">
        <w:rPr>
          <w:rFonts w:eastAsia="Calibri" w:cs="Times New Roman"/>
          <w:lang w:val="es-ES"/>
        </w:rPr>
        <w:t>2012 y 2013: Programa de Recuperación Nutricional Ambulatoria, 177 usuarios menores de 5 años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2014-2015: OPERACION PROLONGADA DE SOCORRO Y RECUPERACION (OPSR) 200148</w:t>
      </w:r>
      <w:r w:rsidR="006B0C6D" w:rsidRPr="009A2496">
        <w:rPr>
          <w:rFonts w:eastAsia="Calibri" w:cs="Times New Roman"/>
          <w:lang w:val="es-ES"/>
        </w:rPr>
        <w:t>: 650</w:t>
      </w:r>
      <w:r w:rsidRPr="009A2496">
        <w:rPr>
          <w:rFonts w:eastAsia="Calibri" w:cs="Times New Roman"/>
          <w:lang w:val="es-ES"/>
        </w:rPr>
        <w:t xml:space="preserve"> personas beneficiarias del sector rural.</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Año 2014</w:t>
      </w:r>
      <w:r w:rsidR="006B0C6D" w:rsidRPr="009A2496">
        <w:rPr>
          <w:rFonts w:eastAsia="Calibri" w:cs="Times New Roman"/>
          <w:lang w:val="es-ES"/>
        </w:rPr>
        <w:t>: Programa</w:t>
      </w:r>
      <w:r w:rsidRPr="009A2496">
        <w:rPr>
          <w:rFonts w:eastAsia="Calibri" w:cs="Times New Roman"/>
          <w:lang w:val="es-ES"/>
        </w:rPr>
        <w:t xml:space="preserve"> de Recuperación Nutricional Ambulatoria, 177 Usuarios menores de 5 años.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Secretaría de Bienestar Social:</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1028 Niños y niñas menores de cinco años y 365 madres atendidas integralmente en los aspectos nutricional, pedagógico y psicosocial. Dentro del programa nutrición y afecto"</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Reducir  la desnutrición global en menores de 2 años a 3%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1. Compra de equipos antropométricos por parte de las UPGD de la ESE Pasto Salud, quien reporta la mayoría de los datos al SVN</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2. Incremento de la población reportada al Sistema de Vigilancia Nutricional. Se ha incrementado en la administración la población total reportada y se ha mantenido la muestra durante el tiempo, generando mayor confiabilidad en los datos que en el año 2011.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3. Implementación de programa de Recuperación nutricional ambulatoria primeros mil días a 281 Usuarios: 17 Niños y niñas de 6 a 11 meses. 64 niños y niñas de 12 a 24 meses. 120 gestantes y  80 lactantes</w:t>
      </w:r>
    </w:p>
    <w:p w:rsidR="009A2496" w:rsidRPr="009A2496" w:rsidRDefault="006B0C6D" w:rsidP="00A92D87">
      <w:pPr>
        <w:spacing w:after="200" w:line="240" w:lineRule="auto"/>
        <w:jc w:val="both"/>
        <w:rPr>
          <w:rFonts w:eastAsia="Calibri" w:cs="Times New Roman"/>
          <w:lang w:val="es-ES"/>
        </w:rPr>
      </w:pPr>
      <w:r w:rsidRPr="009A2496">
        <w:rPr>
          <w:rFonts w:eastAsia="Calibri" w:cs="Times New Roman"/>
          <w:lang w:val="es-ES"/>
        </w:rPr>
        <w:t>4. Formulación</w:t>
      </w:r>
      <w:r w:rsidR="009A2496" w:rsidRPr="009A2496">
        <w:rPr>
          <w:rFonts w:eastAsia="Calibri" w:cs="Times New Roman"/>
          <w:lang w:val="es-ES"/>
        </w:rPr>
        <w:t xml:space="preserve"> e implementación del plan de Seguridad Alimentaria y Nutricional</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Se realizan comités de Vigilancia Nutricional con entidades como ICBF para realizar la </w:t>
      </w:r>
      <w:r w:rsidR="006B0C6D" w:rsidRPr="009A2496">
        <w:rPr>
          <w:rFonts w:eastAsia="Calibri" w:cs="Times New Roman"/>
          <w:lang w:val="es-ES"/>
        </w:rPr>
        <w:t>búsqueda</w:t>
      </w:r>
      <w:r w:rsidRPr="009A2496">
        <w:rPr>
          <w:rFonts w:eastAsia="Calibri" w:cs="Times New Roman"/>
          <w:lang w:val="es-ES"/>
        </w:rPr>
        <w:t xml:space="preserve"> de casos de desnutrición y realizar su inclusión dentro de los programas de esta entidad, se presentan los resultados en comités de Vigilancia Nutricional, COMPOS, etc. Se envían estos resultados a las EPS para realizar el seguimiento a los mismos.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La desnutrición global se encuentra en 4,1%, la meta para objetivos de desarrollo de milenio en Colombia es 2,6%</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Se realizan comités de Vigilancia Nutricional con entidades como ICBF para realizar la </w:t>
      </w:r>
      <w:r w:rsidR="006B0C6D" w:rsidRPr="009A2496">
        <w:rPr>
          <w:rFonts w:eastAsia="Calibri" w:cs="Times New Roman"/>
          <w:lang w:val="es-ES"/>
        </w:rPr>
        <w:t>búsqueda</w:t>
      </w:r>
      <w:r w:rsidRPr="009A2496">
        <w:rPr>
          <w:rFonts w:eastAsia="Calibri" w:cs="Times New Roman"/>
          <w:lang w:val="es-ES"/>
        </w:rPr>
        <w:t xml:space="preserve"> de casos de desnutrición y realizar su inclusión dentro de los programas de esta entidad, se presentan los resultados en comités de Vigilancia Nutricional, COMPOS, etc. Se envían estos resultados a las EPS para realizar el seguimiento a los mismos.</w:t>
      </w:r>
    </w:p>
    <w:p w:rsidR="009A2496" w:rsidRPr="009A2496" w:rsidRDefault="009A2496" w:rsidP="00A92D87">
      <w:pPr>
        <w:spacing w:after="200" w:line="240" w:lineRule="auto"/>
        <w:jc w:val="center"/>
        <w:rPr>
          <w:rFonts w:eastAsia="Calibri" w:cs="Times New Roman"/>
          <w:lang w:val="es-ES"/>
        </w:rPr>
      </w:pP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Indicador No. 12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Prevalencia de desnutrición global o bajo peso para la edad en menores de 5 años</w:t>
      </w:r>
    </w:p>
    <w:tbl>
      <w:tblPr>
        <w:tblStyle w:val="Tablaconcuadrcula"/>
        <w:tblW w:w="0" w:type="auto"/>
        <w:tblLook w:val="04A0"/>
      </w:tblPr>
      <w:tblGrid>
        <w:gridCol w:w="2207"/>
        <w:gridCol w:w="2207"/>
        <w:gridCol w:w="2207"/>
        <w:gridCol w:w="2207"/>
      </w:tblGrid>
      <w:tr w:rsidR="009A2496" w:rsidRPr="009A2496" w:rsidTr="00000F81">
        <w:tc>
          <w:tcPr>
            <w:tcW w:w="2207" w:type="dxa"/>
          </w:tcPr>
          <w:p w:rsidR="009A2496" w:rsidRPr="009A2496" w:rsidRDefault="009A2496" w:rsidP="00A92D87">
            <w:pPr>
              <w:jc w:val="center"/>
              <w:rPr>
                <w:b/>
              </w:rPr>
            </w:pPr>
            <w:r w:rsidRPr="009A2496">
              <w:rPr>
                <w:b/>
              </w:rPr>
              <w:t>AÑO</w:t>
            </w:r>
          </w:p>
        </w:tc>
        <w:tc>
          <w:tcPr>
            <w:tcW w:w="2207" w:type="dxa"/>
          </w:tcPr>
          <w:p w:rsidR="009A2496" w:rsidRPr="009A2496" w:rsidRDefault="009A2496" w:rsidP="00A92D87">
            <w:pPr>
              <w:jc w:val="center"/>
              <w:rPr>
                <w:b/>
              </w:rPr>
            </w:pPr>
            <w:r w:rsidRPr="009A2496">
              <w:rPr>
                <w:b/>
              </w:rPr>
              <w:t>NUMERADOR</w:t>
            </w:r>
          </w:p>
        </w:tc>
        <w:tc>
          <w:tcPr>
            <w:tcW w:w="2207" w:type="dxa"/>
          </w:tcPr>
          <w:p w:rsidR="009A2496" w:rsidRPr="009A2496" w:rsidRDefault="009A2496" w:rsidP="00A92D87">
            <w:pPr>
              <w:jc w:val="center"/>
              <w:rPr>
                <w:b/>
              </w:rPr>
            </w:pPr>
            <w:r w:rsidRPr="009A2496">
              <w:rPr>
                <w:b/>
              </w:rPr>
              <w:t>DENOMINADOR</w:t>
            </w:r>
          </w:p>
        </w:tc>
        <w:tc>
          <w:tcPr>
            <w:tcW w:w="2207" w:type="dxa"/>
          </w:tcPr>
          <w:p w:rsidR="009A2496" w:rsidRPr="009A2496" w:rsidRDefault="009A2496" w:rsidP="00A92D87">
            <w:pPr>
              <w:jc w:val="center"/>
              <w:rPr>
                <w:b/>
              </w:rPr>
            </w:pPr>
            <w:r w:rsidRPr="009A2496">
              <w:rPr>
                <w:b/>
              </w:rPr>
              <w:t>RESULTADO</w:t>
            </w:r>
          </w:p>
        </w:tc>
      </w:tr>
      <w:tr w:rsidR="009A2496" w:rsidRPr="009A2496" w:rsidTr="00000F81">
        <w:tc>
          <w:tcPr>
            <w:tcW w:w="2207" w:type="dxa"/>
          </w:tcPr>
          <w:p w:rsidR="009A2496" w:rsidRPr="009A2496" w:rsidRDefault="009A2496" w:rsidP="00A92D87">
            <w:pPr>
              <w:jc w:val="center"/>
              <w:rPr>
                <w:b/>
              </w:rPr>
            </w:pPr>
            <w:r w:rsidRPr="009A2496">
              <w:rPr>
                <w:b/>
              </w:rPr>
              <w:t>2011</w:t>
            </w:r>
          </w:p>
        </w:tc>
        <w:tc>
          <w:tcPr>
            <w:tcW w:w="2207" w:type="dxa"/>
          </w:tcPr>
          <w:p w:rsidR="009A2496" w:rsidRPr="009A2496" w:rsidRDefault="009A2496" w:rsidP="00A92D87">
            <w:pPr>
              <w:jc w:val="both"/>
            </w:pPr>
            <w:r w:rsidRPr="009A2496">
              <w:t>408</w:t>
            </w:r>
          </w:p>
        </w:tc>
        <w:tc>
          <w:tcPr>
            <w:tcW w:w="2207" w:type="dxa"/>
          </w:tcPr>
          <w:p w:rsidR="009A2496" w:rsidRPr="009A2496" w:rsidRDefault="009A2496" w:rsidP="00A92D87">
            <w:pPr>
              <w:jc w:val="both"/>
            </w:pPr>
            <w:r w:rsidRPr="009A2496">
              <w:t>10655</w:t>
            </w:r>
          </w:p>
        </w:tc>
        <w:tc>
          <w:tcPr>
            <w:tcW w:w="2207" w:type="dxa"/>
          </w:tcPr>
          <w:p w:rsidR="009A2496" w:rsidRPr="009A2496" w:rsidRDefault="009A2496" w:rsidP="00A92D87">
            <w:pPr>
              <w:jc w:val="both"/>
            </w:pPr>
            <w:r w:rsidRPr="009A2496">
              <w:t>3.8</w:t>
            </w:r>
          </w:p>
        </w:tc>
      </w:tr>
      <w:tr w:rsidR="009A2496" w:rsidRPr="009A2496" w:rsidTr="00000F81">
        <w:tc>
          <w:tcPr>
            <w:tcW w:w="2207" w:type="dxa"/>
          </w:tcPr>
          <w:p w:rsidR="009A2496" w:rsidRPr="009A2496" w:rsidRDefault="009A2496" w:rsidP="00A92D87">
            <w:pPr>
              <w:jc w:val="center"/>
              <w:rPr>
                <w:b/>
              </w:rPr>
            </w:pPr>
            <w:r w:rsidRPr="009A2496">
              <w:rPr>
                <w:b/>
              </w:rPr>
              <w:t>2012</w:t>
            </w:r>
          </w:p>
        </w:tc>
        <w:tc>
          <w:tcPr>
            <w:tcW w:w="2207" w:type="dxa"/>
          </w:tcPr>
          <w:p w:rsidR="009A2496" w:rsidRPr="009A2496" w:rsidRDefault="009A2496" w:rsidP="00A92D87">
            <w:pPr>
              <w:jc w:val="both"/>
            </w:pPr>
            <w:r w:rsidRPr="009A2496">
              <w:t>1119</w:t>
            </w:r>
          </w:p>
        </w:tc>
        <w:tc>
          <w:tcPr>
            <w:tcW w:w="2207" w:type="dxa"/>
          </w:tcPr>
          <w:p w:rsidR="009A2496" w:rsidRPr="009A2496" w:rsidRDefault="009A2496" w:rsidP="00A92D87">
            <w:pPr>
              <w:jc w:val="both"/>
            </w:pPr>
            <w:r w:rsidRPr="009A2496">
              <w:t>24596</w:t>
            </w:r>
          </w:p>
        </w:tc>
        <w:tc>
          <w:tcPr>
            <w:tcW w:w="2207" w:type="dxa"/>
          </w:tcPr>
          <w:p w:rsidR="009A2496" w:rsidRPr="009A2496" w:rsidRDefault="009A2496" w:rsidP="00A92D87">
            <w:pPr>
              <w:jc w:val="both"/>
            </w:pPr>
            <w:r w:rsidRPr="009A2496">
              <w:t>4.5</w:t>
            </w:r>
          </w:p>
        </w:tc>
      </w:tr>
      <w:tr w:rsidR="009A2496" w:rsidRPr="009A2496" w:rsidTr="00000F81">
        <w:tc>
          <w:tcPr>
            <w:tcW w:w="2207" w:type="dxa"/>
          </w:tcPr>
          <w:p w:rsidR="009A2496" w:rsidRPr="009A2496" w:rsidRDefault="009A2496" w:rsidP="00A92D87">
            <w:pPr>
              <w:jc w:val="center"/>
              <w:rPr>
                <w:b/>
              </w:rPr>
            </w:pPr>
            <w:r w:rsidRPr="009A2496">
              <w:rPr>
                <w:b/>
              </w:rPr>
              <w:t>2013</w:t>
            </w:r>
          </w:p>
        </w:tc>
        <w:tc>
          <w:tcPr>
            <w:tcW w:w="2207" w:type="dxa"/>
          </w:tcPr>
          <w:p w:rsidR="009A2496" w:rsidRPr="009A2496" w:rsidRDefault="009A2496" w:rsidP="00A92D87">
            <w:pPr>
              <w:jc w:val="both"/>
            </w:pPr>
            <w:r w:rsidRPr="009A2496">
              <w:t>771</w:t>
            </w:r>
          </w:p>
        </w:tc>
        <w:tc>
          <w:tcPr>
            <w:tcW w:w="2207" w:type="dxa"/>
          </w:tcPr>
          <w:p w:rsidR="009A2496" w:rsidRPr="009A2496" w:rsidRDefault="009A2496" w:rsidP="00A92D87">
            <w:pPr>
              <w:jc w:val="both"/>
            </w:pPr>
            <w:r w:rsidRPr="009A2496">
              <w:t>17635</w:t>
            </w:r>
          </w:p>
        </w:tc>
        <w:tc>
          <w:tcPr>
            <w:tcW w:w="2207" w:type="dxa"/>
          </w:tcPr>
          <w:p w:rsidR="009A2496" w:rsidRPr="009A2496" w:rsidRDefault="009A2496" w:rsidP="00A92D87">
            <w:pPr>
              <w:jc w:val="both"/>
            </w:pPr>
            <w:r w:rsidRPr="009A2496">
              <w:t>4.4</w:t>
            </w:r>
          </w:p>
        </w:tc>
      </w:tr>
      <w:tr w:rsidR="009A2496" w:rsidRPr="009A2496" w:rsidTr="00000F81">
        <w:tc>
          <w:tcPr>
            <w:tcW w:w="2207" w:type="dxa"/>
          </w:tcPr>
          <w:p w:rsidR="009A2496" w:rsidRPr="009A2496" w:rsidRDefault="009A2496" w:rsidP="00A92D87">
            <w:pPr>
              <w:jc w:val="center"/>
              <w:rPr>
                <w:b/>
              </w:rPr>
            </w:pPr>
            <w:r w:rsidRPr="009A2496">
              <w:rPr>
                <w:b/>
              </w:rPr>
              <w:t>2014</w:t>
            </w:r>
          </w:p>
        </w:tc>
        <w:tc>
          <w:tcPr>
            <w:tcW w:w="2207" w:type="dxa"/>
          </w:tcPr>
          <w:p w:rsidR="009A2496" w:rsidRPr="009A2496" w:rsidRDefault="009A2496" w:rsidP="00A92D87">
            <w:pPr>
              <w:jc w:val="both"/>
            </w:pPr>
            <w:r w:rsidRPr="009A2496">
              <w:t>798</w:t>
            </w:r>
          </w:p>
        </w:tc>
        <w:tc>
          <w:tcPr>
            <w:tcW w:w="2207" w:type="dxa"/>
          </w:tcPr>
          <w:p w:rsidR="009A2496" w:rsidRPr="009A2496" w:rsidRDefault="009A2496" w:rsidP="00A92D87">
            <w:pPr>
              <w:jc w:val="both"/>
            </w:pPr>
            <w:r w:rsidRPr="009A2496">
              <w:t>19375</w:t>
            </w:r>
          </w:p>
        </w:tc>
        <w:tc>
          <w:tcPr>
            <w:tcW w:w="2207" w:type="dxa"/>
          </w:tcPr>
          <w:p w:rsidR="009A2496" w:rsidRPr="009A2496" w:rsidRDefault="009A2496" w:rsidP="00A92D87">
            <w:pPr>
              <w:jc w:val="both"/>
            </w:pPr>
            <w:r w:rsidRPr="009A2496">
              <w:t>4.1</w:t>
            </w:r>
          </w:p>
        </w:tc>
      </w:tr>
    </w:tbl>
    <w:p w:rsidR="009A2496" w:rsidRPr="009A2496" w:rsidRDefault="006B0C6D" w:rsidP="00A92D87">
      <w:pPr>
        <w:spacing w:after="200" w:line="240" w:lineRule="auto"/>
        <w:jc w:val="both"/>
        <w:rPr>
          <w:rFonts w:eastAsia="Calibri" w:cs="Times New Roman"/>
          <w:lang w:val="es-ES"/>
        </w:rPr>
      </w:pPr>
      <w:r w:rsidRPr="009A2496">
        <w:rPr>
          <w:rFonts w:eastAsia="Calibri" w:cs="Times New Roman"/>
          <w:lang w:val="es-ES"/>
        </w:rPr>
        <w:t>Fuente:</w:t>
      </w:r>
      <w:r w:rsidR="009A2496" w:rsidRPr="009A2496">
        <w:rPr>
          <w:rFonts w:eastAsia="Calibri" w:cs="Times New Roman"/>
          <w:lang w:val="es-ES"/>
        </w:rPr>
        <w:t xml:space="preserve"> SISTEMA DE VIGILANCIA NUTRICIONAL DEL MUNICIPIO DE PASTO</w:t>
      </w:r>
    </w:p>
    <w:p w:rsidR="009A2496" w:rsidRPr="009A2496" w:rsidRDefault="009A2496" w:rsidP="00A92D87">
      <w:pPr>
        <w:suppressAutoHyphens/>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 xml:space="preserve">   Fuente local.</w:t>
      </w:r>
    </w:p>
    <w:p w:rsidR="009A2496" w:rsidRPr="009A2496" w:rsidRDefault="009A2496" w:rsidP="00A92D87">
      <w:pPr>
        <w:suppressAutoHyphens/>
        <w:spacing w:after="0" w:line="240" w:lineRule="auto"/>
        <w:contextualSpacing/>
        <w:jc w:val="both"/>
        <w:rPr>
          <w:rFonts w:eastAsia="Times New Roman" w:cs="Times New Roman"/>
          <w:lang w:val="es-ES" w:eastAsia="ar-SA"/>
        </w:rPr>
      </w:pPr>
    </w:p>
    <w:p w:rsidR="009A2496" w:rsidRPr="009A2496" w:rsidRDefault="009A2496" w:rsidP="00BC5E44">
      <w:pPr>
        <w:suppressAutoHyphens/>
        <w:spacing w:after="0" w:line="240" w:lineRule="auto"/>
        <w:ind w:firstLine="708"/>
        <w:contextualSpacing/>
        <w:jc w:val="both"/>
        <w:rPr>
          <w:rFonts w:eastAsia="Times New Roman" w:cs="Times New Roman"/>
          <w:lang w:val="es-ES" w:eastAsia="ar-SA"/>
        </w:rPr>
      </w:pPr>
      <w:r w:rsidRPr="009A2496">
        <w:rPr>
          <w:rFonts w:eastAsia="Times New Roman" w:cs="Times New Roman"/>
          <w:lang w:val="es-ES" w:eastAsia="ar-SA"/>
        </w:rPr>
        <w:t xml:space="preserve">Fortaleza </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"Oportunidad en la recepción de la información que permite hacer seguimiento y evaluación a las IPS y EPS del Municipio de Pasto en cuanto a los indicadores de malnutrición de los niños y niñas menores de 18 años.</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Se cuenta con un manual para el funcionamiento del sistema que permite hacer seguimiento al mismo para su adecuado funcionamiento de acuerdo al flujo de la información y procesamiento de datos.</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Muestra representativa de usuarios que asisten al servicio de salud lo que permite generar </w:t>
      </w:r>
      <w:r w:rsidR="006B0C6D" w:rsidRPr="009A2496">
        <w:rPr>
          <w:rFonts w:eastAsia="Calibri" w:cs="Times New Roman"/>
          <w:lang w:val="es-ES"/>
        </w:rPr>
        <w:t>más</w:t>
      </w:r>
      <w:r w:rsidRPr="009A2496">
        <w:rPr>
          <w:rFonts w:eastAsia="Calibri" w:cs="Times New Roman"/>
          <w:lang w:val="es-ES"/>
        </w:rPr>
        <w:t xml:space="preserve"> confiabilidad en los datos, esta muestra se ha incrementado con el tiempo captando más información"</w:t>
      </w:r>
    </w:p>
    <w:p w:rsidR="009A2496" w:rsidRPr="009A2496" w:rsidRDefault="009A2496" w:rsidP="00BC5E44">
      <w:pPr>
        <w:spacing w:after="200" w:line="240" w:lineRule="auto"/>
        <w:ind w:firstLine="708"/>
        <w:jc w:val="both"/>
        <w:rPr>
          <w:rFonts w:eastAsia="Calibri" w:cs="Times New Roman"/>
          <w:lang w:val="es-ES"/>
        </w:rPr>
      </w:pPr>
      <w:r w:rsidRPr="009A2496">
        <w:rPr>
          <w:rFonts w:eastAsia="Calibri" w:cs="Times New Roman"/>
          <w:lang w:val="es-ES"/>
        </w:rPr>
        <w:t xml:space="preserve">Debilidades </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"Existe debilidad en la toma de los datos de peso y talla en la consulta, esto a causa de la alta rotación del personal que no </w:t>
      </w:r>
      <w:r w:rsidR="006B0C6D" w:rsidRPr="009A2496">
        <w:rPr>
          <w:rFonts w:eastAsia="Calibri" w:cs="Times New Roman"/>
          <w:lang w:val="es-ES"/>
        </w:rPr>
        <w:t>está</w:t>
      </w:r>
      <w:r w:rsidRPr="009A2496">
        <w:rPr>
          <w:rFonts w:eastAsia="Calibri" w:cs="Times New Roman"/>
          <w:lang w:val="es-ES"/>
        </w:rPr>
        <w:t xml:space="preserve"> capacitado, sumado a esto el tiempo dedicado a la consulta no es suficiente lo que dificulta la dedicación de tiempo suficiente para la toma adecuada de estas medidas antropométricas.</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En el proceso de flujo de información existe una persona encargada por UPGD de hacer el reporte de las variables, esta persona no hace parte del personal de salud que obtiene los datos directamente, por este motivo puede existir un sesgo en la información digitada que debe ser verificada ya que hay datos alterados. </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La unificación de variables se dificulta teniendo en cuenta que estas </w:t>
      </w:r>
      <w:r w:rsidR="006B0C6D" w:rsidRPr="009A2496">
        <w:rPr>
          <w:rFonts w:eastAsia="Calibri" w:cs="Times New Roman"/>
          <w:lang w:val="es-ES"/>
        </w:rPr>
        <w:t>están</w:t>
      </w:r>
      <w:r w:rsidRPr="009A2496">
        <w:rPr>
          <w:rFonts w:eastAsia="Calibri" w:cs="Times New Roman"/>
          <w:lang w:val="es-ES"/>
        </w:rPr>
        <w:t xml:space="preserve"> establecidas dentro de formatos y softwares en cada institución, por este motivo se requiere realizar un proceso de análisis exhaustivo para comprobar y unificar unidades de medida.</w:t>
      </w:r>
    </w:p>
    <w:p w:rsidR="009A2496" w:rsidRP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 xml:space="preserve">No es posible la caracterización de la población teniendo en cuenta variables como desplazamiento, etnia y discapacidad, ya que en el momento de caracterizar al paciente </w:t>
      </w:r>
      <w:r w:rsidRPr="009A2496">
        <w:rPr>
          <w:rFonts w:eastAsia="Calibri" w:cs="Times New Roman"/>
          <w:lang w:val="es-ES"/>
        </w:rPr>
        <w:lastRenderedPageBreak/>
        <w:t>estos datos no siempre se diligencian y la información llega incompleta, lo mismo ocurre con los datos de vivienda que no son actualizados y muchas veces se encuentran errados. "</w:t>
      </w:r>
    </w:p>
    <w:p w:rsidR="009A2496" w:rsidRPr="009A2496" w:rsidRDefault="009A2496" w:rsidP="00BC5E44">
      <w:pPr>
        <w:spacing w:after="200" w:line="240" w:lineRule="auto"/>
        <w:ind w:firstLine="708"/>
        <w:jc w:val="both"/>
        <w:rPr>
          <w:rFonts w:eastAsia="Calibri" w:cs="Times New Roman"/>
          <w:lang w:val="es-ES"/>
        </w:rPr>
      </w:pPr>
      <w:r w:rsidRPr="009A2496">
        <w:rPr>
          <w:rFonts w:eastAsia="Calibri" w:cs="Times New Roman"/>
          <w:lang w:val="es-ES"/>
        </w:rPr>
        <w:t xml:space="preserve">Estable </w:t>
      </w:r>
    </w:p>
    <w:p w:rsidR="009A2496" w:rsidRDefault="009A2496" w:rsidP="00BC5E44">
      <w:pPr>
        <w:spacing w:after="200" w:line="240" w:lineRule="auto"/>
        <w:ind w:left="708"/>
        <w:jc w:val="both"/>
        <w:rPr>
          <w:rFonts w:eastAsia="Calibri" w:cs="Times New Roman"/>
          <w:lang w:val="es-ES"/>
        </w:rPr>
      </w:pPr>
      <w:r w:rsidRPr="009A2496">
        <w:rPr>
          <w:rFonts w:eastAsia="Calibri" w:cs="Times New Roman"/>
          <w:lang w:val="es-ES"/>
        </w:rPr>
        <w:t>Se debe considerar el incremento en la muestra si se compara el año 2011 con el 2014, esto se refleja en el incremento del indicador entre estos dos años. Por otro lado desde el 2012 el indicador se ha mantenido estable considerando que es un indicador sensible a periodos cortos de tiempo y existen en el municipio programas de complementación nutricional dirigidos a esta problemática en menores de 5 años.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Considerando la importancia que tiene el indicador de desnutrición global, pues es sensible a cortos periodos de tiempo y permite identificar las alteraciones tempranas en el estado nutricional; como meta de plan de desarrollo se </w:t>
      </w:r>
      <w:r w:rsidR="006B0C6D" w:rsidRPr="009A2496">
        <w:rPr>
          <w:rFonts w:eastAsia="Calibri" w:cs="Times New Roman"/>
          <w:lang w:val="es-ES"/>
        </w:rPr>
        <w:t>planteó</w:t>
      </w:r>
      <w:r w:rsidRPr="009A2496">
        <w:rPr>
          <w:rFonts w:eastAsia="Calibri" w:cs="Times New Roman"/>
          <w:lang w:val="es-ES"/>
        </w:rPr>
        <w:t xml:space="preserve"> reducirla a menos de 3% a 2015 en menores de dos años, para el año 2014 este tipo de desnutrición se encontró en 4,9% debido a que actualmente son insuficientes las acciones para la reducción de la malnutrición, tanto por exceso como por déficit, ya que para alcanzar estas metas es necesaria la intervención integral que involucra sectores principalmente como el agrícola, económico, educativo y salud; frente a este último se debe enfatizar en la capacitación continua del personal de salud no solo para la promoción de hábitos y estilos de vida saludables, sino también para la adecuada toma de medidas antropométricas, realización de la clasificación del estado nutricional, suministro de micronutrientes y remisión a programas de complementación nutricional existentes en el municipio. Así mismo, es pertinente determinar la responsabilidad de las EPS en la disminución de la malnutrición ya que son responsables directamente del paciente, en este sentido considerando que la EPS Emssanar es la que atiende a la mayor parte de la población reportada, es también quien tiene los más altos índices de malnutrición.</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El indicador de desnutrición global para menores de 5 años </w:t>
      </w:r>
      <w:r w:rsidR="006B0C6D" w:rsidRPr="009A2496">
        <w:rPr>
          <w:rFonts w:eastAsia="Calibri" w:cs="Times New Roman"/>
          <w:lang w:val="es-ES"/>
        </w:rPr>
        <w:t>reportados</w:t>
      </w:r>
      <w:r w:rsidRPr="009A2496">
        <w:rPr>
          <w:rFonts w:eastAsia="Calibri" w:cs="Times New Roman"/>
          <w:lang w:val="es-ES"/>
        </w:rPr>
        <w:t xml:space="preserve"> para el país, se encuentra en la ENSIN 2010 que reporta una prevalencia de 3,4% superior a las encontradas en el municipio. Hay que tener en cuenta que las dos fuentes de información (Nacional y Local) difieren significativamente en la metodología de obtención de los datos teniendo en cuenta que la primera se realiza a través de una encuesta de un estudio dirigido y la segunda es un sistema de información que se alimenta de los servicios de salud.</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"Es fundamental continuar con la implementación del sistema de vigilancia nutricional y el manual elaborado por la secretaría de salud municipal para la implementación del mismo que permite paso a paso identificar las funciones y responsabilidades de los actores encargados de dar el correcto funcionamiento al sistema.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La </w:t>
      </w:r>
      <w:r w:rsidR="006B0C6D" w:rsidRPr="009A2496">
        <w:rPr>
          <w:rFonts w:eastAsia="Calibri" w:cs="Times New Roman"/>
          <w:lang w:val="es-ES"/>
        </w:rPr>
        <w:t>confiabilidad</w:t>
      </w:r>
      <w:r w:rsidRPr="009A2496">
        <w:rPr>
          <w:rFonts w:eastAsia="Calibri" w:cs="Times New Roman"/>
          <w:lang w:val="es-ES"/>
        </w:rPr>
        <w:t xml:space="preserve"> de los datos del Sistema de Vigilancia Nutricional parte de la capacitación al personal de salud, verificación de equipos antropométricos, análisis exhaustivo de datos reportados y solicitud de corrección de los mismos a las UPGDs, retroalimentación tanto a IPS como a EPS con la información obtenida, desarrollo de salas </w:t>
      </w:r>
      <w:r w:rsidR="006B0C6D" w:rsidRPr="009A2496">
        <w:rPr>
          <w:rFonts w:eastAsia="Calibri" w:cs="Times New Roman"/>
          <w:lang w:val="es-ES"/>
        </w:rPr>
        <w:t>situaciones</w:t>
      </w:r>
      <w:r w:rsidRPr="009A2496">
        <w:rPr>
          <w:rFonts w:eastAsia="Calibri" w:cs="Times New Roman"/>
          <w:lang w:val="es-ES"/>
        </w:rPr>
        <w:t xml:space="preserve"> con aseguradoras para analizar los resultados y generación de escenarios de articulación con entidades de protección como ICBF para tomar medidas necesarias con el fin de disminuir los indicadores. Es </w:t>
      </w:r>
      <w:r w:rsidR="006B0C6D" w:rsidRPr="009A2496">
        <w:rPr>
          <w:rFonts w:eastAsia="Calibri" w:cs="Times New Roman"/>
          <w:lang w:val="es-ES"/>
        </w:rPr>
        <w:t>importante</w:t>
      </w:r>
      <w:r w:rsidRPr="009A2496">
        <w:rPr>
          <w:rFonts w:eastAsia="Calibri" w:cs="Times New Roman"/>
          <w:lang w:val="es-ES"/>
        </w:rPr>
        <w:t xml:space="preserve"> </w:t>
      </w:r>
      <w:r w:rsidRPr="009A2496">
        <w:rPr>
          <w:rFonts w:eastAsia="Calibri" w:cs="Times New Roman"/>
          <w:lang w:val="es-ES"/>
        </w:rPr>
        <w:lastRenderedPageBreak/>
        <w:t>por otro lado, continuar con la implementación de la vigilancia nutricional de la gestante, fundamental para la prevención de la malnutrición infantil.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"Dentro del Plan de Desarrollo Municipal “Pasto: Transformación productiva” se encuentra específicamente el indicador de desnutrición global en menores de 2 años, y se establece como meta la formulación e implementación del Plan de Seguridad Alimentaria y Nutricional del municipio, el cual a su vez le apunta a la disminución de la malnutrición tanto en niños y niñas como en adolescentes. La Secretaría de Salud Municipal cuenta con un equipo de cuatro contratistas que conforman la dimensión de Seguridad Alimentaria y Nutricional</w:t>
      </w:r>
      <w:r w:rsidR="006B0C6D">
        <w:rPr>
          <w:rFonts w:eastAsia="Calibri" w:cs="Times New Roman"/>
          <w:lang w:val="es-ES"/>
        </w:rPr>
        <w:t xml:space="preserve"> (nutricionista, fonoaudiólogo, </w:t>
      </w:r>
      <w:r w:rsidR="006B0C6D" w:rsidRPr="009A2496">
        <w:rPr>
          <w:rFonts w:eastAsia="Calibri" w:cs="Times New Roman"/>
          <w:lang w:val="es-ES"/>
        </w:rPr>
        <w:t>tecnólogo</w:t>
      </w:r>
      <w:r w:rsidRPr="009A2496">
        <w:rPr>
          <w:rFonts w:eastAsia="Calibri" w:cs="Times New Roman"/>
          <w:lang w:val="es-ES"/>
        </w:rPr>
        <w:t xml:space="preserve"> de promoción de la salud y auxiliar de enfermería) para la ejecución de acciones relacionadas con propender por la garantía de la Seguridad Alimentaria y Nutricional del Municipio, ejecutando actividades de articulación intersectorial, suministro de paquetes alimentarios, vigilancia del estado nutricional, seguimiento a la implementación de normas y guías relacionadas con nutrición, fortalecimiento de la estrategia IAMI y la implementación del Plan de Salud Pública de </w:t>
      </w:r>
      <w:r w:rsidR="006B0C6D" w:rsidRPr="009A2496">
        <w:rPr>
          <w:rFonts w:eastAsia="Calibri" w:cs="Times New Roman"/>
          <w:lang w:val="es-ES"/>
        </w:rPr>
        <w:t>Intervenciones</w:t>
      </w:r>
      <w:r w:rsidRPr="009A2496">
        <w:rPr>
          <w:rFonts w:eastAsia="Calibri" w:cs="Times New Roman"/>
          <w:lang w:val="es-ES"/>
        </w:rPr>
        <w:t xml:space="preserve"> Colectivas.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El municipio de Pasto, a través de la Secretaría de Salud, ejecuta el proyecto denominado “PASTO TRANSFORMANDO SU CULTURA EN SEGURIDAD ALIMENTARIA Y NUTRICIONAL” que busca dar solución al problema “</w:t>
      </w:r>
      <w:r w:rsidR="006B0C6D" w:rsidRPr="009A2496">
        <w:rPr>
          <w:rFonts w:eastAsia="Calibri" w:cs="Times New Roman"/>
          <w:lang w:val="es-ES"/>
        </w:rPr>
        <w:t>Débil</w:t>
      </w:r>
      <w:r w:rsidRPr="009A2496">
        <w:rPr>
          <w:rFonts w:eastAsia="Calibri" w:cs="Times New Roman"/>
          <w:lang w:val="es-ES"/>
        </w:rPr>
        <w:t xml:space="preserve"> articulación entre los actores inter e intrainstitucionales con injerencia en la Seguridad Alimentaria y Nutricional”. Lo anterior considerando que la malnutrición (tanto por exceso como por déficit) es consecuencia de la falta de </w:t>
      </w:r>
      <w:r w:rsidR="006B0C6D" w:rsidRPr="009A2496">
        <w:rPr>
          <w:rFonts w:eastAsia="Calibri" w:cs="Times New Roman"/>
          <w:lang w:val="es-ES"/>
        </w:rPr>
        <w:t>intervenciones</w:t>
      </w:r>
      <w:r w:rsidRPr="009A2496">
        <w:rPr>
          <w:rFonts w:eastAsia="Calibri" w:cs="Times New Roman"/>
          <w:lang w:val="es-ES"/>
        </w:rPr>
        <w:t xml:space="preserve"> de distintos sectores involucrados con la SAN pero ajenos al sector salud, debido a que este </w:t>
      </w:r>
      <w:r w:rsidR="006B0C6D" w:rsidRPr="009A2496">
        <w:rPr>
          <w:rFonts w:eastAsia="Calibri" w:cs="Times New Roman"/>
          <w:lang w:val="es-ES"/>
        </w:rPr>
        <w:t>último</w:t>
      </w:r>
      <w:r w:rsidRPr="009A2496">
        <w:rPr>
          <w:rFonts w:eastAsia="Calibri" w:cs="Times New Roman"/>
          <w:lang w:val="es-ES"/>
        </w:rPr>
        <w:t xml:space="preserve"> por </w:t>
      </w:r>
      <w:r w:rsidR="006B0C6D" w:rsidRPr="009A2496">
        <w:rPr>
          <w:rFonts w:eastAsia="Calibri" w:cs="Times New Roman"/>
          <w:lang w:val="es-ES"/>
        </w:rPr>
        <w:t>sí</w:t>
      </w:r>
      <w:r w:rsidRPr="009A2496">
        <w:rPr>
          <w:rFonts w:eastAsia="Calibri" w:cs="Times New Roman"/>
          <w:lang w:val="es-ES"/>
        </w:rPr>
        <w:t xml:space="preserve"> mismo no puede solucionar el problema de la malnutrición. Además el municipio cuenta con el Plan de Seguridad Alimentaria y Nutricional, Pasto Asegurando su Alimentación y Nutrición (PAAN), aprobado por el concejo municipal. Las acciones de SAN van dirigidas a toda la población del municipio en especial a la más vulnerable, madres gestantes, lactantes, menores de cinco años.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Durante la administración se realizaron las siguientes actividades de complementación nutricional:</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2010-2011: OPERACION PROLONGADA DE SOCORRO Y RECUPERACIÓN (OPSR) OPSR 10588.0: 958 beneficiarios de paquetes alimentarios entre madres gestantes y lactantes y menores de 6 años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2011-2012: Convenio maternoinfantil: 350 beneficiarios entre madres gestantes, lactantes y menores de 6 años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2012 y 2013: Programa de Recuperación Nutricional Ambulatoria, 177 usuarios menores de 5 años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2014-2015: OPERACION PROLONGADA DE SOCORRO Y RECUPERACION (OPSR) 200148</w:t>
      </w:r>
      <w:r w:rsidR="006B0C6D" w:rsidRPr="009A2496">
        <w:rPr>
          <w:rFonts w:eastAsia="Calibri" w:cs="Times New Roman"/>
          <w:lang w:val="es-ES"/>
        </w:rPr>
        <w:t>: 650</w:t>
      </w:r>
      <w:r w:rsidRPr="009A2496">
        <w:rPr>
          <w:rFonts w:eastAsia="Calibri" w:cs="Times New Roman"/>
          <w:lang w:val="es-ES"/>
        </w:rPr>
        <w:t xml:space="preserve"> personas beneficiarias del sector rural.</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Año 2014</w:t>
      </w:r>
      <w:r w:rsidR="006B0C6D" w:rsidRPr="009A2496">
        <w:rPr>
          <w:rFonts w:eastAsia="Calibri" w:cs="Times New Roman"/>
          <w:lang w:val="es-ES"/>
        </w:rPr>
        <w:t>: Programa</w:t>
      </w:r>
      <w:r w:rsidRPr="009A2496">
        <w:rPr>
          <w:rFonts w:eastAsia="Calibri" w:cs="Times New Roman"/>
          <w:lang w:val="es-ES"/>
        </w:rPr>
        <w:t xml:space="preserve"> de Recuperación Nutricional Ambulatoria, 177 Usuarios menores de 5 años.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Secretaría de Bienestar Social:</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1028 Niños y niñas menores de cinco años y 365 madres atendidas integralmente en los aspectos nutricional, pedagógico y psicosocial. Dentro del programa nutrición y afecto"</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lastRenderedPageBreak/>
        <w:t xml:space="preserve">Reducir  la desnutrición global en menores de 2 años a 3%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1. Compra de equipos antropométricos por parte de las UPGD de la ESE Pasto Salud, quien reporta la mayoría de los datos al SVN</w:t>
      </w:r>
    </w:p>
    <w:p w:rsid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2. Incremento de la población reportada al Sistema de Vigilancia Nutricional. Se ha incrementado en la administración la población total reportada y se ha mantenido la muestra durante el tiempo, generando mayor confiabilidad en los datos que en el año 2011. </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3. Implementación de programa de Recuperación nutricional ambulatoria primeros mil días a 281 Usuarios: 17 Niños y niñas de 6 a 11 meses. 64 niños y niñas de 12 a 24 meses. 120 gestantes y  80 lactantes</w:t>
      </w:r>
    </w:p>
    <w:p w:rsidR="009A2496" w:rsidRPr="009A2496" w:rsidRDefault="006B0C6D" w:rsidP="00A92D87">
      <w:pPr>
        <w:spacing w:after="200" w:line="240" w:lineRule="auto"/>
        <w:jc w:val="both"/>
        <w:rPr>
          <w:rFonts w:eastAsia="Calibri" w:cs="Times New Roman"/>
          <w:lang w:val="es-ES"/>
        </w:rPr>
      </w:pPr>
      <w:r w:rsidRPr="009A2496">
        <w:rPr>
          <w:rFonts w:eastAsia="Calibri" w:cs="Times New Roman"/>
          <w:lang w:val="es-ES"/>
        </w:rPr>
        <w:t>4. Formulación</w:t>
      </w:r>
      <w:r w:rsidR="009A2496" w:rsidRPr="009A2496">
        <w:rPr>
          <w:rFonts w:eastAsia="Calibri" w:cs="Times New Roman"/>
          <w:lang w:val="es-ES"/>
        </w:rPr>
        <w:t xml:space="preserve"> e implementación del plan de Seguridad Alimentaria y Nutricional</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Se realizan comités de Vigilancia Nutricional con entidades como ICBF para realizar la </w:t>
      </w:r>
      <w:r w:rsidR="006B0C6D" w:rsidRPr="009A2496">
        <w:rPr>
          <w:rFonts w:eastAsia="Calibri" w:cs="Times New Roman"/>
          <w:lang w:val="es-ES"/>
        </w:rPr>
        <w:t>búsqueda</w:t>
      </w:r>
      <w:r w:rsidRPr="009A2496">
        <w:rPr>
          <w:rFonts w:eastAsia="Calibri" w:cs="Times New Roman"/>
          <w:lang w:val="es-ES"/>
        </w:rPr>
        <w:t xml:space="preserve"> de casos de desnutrición y realizar su inclusión dentro de los programas de esta entidad, se presentan los resultados en comités de Vigilancia Nutricional, COMPOS, etc. Se envían estos resultados a las EPS para realizar el seguimiento a los mismos.</w:t>
      </w:r>
    </w:p>
    <w:p w:rsidR="009A2496" w:rsidRPr="009A2496" w:rsidRDefault="009A2496" w:rsidP="00A92D87">
      <w:pPr>
        <w:spacing w:after="200" w:line="240" w:lineRule="auto"/>
        <w:jc w:val="both"/>
        <w:rPr>
          <w:rFonts w:eastAsia="Calibri" w:cs="Times New Roman"/>
          <w:lang w:val="es-ES"/>
        </w:rPr>
      </w:pPr>
      <w:r w:rsidRPr="009A2496">
        <w:rPr>
          <w:rFonts w:eastAsia="Calibri" w:cs="Times New Roman"/>
          <w:lang w:val="es-ES"/>
        </w:rPr>
        <w:t>La desnutrición global se encuentra en 4,1%, la meta para objetivos de desarrollo de milenio en Colombia es 2,6%</w:t>
      </w:r>
    </w:p>
    <w:p w:rsidR="009A2496" w:rsidRDefault="009A2496" w:rsidP="00A92D87">
      <w:pPr>
        <w:spacing w:after="200" w:line="240" w:lineRule="auto"/>
        <w:jc w:val="both"/>
        <w:rPr>
          <w:rFonts w:eastAsia="Calibri" w:cs="Times New Roman"/>
          <w:lang w:val="es-ES"/>
        </w:rPr>
      </w:pPr>
      <w:r w:rsidRPr="009A2496">
        <w:rPr>
          <w:rFonts w:eastAsia="Calibri" w:cs="Times New Roman"/>
          <w:lang w:val="es-ES"/>
        </w:rPr>
        <w:t xml:space="preserve">Se realizan comités de Vigilancia Nutricional con entidades como ICBF para realizar la </w:t>
      </w:r>
      <w:r w:rsidR="006B0C6D" w:rsidRPr="009A2496">
        <w:rPr>
          <w:rFonts w:eastAsia="Calibri" w:cs="Times New Roman"/>
          <w:lang w:val="es-ES"/>
        </w:rPr>
        <w:t>búsqueda</w:t>
      </w:r>
      <w:r w:rsidRPr="009A2496">
        <w:rPr>
          <w:rFonts w:eastAsia="Calibri" w:cs="Times New Roman"/>
          <w:lang w:val="es-ES"/>
        </w:rPr>
        <w:t xml:space="preserve"> de casos de desnutrición y realizar su inclusión dentro de los programas de esta entidad, se presentan los resultados en comités de Vigilancia Nutricional, COMPOS, etc. Se envían estos resultados a las EPS para realizar el seguimiento a los mismos.</w:t>
      </w:r>
    </w:p>
    <w:p w:rsidR="00BC5E44" w:rsidRPr="009A2496" w:rsidRDefault="00BC5E44" w:rsidP="00A92D87">
      <w:pPr>
        <w:spacing w:after="200" w:line="240" w:lineRule="auto"/>
        <w:jc w:val="both"/>
        <w:rPr>
          <w:rFonts w:eastAsia="Calibri" w:cs="Times New Roman"/>
          <w:lang w:val="es-ES"/>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15</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31"/>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295"/>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Porcentaje de niños con bajo peso al nacer</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RUAF-ND</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37"/>
        </w:numPr>
        <w:suppressAutoHyphens/>
        <w:spacing w:after="0" w:line="240" w:lineRule="auto"/>
        <w:contextualSpacing/>
        <w:rPr>
          <w:rFonts w:eastAsia="Times New Roman" w:cs="Times New Roman"/>
          <w:b/>
          <w:lang w:val="es-ES" w:eastAsia="ar-SA"/>
        </w:rPr>
      </w:pPr>
      <w:r w:rsidRPr="009A2496">
        <w:rPr>
          <w:rFonts w:eastAsia="Times New Roman" w:cs="Times New Roman"/>
          <w:b/>
          <w:lang w:val="es-ES" w:eastAsia="ar-SA"/>
        </w:rPr>
        <w:lastRenderedPageBreak/>
        <w:t>Información estadística</w:t>
      </w:r>
    </w:p>
    <w:p w:rsidR="009A2496" w:rsidRPr="009A2496" w:rsidRDefault="009A2496" w:rsidP="00A92D87">
      <w:pPr>
        <w:suppressAutoHyphens/>
        <w:spacing w:after="0" w:line="240" w:lineRule="auto"/>
        <w:ind w:left="360"/>
        <w:contextualSpacing/>
        <w:rPr>
          <w:rFonts w:eastAsia="Times New Roman" w:cs="Times New Roman"/>
          <w:b/>
          <w:lang w:val="es-ES" w:eastAsia="ar-SA"/>
        </w:rPr>
      </w:pP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618480" cy="2980055"/>
            <wp:effectExtent l="0" t="0" r="1270" b="10795"/>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RUAF-ND</w:t>
      </w: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BC5E44">
      <w:pPr>
        <w:spacing w:after="200" w:line="240" w:lineRule="auto"/>
        <w:ind w:left="360"/>
        <w:jc w:val="both"/>
        <w:rPr>
          <w:rFonts w:eastAsia="Calibri" w:cs="Times New Roman"/>
        </w:rPr>
      </w:pPr>
      <w:r w:rsidRPr="009A2496">
        <w:rPr>
          <w:rFonts w:eastAsia="Calibri" w:cs="Times New Roman"/>
        </w:rPr>
        <w:t>El comportamiento del indicador de Bajo Peso al nacer ha ido aumentando en el período de 2011 a 2014, como se evidencia en la gráfica.  De acuerdo a las causas de morbilidad y mortalidad, se puede evidenciar que el trabajo hay que orientarlo y dirigirlo al cuidado materno y perinatal, a nivel institucional y comunitario, seguimiento, valoración y cuidado nutricional de la gestante, así como la identificación y manejo del riesgo preconcepcional, parto, posparto, y el estado nutricional de la gestante.</w:t>
      </w:r>
    </w:p>
    <w:p w:rsidR="009A2496" w:rsidRPr="009A2496" w:rsidRDefault="009A2496" w:rsidP="00A92D87">
      <w:pPr>
        <w:numPr>
          <w:ilvl w:val="0"/>
          <w:numId w:val="37"/>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BC5E44">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Dentro del Plan de Desarrollo Municipal “Pasto: Transformación productiva”, se encuentra contemplado éste indicador, con el fin de disminuir el Bajo Peso al nacer.  La Secretaría de Salud Municipal cuenta con un equipo de cuatro contratistas que conforman prioridad de salud infantil (tres enfermeras y un médico) y una funcionaria de planta como Coordinadora de la prioridad, para la ejecución de acciones relacionadas con propender la salud de los niños y niñas del Municipio,  desarrollando actividades de articulación intersectorial, seguimiento, evaluación y asistencia técnica a IPS y EPS,  fortalecimiento de la estrategia AIEPI en el componente clínico y comunitario y la implementación del Plan de Salud Pública de Intervenciones Colectivas. </w:t>
      </w:r>
      <w:r w:rsidR="00BC5E44">
        <w:rPr>
          <w:rFonts w:eastAsia="Times New Roman" w:cs="Times New Roman"/>
          <w:lang w:val="es-ES" w:eastAsia="ar-SA"/>
        </w:rPr>
        <w:t xml:space="preserve"> </w:t>
      </w:r>
      <w:r w:rsidRPr="009A2496">
        <w:rPr>
          <w:rFonts w:eastAsia="Times New Roman" w:cs="Times New Roman"/>
          <w:lang w:val="es-ES" w:eastAsia="ar-SA"/>
        </w:rPr>
        <w:t>Adicionalmente se cuenta con un equipo de Unidades Centinelas en algunas zonas del área rural como apoyo a la comunidad.</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BC5E44">
      <w:pPr>
        <w:spacing w:after="200" w:line="240" w:lineRule="auto"/>
        <w:ind w:left="360"/>
        <w:jc w:val="both"/>
        <w:rPr>
          <w:rFonts w:eastAsia="Calibri" w:cs="Arial"/>
        </w:rPr>
      </w:pPr>
      <w:r w:rsidRPr="009A2496">
        <w:rPr>
          <w:rFonts w:eastAsia="Calibri" w:cs="Times New Roman"/>
        </w:rPr>
        <w:t xml:space="preserve">El municipio de Pasto, a través de la Secretaría de Salud, se ejecuta un proyecto denominado “NIÑOS Y NIÑAS SALUDABLES DEL MUNICIPIO DE </w:t>
      </w:r>
      <w:r w:rsidRPr="009A2496">
        <w:rPr>
          <w:rFonts w:eastAsia="Calibri" w:cs="Arial"/>
        </w:rPr>
        <w:t xml:space="preserve">PASTO” que busca lograr la articulación </w:t>
      </w:r>
      <w:r w:rsidRPr="009A2496">
        <w:rPr>
          <w:rFonts w:eastAsia="Calibri" w:cs="Arial"/>
        </w:rPr>
        <w:lastRenderedPageBreak/>
        <w:t>entre los actores inter e intrainstitucionales que intervienen en la Salud infantil, y el seguimiento, evaluación y asistencia técnica a EPS e IPS con el fin de verificar la adherencia a guías, normas, estrategias y protocolos.</w:t>
      </w:r>
    </w:p>
    <w:p w:rsidR="009A2496" w:rsidRPr="009A2496" w:rsidRDefault="009A2496" w:rsidP="00BC5E44">
      <w:pPr>
        <w:spacing w:after="200" w:line="240" w:lineRule="auto"/>
        <w:ind w:left="360"/>
        <w:jc w:val="both"/>
        <w:rPr>
          <w:rFonts w:eastAsia="Calibri" w:cs="Arial"/>
        </w:rPr>
      </w:pPr>
      <w:r w:rsidRPr="009A2496">
        <w:rPr>
          <w:rFonts w:eastAsia="Calibri" w:cs="Arial"/>
        </w:rPr>
        <w:t>Además se aplica la Ruta de atención a la primera infancia e infancia enfocado a orientar y mejorar las actividades relacionadas con la salud infantil de nuestro Municipio.</w:t>
      </w:r>
    </w:p>
    <w:p w:rsidR="009A2496" w:rsidRPr="009A2496" w:rsidRDefault="009A2496" w:rsidP="00BC5E44">
      <w:pPr>
        <w:spacing w:after="200" w:line="240" w:lineRule="auto"/>
        <w:ind w:left="360"/>
        <w:jc w:val="both"/>
        <w:rPr>
          <w:rFonts w:eastAsia="Calibri" w:cs="Arial"/>
        </w:rPr>
      </w:pPr>
      <w:r w:rsidRPr="009A2496">
        <w:rPr>
          <w:rFonts w:eastAsia="Calibri" w:cs="Arial"/>
        </w:rPr>
        <w:t>También se desarrolla el Plan de Intervenciones colectivas, a través del cual se ejecuta actividades de articulación y empoderamiento de la salud con la comunidad.</w:t>
      </w:r>
    </w:p>
    <w:p w:rsidR="009A2496" w:rsidRPr="009A2496" w:rsidRDefault="009A2496" w:rsidP="00A92D87">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Arial"/>
          <w:color w:val="000000"/>
          <w:lang w:val="es-ES" w:eastAsia="ar-SA"/>
        </w:rPr>
      </w:pPr>
    </w:p>
    <w:p w:rsidR="009A2496" w:rsidRPr="009A2496" w:rsidRDefault="009A2496" w:rsidP="00A92D87">
      <w:pPr>
        <w:numPr>
          <w:ilvl w:val="0"/>
          <w:numId w:val="1"/>
        </w:numPr>
        <w:spacing w:after="0" w:line="240" w:lineRule="auto"/>
        <w:contextualSpacing/>
        <w:jc w:val="both"/>
        <w:rPr>
          <w:rFonts w:eastAsia="Times New Roman" w:cs="Arial"/>
          <w:b/>
          <w:bCs/>
          <w:color w:val="000000"/>
          <w:lang w:val="es-ES_tradnl" w:eastAsia="es-ES"/>
        </w:rPr>
      </w:pPr>
      <w:r w:rsidRPr="009A2496">
        <w:rPr>
          <w:rFonts w:eastAsia="Times New Roman" w:cs="Arial"/>
          <w:color w:val="000000"/>
          <w:lang w:val="es-ES" w:eastAsia="ar-SA"/>
        </w:rPr>
        <w:t>Política pública Municipal de primera infancia e infancia operando.</w:t>
      </w:r>
    </w:p>
    <w:p w:rsidR="009A2496" w:rsidRPr="009A2496" w:rsidRDefault="009A2496" w:rsidP="00A92D87">
      <w:pPr>
        <w:numPr>
          <w:ilvl w:val="0"/>
          <w:numId w:val="1"/>
        </w:numPr>
        <w:spacing w:after="0" w:line="240" w:lineRule="auto"/>
        <w:jc w:val="both"/>
        <w:rPr>
          <w:rFonts w:eastAsia="Calibri" w:cs="Arial"/>
          <w:color w:val="000000"/>
        </w:rPr>
      </w:pPr>
      <w:r w:rsidRPr="009A2496">
        <w:rPr>
          <w:rFonts w:eastAsia="Calibri" w:cs="Arial"/>
          <w:color w:val="000000"/>
        </w:rPr>
        <w:t>Lograda la adherencia a guías, normas técnicas y estrategias relacionadas con la Salud infantil del Municipio.</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 xml:space="preserve">Implementada la estrategia de movilización social para el empoderamiento de la comunidad. </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Ruta de atención integral a la primera infancia e infancia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Resultados al término de la gestión  (2012 -2014)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Política pública Municipal de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Ruta de atención integral a la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Estrategia AIEPI operando en IPS públicas y privadas</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Unidades Centinelas (11) operando</w:t>
      </w:r>
    </w:p>
    <w:p w:rsidR="009A2496" w:rsidRPr="00BC5E44" w:rsidRDefault="009A2496" w:rsidP="00A92D87">
      <w:pPr>
        <w:numPr>
          <w:ilvl w:val="0"/>
          <w:numId w:val="2"/>
        </w:numPr>
        <w:spacing w:after="0" w:line="240" w:lineRule="auto"/>
        <w:jc w:val="both"/>
        <w:rPr>
          <w:rFonts w:eastAsia="Calibri" w:cs="Arial"/>
          <w:b/>
        </w:rPr>
      </w:pPr>
      <w:r w:rsidRPr="009A2496">
        <w:rPr>
          <w:rFonts w:eastAsia="Calibri" w:cs="Arial"/>
          <w:color w:val="000000"/>
        </w:rPr>
        <w:t>Componente AIEPI comunitario fortalecido a través de capacitaciones a actores sociales.</w:t>
      </w:r>
    </w:p>
    <w:p w:rsidR="00BC5E44" w:rsidRPr="00BC5E44" w:rsidRDefault="00BC5E44" w:rsidP="00BC5E44">
      <w:pPr>
        <w:spacing w:after="0" w:line="240" w:lineRule="auto"/>
        <w:ind w:left="1080"/>
        <w:jc w:val="both"/>
        <w:rPr>
          <w:rFonts w:eastAsia="Calibri" w:cs="Arial"/>
          <w:b/>
        </w:rPr>
      </w:pPr>
    </w:p>
    <w:p w:rsidR="009A2496" w:rsidRPr="009A2496" w:rsidRDefault="009A2496" w:rsidP="00A92D87">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Positivo: Se evidencian avances en la Estrategia AIEPI en las IPS públicas y privadas.  El trabajo comunitario con la estrategia y las Unidades centinelas se ha evidenciado en los indicadores de mortalidad y morbilidad, y en el conocimiento de los aspectos con la salud infantil.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BC5E44">
      <w:pPr>
        <w:spacing w:after="0" w:line="240" w:lineRule="auto"/>
        <w:ind w:left="360"/>
        <w:jc w:val="both"/>
        <w:rPr>
          <w:rFonts w:eastAsia="Calibri" w:cs="Times New Roman"/>
        </w:rPr>
      </w:pPr>
      <w:r w:rsidRPr="009A2496">
        <w:rPr>
          <w:rFonts w:eastAsia="Calibri" w:cs="Times New Roman"/>
        </w:rPr>
        <w:t xml:space="preserve">Es importante fortalecer la articulación </w:t>
      </w:r>
      <w:r w:rsidR="006B0C6D" w:rsidRPr="009A2496">
        <w:rPr>
          <w:rFonts w:eastAsia="Calibri" w:cs="Times New Roman"/>
        </w:rPr>
        <w:t>interinstitucional, con</w:t>
      </w:r>
      <w:r w:rsidRPr="009A2496">
        <w:rPr>
          <w:rFonts w:eastAsia="Calibri" w:cs="Times New Roman"/>
        </w:rPr>
        <w:t xml:space="preserve"> el fin de continuar aunando esfuerzos para evitar que los niños y niñas se nos mueran por enfermedades prevenibles.  Esto se logra trabajando de la mano con las IPS, EPS y con la comunidad en general, para que reconozcan los signos de peligro y acudan oportunamente a los centros de salud más cercanos.</w:t>
      </w:r>
    </w:p>
    <w:p w:rsidR="00BC5E44" w:rsidRDefault="00BC5E44" w:rsidP="00A92D87">
      <w:pPr>
        <w:spacing w:after="0" w:line="240" w:lineRule="auto"/>
        <w:jc w:val="both"/>
        <w:rPr>
          <w:rFonts w:eastAsia="Calibri" w:cs="Times New Roman"/>
          <w:color w:val="000000"/>
          <w:lang w:val="es-ES_tradnl"/>
        </w:rPr>
      </w:pPr>
    </w:p>
    <w:p w:rsidR="009A2496" w:rsidRPr="009A2496" w:rsidRDefault="009A2496" w:rsidP="00BC5E44">
      <w:pPr>
        <w:spacing w:after="0" w:line="240" w:lineRule="auto"/>
        <w:ind w:left="360"/>
        <w:jc w:val="both"/>
        <w:rPr>
          <w:rFonts w:eastAsia="Calibri" w:cs="Times New Roman"/>
        </w:rPr>
      </w:pPr>
      <w:r w:rsidRPr="009A2496">
        <w:rPr>
          <w:rFonts w:eastAsia="Calibri" w:cs="Times New Roman"/>
          <w:color w:val="000000"/>
          <w:lang w:val="es-ES_tradnl"/>
        </w:rPr>
        <w:t xml:space="preserve">Algunos aspectos como los bajos recursos económicos, factores culturales y educativos, pueden generar un impacto negativo, es por eso que el trabajo se debe enfocar en la educación a la comunidad a través del AIEPI Comunitario y la adecuada priorización de problemas para una oportuna intervención de los mismos. Es importante reconocer que la </w:t>
      </w:r>
      <w:r w:rsidRPr="009A2496">
        <w:rPr>
          <w:rFonts w:eastAsia="Calibri" w:cs="Times New Roman"/>
          <w:color w:val="000000"/>
          <w:lang w:val="es-ES_tradnl"/>
        </w:rPr>
        <w:lastRenderedPageBreak/>
        <w:t xml:space="preserve">salud infantil empieza desde la preconcepción hasta los cinco años, por lo tanto dichas actividades se deben implementar desde las mujeres en edad fértil, gestación, parto, posparto y en el nacimiento hasta los 5 años.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3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BC5E44">
      <w:pPr>
        <w:spacing w:after="200" w:line="240" w:lineRule="auto"/>
        <w:ind w:left="360"/>
        <w:jc w:val="both"/>
        <w:rPr>
          <w:rFonts w:eastAsia="Calibri" w:cs="Times New Roman"/>
        </w:rPr>
      </w:pPr>
      <w:r w:rsidRPr="009A2496">
        <w:rPr>
          <w:rFonts w:eastAsia="Calibri" w:cs="Times New Roman"/>
        </w:rPr>
        <w:t xml:space="preserve">Se debe continuar trabajando en el seguimiento, evaluación y asistencia técnica con el fin de vigilar que las normas, guías, protocolos y estrategias se estén aplicando satisfactoriamente. </w:t>
      </w:r>
    </w:p>
    <w:p w:rsidR="009A2496" w:rsidRPr="009A2496" w:rsidRDefault="009A2496" w:rsidP="00BC5E44">
      <w:pPr>
        <w:spacing w:after="200" w:line="240" w:lineRule="auto"/>
        <w:ind w:left="360"/>
        <w:jc w:val="both"/>
        <w:rPr>
          <w:rFonts w:eastAsia="Calibri" w:cs="Times New Roman"/>
        </w:rPr>
      </w:pPr>
      <w:r w:rsidRPr="009A2496">
        <w:rPr>
          <w:rFonts w:eastAsia="Calibri" w:cs="Times New Roman"/>
        </w:rPr>
        <w:t xml:space="preserve">Dentro del mejoramiento de la calidad de atención es necesario fortalecer la aplicación de la Estrategia AIEPI, y en el componente comunitario las Unidades Centinelas, siendo ellas las primeras promotoras de la educación con la comunidad, y el puente de articulación con la prestación, en el marco de la referencia y contrareferencia. </w:t>
      </w:r>
    </w:p>
    <w:p w:rsidR="009A2496" w:rsidRPr="009A2496" w:rsidRDefault="009A2496" w:rsidP="00BC5E44">
      <w:pPr>
        <w:spacing w:after="200" w:line="240" w:lineRule="auto"/>
        <w:ind w:left="360"/>
        <w:jc w:val="both"/>
        <w:rPr>
          <w:rFonts w:eastAsia="Calibri" w:cs="Times New Roman"/>
        </w:rPr>
      </w:pPr>
      <w:r w:rsidRPr="009A2496">
        <w:rPr>
          <w:rFonts w:eastAsia="Calibri" w:cs="Times New Roman"/>
        </w:rPr>
        <w:t xml:space="preserve">De igual manera, la ruta de atención integral a la primera infancia e infancia, es una estrategia clave para orientar el trabajo de las EPS, IPS y actores sociales que intervienen en la misma, y garantizar la mejor atención a los niños y niñas de nuestro Municipio. </w:t>
      </w:r>
    </w:p>
    <w:p w:rsidR="009A2496" w:rsidRDefault="009A2496" w:rsidP="00A92D87">
      <w:pPr>
        <w:spacing w:after="200" w:line="240" w:lineRule="auto"/>
        <w:jc w:val="center"/>
        <w:rPr>
          <w:rFonts w:eastAsia="Calibri" w:cs="Times New Roman"/>
          <w:lang w:val="es-ES"/>
        </w:rPr>
      </w:pPr>
    </w:p>
    <w:p w:rsidR="00BC5E44" w:rsidRPr="009A2496" w:rsidRDefault="00BC5E44" w:rsidP="00A92D87">
      <w:pPr>
        <w:spacing w:after="200" w:line="240" w:lineRule="auto"/>
        <w:jc w:val="center"/>
        <w:rPr>
          <w:rFonts w:eastAsia="Calibri" w:cs="Times New Roman"/>
          <w:lang w:val="es-ES"/>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 xml:space="preserve">DESCRIPCIÓN DEL INDICADOR No. 19: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61"/>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Cobertura de vacunación con pentavalente (DPT y Hepatitis)  tres dosis en  niños y niñas menores de 1 año</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Coberturas Administrativas de Vacunación</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BC5E44" w:rsidRDefault="00BC5E44" w:rsidP="00A92D87">
      <w:pPr>
        <w:spacing w:after="200" w:line="240" w:lineRule="auto"/>
        <w:rPr>
          <w:rFonts w:eastAsia="Calibri" w:cs="Times New Roman"/>
        </w:rPr>
      </w:pPr>
    </w:p>
    <w:p w:rsidR="00BC5E44" w:rsidRDefault="00BC5E44">
      <w:pPr>
        <w:rPr>
          <w:rFonts w:eastAsia="Calibri" w:cs="Times New Roman"/>
        </w:rPr>
      </w:pPr>
      <w:r>
        <w:rPr>
          <w:rFonts w:eastAsia="Calibri" w:cs="Times New Roman"/>
        </w:rPr>
        <w:br w:type="page"/>
      </w:r>
    </w:p>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43"/>
        </w:numPr>
        <w:suppressAutoHyphens/>
        <w:spacing w:after="0" w:line="240" w:lineRule="auto"/>
        <w:ind w:left="284"/>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360"/>
        <w:contextualSpacing/>
        <w:rPr>
          <w:rFonts w:eastAsia="Times New Roman" w:cs="Times New Roman"/>
          <w:b/>
          <w:lang w:val="es-ES" w:eastAsia="ar-SA"/>
        </w:rPr>
      </w:pP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742940" cy="3329940"/>
            <wp:effectExtent l="0" t="0" r="10160" b="381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Coberturas Administrativas de Vacunación</w:t>
      </w: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4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En el año 2011 y 2012 se obtienen coberturas con población DANE motivo por el cual las coberturas no son útiles porque hay una población asignada superior a la población real existente, en los años 2013 y 2014 desde el Ministerio de Salud y de la Protección Social realizaron ajuste a la población asignada con historial de vacunación y en relación a cohorte de nacido vivo el cual asignaron una población inferior a la población real existente obteniendo coberturas superiores al 95% que son las esperadas como meta nacional, para este año 2015 realizaron desde el MSPS un incremento a la población menor de un año, de un año de 18 meses y cinco años.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78472D"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La Secretaria municipal de Salud con su centro de acopio de red de frio para almacenar los biológicos que son entregados por el IDSN y posteriormente entregados a las funcionarias </w:t>
      </w:r>
    </w:p>
    <w:p w:rsidR="0078472D" w:rsidRDefault="0078472D"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responsables de vacunación de las 26 IPS vacunadoras, contamos con una coordinadora de Salud Infantil quien está pendiente de todos los programas incluyendo el Programa Ampliado de Inmunizaciones, una enfermera referente de red de frio (personal nuevo en el Programa), un enfermero referente de Cohorte de Nacido Vivo (personal nuevo) para el Programa Ampliado de inmunizaciones PAI se asigna el recursos para contratación del personal </w:t>
      </w:r>
      <w:r w:rsidRPr="009A2496">
        <w:rPr>
          <w:rFonts w:eastAsia="Times New Roman" w:cs="Times New Roman"/>
          <w:lang w:val="es-ES" w:eastAsia="ar-SA"/>
        </w:rPr>
        <w:lastRenderedPageBreak/>
        <w:t>contratista anteriormente mencionado, para contratación de mantenimiento preventivo y correctivo para monitoreo satelital y de equipos de red de frio y dinero destinado para contratación del Plan de Intervenciones Colectivas PIC. Los indicadores obtenidos en coberturas de vacunación en los últimos años son coberturas útiles e incluso en este año con población ajustada desde el MSPS.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acción para que el indicador sea más real se realizó un nuevo ajuste a la población por parte del Ministerio de Salud y de la Protección Social, realizando un incremento a la población objeto de vacunación.</w:t>
      </w:r>
    </w:p>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4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Desde el Ministerio de Salud y de Protección Social realiza adición de recursos a los municipios que logran o superan las matas útiles de coberturas de vacunación, el cual Pasto obtuvo unas coberturas de pentavalente tercera dos de 105%. (Se desconoce si desde el MSPS dio cumplimiento con la promesa a todos los municipios que cumplan o superen las coberturas de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Se han logrado coberturas útiles de vacunación,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4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Vacunar a la población a los niños y niñas cuando han cumplido su edad correspondiente y evitar que ni un solo niño se que</w:t>
      </w:r>
      <w:r w:rsidR="006B0C6D">
        <w:rPr>
          <w:rFonts w:eastAsia="Times New Roman" w:cs="Times New Roman"/>
          <w:lang w:val="es-ES" w:eastAsia="ar-SA"/>
        </w:rPr>
        <w:t>de</w:t>
      </w:r>
      <w:r w:rsidRPr="009A2496">
        <w:rPr>
          <w:rFonts w:eastAsia="Times New Roman" w:cs="Times New Roman"/>
          <w:lang w:val="es-ES" w:eastAsia="ar-SA"/>
        </w:rPr>
        <w:t xml:space="preserve"> sin inmunizar. De igual manera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4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Algunos aspectos que requieren mejoramiento es dar cumplimiento en su totalidad a los lineamientos nacionales por parte de las IPS vacunadoras para que todos los niños se vacunen puesto que se debe cumplir la vacunación sin barreras.</w:t>
      </w:r>
    </w:p>
    <w:p w:rsidR="009A2496" w:rsidRPr="009A2496" w:rsidRDefault="009A2496" w:rsidP="00A92D87">
      <w:pPr>
        <w:suppressAutoHyphens/>
        <w:spacing w:after="0" w:line="240" w:lineRule="auto"/>
        <w:ind w:left="360"/>
        <w:contextualSpacing/>
        <w:rPr>
          <w:rFonts w:eastAsia="Times New Roman" w:cs="Times New Roman"/>
          <w:lang w:val="es-ES" w:eastAsia="ar-SA"/>
        </w:rPr>
      </w:pPr>
    </w:p>
    <w:p w:rsidR="009A2496" w:rsidRPr="009A2496" w:rsidRDefault="009A2496" w:rsidP="00A92D87">
      <w:pPr>
        <w:numPr>
          <w:ilvl w:val="0"/>
          <w:numId w:val="43"/>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Fortalecer el sistema de información y articular intersectorialmente para captar a los niños que se han cambiado de dirección, o los datos de las direcciones suministrados por los padres son incorrectos y nos dificulta realizar seguimiento oportuno, eficiente y efectivo para inmunizar a los niños.</w:t>
      </w:r>
    </w:p>
    <w:p w:rsidR="009A2496" w:rsidRDefault="009A2496" w:rsidP="00A92D87">
      <w:pPr>
        <w:spacing w:after="200" w:line="240" w:lineRule="auto"/>
        <w:jc w:val="center"/>
        <w:rPr>
          <w:rFonts w:eastAsia="Calibri" w:cs="Times New Roman"/>
          <w:lang w:val="es-ES"/>
        </w:rPr>
      </w:pPr>
    </w:p>
    <w:p w:rsidR="007F643E" w:rsidRPr="009A2496" w:rsidRDefault="007F643E" w:rsidP="00A92D87">
      <w:pPr>
        <w:spacing w:after="200" w:line="240" w:lineRule="auto"/>
        <w:jc w:val="center"/>
        <w:rPr>
          <w:rFonts w:eastAsia="Calibri" w:cs="Times New Roman"/>
          <w:lang w:val="es-ES"/>
        </w:rPr>
      </w:pPr>
    </w:p>
    <w:p w:rsidR="009A2496" w:rsidRPr="009A2496" w:rsidRDefault="009A2496" w:rsidP="00A92D87">
      <w:pPr>
        <w:spacing w:after="200" w:line="240" w:lineRule="auto"/>
        <w:jc w:val="both"/>
        <w:rPr>
          <w:rFonts w:eastAsia="Calibri" w:cs="Times New Roman"/>
        </w:rPr>
      </w:pPr>
    </w:p>
    <w:p w:rsidR="009A2496" w:rsidRPr="009A2496" w:rsidRDefault="009A2496" w:rsidP="00A92D87">
      <w:pPr>
        <w:pBdr>
          <w:top w:val="single" w:sz="4" w:space="10" w:color="4F81BD"/>
          <w:bottom w:val="single" w:sz="4" w:space="5" w:color="4F81BD"/>
        </w:pBdr>
        <w:spacing w:before="360" w:after="360" w:line="240" w:lineRule="auto"/>
        <w:ind w:left="864" w:right="864"/>
        <w:jc w:val="center"/>
        <w:rPr>
          <w:rFonts w:eastAsia="Calibri" w:cs="Times New Roman"/>
          <w:b/>
          <w:iCs/>
        </w:rPr>
      </w:pPr>
      <w:r w:rsidRPr="009A2496">
        <w:rPr>
          <w:rFonts w:eastAsia="Calibri" w:cs="Times New Roman"/>
          <w:b/>
          <w:i/>
          <w:iCs/>
        </w:rPr>
        <w:lastRenderedPageBreak/>
        <w:t>DESCRIPCIÓN DEL INDICADOR No. 22</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175"/>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4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Cobertura de vacunación con triple viral en niños y niñas menores de 1 año</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Coberturas Administrativas de Vacunación</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34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264"/>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numPr>
          <w:ilvl w:val="0"/>
          <w:numId w:val="44"/>
        </w:numPr>
        <w:suppressAutoHyphens/>
        <w:spacing w:after="0" w:line="240" w:lineRule="auto"/>
        <w:ind w:left="284"/>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pacing w:after="0" w:line="240" w:lineRule="auto"/>
        <w:rPr>
          <w:rFonts w:eastAsia="Calibri" w:cs="Times New Roman"/>
        </w:rPr>
      </w:pP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618480" cy="3339465"/>
            <wp:effectExtent l="0" t="0" r="1270" b="13335"/>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Coberturas Administrativas de Vacunación</w:t>
      </w:r>
    </w:p>
    <w:p w:rsidR="009A2496" w:rsidRDefault="009A2496" w:rsidP="00A92D87">
      <w:pPr>
        <w:spacing w:after="0" w:line="240" w:lineRule="auto"/>
        <w:rPr>
          <w:rFonts w:eastAsia="Calibri" w:cs="Times New Roman"/>
        </w:rPr>
      </w:pPr>
    </w:p>
    <w:p w:rsidR="007F643E" w:rsidRPr="009A2496" w:rsidRDefault="007F643E" w:rsidP="00A92D87">
      <w:pPr>
        <w:spacing w:after="0" w:line="240" w:lineRule="auto"/>
        <w:rPr>
          <w:rFonts w:eastAsia="Calibri" w:cs="Times New Roman"/>
        </w:rPr>
      </w:pPr>
    </w:p>
    <w:p w:rsidR="009A2496" w:rsidRPr="009A2496" w:rsidRDefault="009A2496" w:rsidP="00A92D87">
      <w:pPr>
        <w:numPr>
          <w:ilvl w:val="0"/>
          <w:numId w:val="44"/>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En el año 2011 y 2012 se obtienen coberturas con población DANE motivo por el cual las coberturas no son útiles porque hay una población asignada superior a la población real existente, en los años 2013 y 2014 desde el Ministerio de Salud y de la Protección Social realizaron ajuste a la población asignada con historial de vacunación y en relación a cohorte de nacido vivo el cual asignaron una población inferior a la población real existente obteniendo </w:t>
      </w:r>
      <w:r w:rsidR="006B0C6D">
        <w:rPr>
          <w:rFonts w:eastAsia="Times New Roman" w:cs="Times New Roman"/>
          <w:lang w:val="es-ES" w:eastAsia="ar-SA"/>
        </w:rPr>
        <w:t xml:space="preserve"> </w:t>
      </w:r>
      <w:r w:rsidRPr="009A2496">
        <w:rPr>
          <w:rFonts w:eastAsia="Times New Roman" w:cs="Times New Roman"/>
          <w:lang w:val="es-ES" w:eastAsia="ar-SA"/>
        </w:rPr>
        <w:t xml:space="preserve">coberturas superiores al 95% que son las esperadas como meta nacional, para este año 2015 </w:t>
      </w:r>
      <w:r w:rsidRPr="009A2496">
        <w:rPr>
          <w:rFonts w:eastAsia="Times New Roman" w:cs="Times New Roman"/>
          <w:lang w:val="es-ES" w:eastAsia="ar-SA"/>
        </w:rPr>
        <w:lastRenderedPageBreak/>
        <w:t>realizaron desde el MSPS un incremento a la población menor de un año, de un año de 18 meses y cinco años.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4"/>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Secretaria municipal de Salud con su centro de acopio de red de frio para almacenar los biológicos que son entregados por el IDSN y posteriormente entregados a las funcionarias responsables de vacunación de las 26 IPS vacunadoras, contamos con una coordinadora de Salud Infantil quien está pendiente de todos los programas incluyendo el Programa Ampliado de Inmunizaciones, una enfermera referente de red de frio ( personal nuevo en el Programa), un enfermero referente de Cohorte de Nacido Vivo( personal nuevo)para el Programa Ampliado de inmunizaciones PAI se asigna el recursos para contratación del personal contratista anteriormente mencionado, para contratación de mantenimiento preventivo y correctivo para monitoreo satelital y de equipos de red de frio y dinero destinado para contratación del Plan de Intervenciones Colectivas PIC. Los indicadores obtenidos en coberturas de vacunación en los últimos años son coberturas útiles e incluso en este año con población ajustada desde el MSPS-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4"/>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acción para que el indicador sea más real se realizó un nuevo ajuste a la población por parte del Ministerio de Salud y de la Protección Social, realizando un incremento a la población objeto de vacunación.</w:t>
      </w:r>
    </w:p>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44"/>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Desde el Ministerio de Salud y de Protección Social realiza adición de recursos a los municipios que logran o superan las matas útiles de coberturas de vacunación, el cual Pasto obtuvo unas coberturas de Triple viral de 99%. (Se desconoce si desde el MSPS dio cumplimiento con la promesa a todos los municipios que cumplan o superen las coberturas de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4"/>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Resultados al término de la gestión  (2012 -2014)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Se han logrado coberturas útiles de vacunación,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44"/>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Vacunar a la población a los niños y niñas cuando han cumplido su edad correspondiente y evitar que ni un solo niño se que</w:t>
      </w:r>
      <w:r w:rsidR="006B0C6D">
        <w:rPr>
          <w:rFonts w:eastAsia="Times New Roman" w:cs="Times New Roman"/>
          <w:lang w:val="es-ES" w:eastAsia="ar-SA"/>
        </w:rPr>
        <w:t>de</w:t>
      </w:r>
      <w:r w:rsidRPr="009A2496">
        <w:rPr>
          <w:rFonts w:eastAsia="Times New Roman" w:cs="Times New Roman"/>
          <w:lang w:val="es-ES" w:eastAsia="ar-SA"/>
        </w:rPr>
        <w:t xml:space="preserve"> sin inmunizar. De igual manera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44"/>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Default="009A2496" w:rsidP="00A92D87">
      <w:pPr>
        <w:suppressAutoHyphens/>
        <w:spacing w:after="0" w:line="240" w:lineRule="auto"/>
        <w:ind w:left="360"/>
        <w:contextualSpacing/>
        <w:rPr>
          <w:rFonts w:eastAsia="Times New Roman" w:cs="Times New Roman"/>
          <w:lang w:val="es-ES" w:eastAsia="ar-SA"/>
        </w:rPr>
      </w:pPr>
      <w:r w:rsidRPr="009A2496">
        <w:rPr>
          <w:rFonts w:eastAsia="Times New Roman" w:cs="Times New Roman"/>
          <w:lang w:val="es-ES" w:eastAsia="ar-SA"/>
        </w:rPr>
        <w:t>Algunos aspectos que requieren mejoramiento es dar cumplimiento en su totalidad a los lineamientos nacionales por parte de las IPS vacunadoras para que todos los niños se vacunen puesto que se debe cumplir la vacunación sin barreras.</w:t>
      </w:r>
    </w:p>
    <w:p w:rsidR="0078472D" w:rsidRDefault="0078472D" w:rsidP="00A92D87">
      <w:pPr>
        <w:suppressAutoHyphens/>
        <w:spacing w:after="0" w:line="240" w:lineRule="auto"/>
        <w:ind w:left="360"/>
        <w:contextualSpacing/>
        <w:rPr>
          <w:rFonts w:eastAsia="Times New Roman" w:cs="Times New Roman"/>
          <w:lang w:val="es-ES" w:eastAsia="ar-SA"/>
        </w:rPr>
      </w:pPr>
    </w:p>
    <w:p w:rsidR="007F643E" w:rsidRDefault="007F643E" w:rsidP="00A92D87">
      <w:pPr>
        <w:suppressAutoHyphens/>
        <w:spacing w:after="0" w:line="240" w:lineRule="auto"/>
        <w:ind w:left="360"/>
        <w:contextualSpacing/>
        <w:rPr>
          <w:rFonts w:eastAsia="Times New Roman" w:cs="Times New Roman"/>
          <w:lang w:val="es-ES" w:eastAsia="ar-SA"/>
        </w:rPr>
      </w:pPr>
    </w:p>
    <w:p w:rsidR="007F643E" w:rsidRDefault="007F643E" w:rsidP="00A92D87">
      <w:pPr>
        <w:suppressAutoHyphens/>
        <w:spacing w:after="0" w:line="240" w:lineRule="auto"/>
        <w:ind w:left="360"/>
        <w:contextualSpacing/>
        <w:rPr>
          <w:rFonts w:eastAsia="Times New Roman" w:cs="Times New Roman"/>
          <w:lang w:val="es-ES" w:eastAsia="ar-SA"/>
        </w:rPr>
      </w:pPr>
    </w:p>
    <w:p w:rsidR="009A2496" w:rsidRPr="009A2496" w:rsidRDefault="009A2496" w:rsidP="00A92D87">
      <w:pPr>
        <w:numPr>
          <w:ilvl w:val="0"/>
          <w:numId w:val="44"/>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lastRenderedPageBreak/>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Fortalecer el sistema de información y articular intersectorialmente para captar a los niños que se han cambiado de dirección, o los datos de las direcciones suministrados por los padres son incorrectos y nos dificulta realizar seguimiento oportuno, eficiente y efectivo para inmunizar a los niños.</w:t>
      </w: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 xml:space="preserve">DESCRIPCIÓN DEL INDICADOR No. 17: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579"/>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Cobertura de vacunación con BCG en nacidos vivos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Coberturas Administrativas de Vacunación</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7"/>
        </w:numPr>
        <w:suppressAutoHyphens/>
        <w:spacing w:after="0" w:line="240" w:lineRule="auto"/>
        <w:ind w:left="284"/>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805805" cy="3150870"/>
            <wp:effectExtent l="0" t="0" r="4445" b="1143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Coberturas Administrativas de Vacunación</w:t>
      </w: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En el año 2011 y 2012 se obtienen coberturas con población DANE motivo por el cual las coberturas no son útiles porque hay una población asignada superior a la población real existente, en los años 2013 y 2014 desde el Ministerio de Salud y de la Protección Social realizaron ajuste a la población asignada con historial de vacunación y en relación a cohorte de nacido vivo el cual asignaron una población inferior a la población real existente obteniendo coberturas superiores al 95% que son las esperadas como meta nacional, para este año 2015 realizaron desde el MSPS un incremento a la población menor de un año, de un año de 18 meses y cinco años.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Recursos  La Secretaria municipal de Salud con su centro de acopio de red de frio para almacenar los biológicos que son entregados por el IDSN y posteriormente entregados a las funcionarias responsables de vacunación de las 26 IPS vacunadoras, contamos con una coordinadora de Salud Infantil quien está pendiente de todos los programas incluyendo el Programa Ampliado de Inmunizaciones, una enfermera referente de red de frio ( personal nuevo en el Programa), un enfermero referente de Cohorte de Nacido Vivo( personal nuevo)para el Programa Ampliado de inmunizaciones PAI se asigna el recursos para contratación del personal contratista anteriormente mencionado, para contratación de mantenimiento preventivo y correctivo para monitoreo satelital y de equipos de red de frio y dinero destinado para contratación del Plan de Intervenciones Colectivas PIC. Los indicadores obtenidos en coberturas de vacunación en los últimos años son coberturas útiles e incluso en este año con población ajustada desde el MSPS-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acción para que el indicador sea más real se realizó un nuevo ajuste a la población por parte del Ministerio de Salud y de la Protección Social, realizando un incremento a la población objeto de vacunación.</w:t>
      </w:r>
    </w:p>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Desde el Ministerio de Salud y de Protección Social realiza adición de recursos a los municipios que logran o superan las matas útiles de coberturas de vacunación, el cual Pasto obtuvo unas coberturas de BCG de un 102%. (Se desconoce si desde el MSPS dio cumplimiento con la promesa a todos los municipios que cumplan o superen las coberturas de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Se han logrado coberturas útiles de vacunación,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Vacunar a la población infantil o los recién nacidos en su totalidad excepto a recién nacidos inmunosuprimidos no se vacunan con BCG puesto que es una contraindicación vacunar a estos </w:t>
      </w:r>
      <w:r w:rsidRPr="009A2496">
        <w:rPr>
          <w:rFonts w:eastAsia="Times New Roman" w:cs="Times New Roman"/>
          <w:lang w:val="es-ES" w:eastAsia="ar-SA"/>
        </w:rPr>
        <w:lastRenderedPageBreak/>
        <w:t>niños. De igual manera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rPr>
          <w:rFonts w:eastAsia="Times New Roman" w:cs="Times New Roman"/>
          <w:lang w:val="es-ES" w:eastAsia="ar-SA"/>
        </w:rPr>
      </w:pPr>
      <w:r w:rsidRPr="009A2496">
        <w:rPr>
          <w:rFonts w:eastAsia="Times New Roman" w:cs="Times New Roman"/>
          <w:lang w:val="es-ES" w:eastAsia="ar-SA"/>
        </w:rPr>
        <w:t>Algunos aspectos que requieren mejoramiento es dar cumplimiento en su totalidad a los lineamientos nacionales por parte de las IPS vacunadoras para que todos los niños salgan vacunados excepto los contraindicados.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Default="009A2496" w:rsidP="00A92D87">
      <w:pPr>
        <w:spacing w:after="200" w:line="240" w:lineRule="auto"/>
        <w:ind w:left="360"/>
        <w:jc w:val="both"/>
        <w:rPr>
          <w:rFonts w:eastAsia="Calibri" w:cs="Times New Roman"/>
        </w:rPr>
      </w:pPr>
      <w:r w:rsidRPr="009A2496">
        <w:rPr>
          <w:rFonts w:eastAsia="Calibri" w:cs="Times New Roman"/>
        </w:rPr>
        <w:t>Que las funcionarias de las IPS que atienden partos y son responsables del PAI se empoderen de tal manera que todos los recién nacidos salgan inmunizados con BCG, excepto los recién nacidos que presentan contraindicaciones</w:t>
      </w:r>
    </w:p>
    <w:p w:rsidR="007F643E" w:rsidRDefault="007F643E" w:rsidP="00A92D87">
      <w:pPr>
        <w:spacing w:after="200" w:line="240" w:lineRule="auto"/>
        <w:ind w:left="360"/>
        <w:jc w:val="both"/>
        <w:rPr>
          <w:rFonts w:eastAsia="Calibri" w:cs="Times New Roman"/>
        </w:rPr>
      </w:pPr>
    </w:p>
    <w:p w:rsidR="007F643E" w:rsidRPr="009A2496" w:rsidRDefault="007F643E" w:rsidP="00A92D87">
      <w:pPr>
        <w:spacing w:after="200" w:line="240" w:lineRule="auto"/>
        <w:ind w:left="360"/>
        <w:jc w:val="both"/>
        <w:rPr>
          <w:rFonts w:eastAsia="Calibri" w:cs="Times New Roman"/>
        </w:rPr>
      </w:pPr>
    </w:p>
    <w:p w:rsidR="009A2496" w:rsidRPr="009A2496" w:rsidRDefault="009A2496" w:rsidP="00A92D87">
      <w:pPr>
        <w:spacing w:after="200" w:line="240" w:lineRule="auto"/>
        <w:jc w:val="both"/>
        <w:rPr>
          <w:rFonts w:eastAsia="Calibri" w:cs="Times New Roman"/>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219"/>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35"/>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Cobertura de vacunación contra polio en niños y niñas menores de 1 año</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Coberturas de Vacunación Administrativas</w:t>
            </w:r>
          </w:p>
        </w:tc>
      </w:tr>
      <w:tr w:rsidR="009A2496" w:rsidRPr="009A2496" w:rsidTr="00000F81">
        <w:trPr>
          <w:trHeight w:val="324"/>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29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283"/>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r w:rsidR="007F643E" w:rsidRPr="009A2496" w:rsidTr="00000F81">
        <w:trPr>
          <w:trHeight w:val="283"/>
          <w:jc w:val="center"/>
        </w:trPr>
        <w:tc>
          <w:tcPr>
            <w:tcW w:w="8828" w:type="dxa"/>
            <w:shd w:val="clear" w:color="auto" w:fill="DAEEF3"/>
          </w:tcPr>
          <w:p w:rsidR="007F643E" w:rsidRPr="009A2496" w:rsidRDefault="007F643E" w:rsidP="00A92D87">
            <w:pPr>
              <w:spacing w:after="0" w:line="240" w:lineRule="auto"/>
              <w:rPr>
                <w:rFonts w:eastAsia="Calibri" w:cs="Times New Roman"/>
                <w:b/>
                <w:bCs/>
              </w:rPr>
            </w:pPr>
          </w:p>
        </w:tc>
      </w:tr>
    </w:tbl>
    <w:p w:rsidR="007F643E" w:rsidRDefault="007F643E" w:rsidP="007F643E">
      <w:pPr>
        <w:suppressAutoHyphens/>
        <w:spacing w:after="0" w:line="240" w:lineRule="auto"/>
        <w:contextualSpacing/>
        <w:rPr>
          <w:rFonts w:eastAsia="Times New Roman" w:cs="Times New Roman"/>
          <w:b/>
          <w:lang w:val="es-ES" w:eastAsia="ar-SA"/>
        </w:rPr>
      </w:pPr>
    </w:p>
    <w:p w:rsidR="007F643E" w:rsidRDefault="007F643E" w:rsidP="007F643E">
      <w:pPr>
        <w:suppressAutoHyphens/>
        <w:spacing w:after="0" w:line="240" w:lineRule="auto"/>
        <w:contextualSpacing/>
        <w:rPr>
          <w:rFonts w:eastAsia="Times New Roman" w:cs="Times New Roman"/>
          <w:b/>
          <w:lang w:val="es-ES" w:eastAsia="ar-SA"/>
        </w:rPr>
      </w:pPr>
    </w:p>
    <w:p w:rsidR="007F643E" w:rsidRDefault="007F643E">
      <w:pPr>
        <w:rPr>
          <w:rFonts w:eastAsia="Times New Roman" w:cs="Times New Roman"/>
          <w:b/>
          <w:lang w:val="es-ES" w:eastAsia="ar-SA"/>
        </w:rPr>
      </w:pPr>
      <w:r>
        <w:rPr>
          <w:rFonts w:eastAsia="Times New Roman" w:cs="Times New Roman"/>
          <w:b/>
          <w:lang w:val="es-ES" w:eastAsia="ar-SA"/>
        </w:rPr>
        <w:br w:type="page"/>
      </w:r>
    </w:p>
    <w:p w:rsidR="007F643E" w:rsidRDefault="007F643E" w:rsidP="007F643E">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8"/>
        </w:numPr>
        <w:suppressAutoHyphens/>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570855" cy="3310890"/>
            <wp:effectExtent l="0" t="0" r="10795" b="381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Coberturas de Vacunación Administrativas</w:t>
      </w: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En el año 2011 y 2012 se obtienen coberturas con población DANE motivo por el cual las coberturas no son útiles porque hay una población asignada superior a la población real existente, en los años 2013 y 2014 desde el Ministerio de Salud y de la Protección Social realizaron ajuste a la población asignada con historial de vacunación y en relación a cohorte de nacido vivo el cual asignaron una población inferior a la población real existente obteniendo coberturas superiores al 95% que son las esperadas como meta nacional, para este año 2015 realizaron desde el MSPS un incremento a la población menor de un año, de un año de 18 meses y cinco años.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La Secretaria municipal de Salud con su centro de acopio de red de frio para almacenar los biológicos que son entregados por el IDSN y posteriormente entregados a las funcionarias responsables de vacunación de las 26 IPS vacunadoras, contamos con una coordinadora de Salud Infantil quien está pendiente de todos los programas incluyendo el Programa Ampliado de Inmunizaciones, una enfermera referente de red de frio ( personal nuevo en el Programa), un enfermero referente de Cohorte de Nacido Vivo( personal nuevo)para el Programa Ampliado de inmunizaciones PAI se asigna el recursos para contratación del personal contratista anteriormente mencionado, para contratación de mantenimiento preventivo y correctivo para monitoreo satelital y de equipos de red de frio y dinero destinado para contratación del Plan de Intervenciones Colectivas PIC. Los indicadores obtenidos en </w:t>
      </w:r>
      <w:r w:rsidRPr="009A2496">
        <w:rPr>
          <w:rFonts w:eastAsia="Times New Roman" w:cs="Times New Roman"/>
          <w:lang w:val="es-ES" w:eastAsia="ar-SA"/>
        </w:rPr>
        <w:lastRenderedPageBreak/>
        <w:t>coberturas de vacunación en los últimos años son coberturas útiles e incluso en este año con población ajustada desde el MSPS-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acción para que el indicador sea más real se realizó un nuevo ajuste a la población por parte del Ministerio de Salud y de la Protección Social, realizando un incremento a la población objeto de vacunación.</w:t>
      </w:r>
    </w:p>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Productos: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Desde el Ministerio de Salud y de Protección Social realiza adición de recursos a los municipios que logran o superan las matas útiles de coberturas de vacunación, el cual Pasto obtuvo unas coberturas de vacuna de antipoliomielitis segundas dosis 102,7 %. (Se desconoce si desde el MSPS dio cumplimiento con la promesa a todos los municipios que cumplan o superen las coberturas de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Resultados al término de la gestión  (2012 -2014)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Se han logrado coberturas útiles de vacunación,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Vacunar a la población a los niños y niñas cuando han cumplido su edad correspondiente y evitar que ni un solo niño se que</w:t>
      </w:r>
      <w:r w:rsidR="008D50AE">
        <w:rPr>
          <w:rFonts w:eastAsia="Times New Roman" w:cs="Times New Roman"/>
          <w:lang w:val="es-ES" w:eastAsia="ar-SA"/>
        </w:rPr>
        <w:t>de</w:t>
      </w:r>
      <w:r w:rsidRPr="009A2496">
        <w:rPr>
          <w:rFonts w:eastAsia="Times New Roman" w:cs="Times New Roman"/>
          <w:lang w:val="es-ES" w:eastAsia="ar-SA"/>
        </w:rPr>
        <w:t xml:space="preserve"> sin inmunizar. De igual manera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Algunos aspectos que requieren mejoramiento es dar cumplimiento en su totalidad a los lineamientos nacionales por parte de las IPS vacunadoras para que todos los niños se vacunen puesto que se debe cumplir la vacunación sin barreras.</w:t>
      </w:r>
    </w:p>
    <w:p w:rsidR="009A2496" w:rsidRPr="009A2496" w:rsidRDefault="009A2496" w:rsidP="00A92D87">
      <w:pPr>
        <w:suppressAutoHyphens/>
        <w:spacing w:after="0" w:line="240" w:lineRule="auto"/>
        <w:ind w:left="360"/>
        <w:contextualSpacing/>
        <w:rPr>
          <w:rFonts w:eastAsia="Times New Roman" w:cs="Times New Roman"/>
          <w:lang w:val="es-ES" w:eastAsia="ar-SA"/>
        </w:rPr>
      </w:pPr>
    </w:p>
    <w:p w:rsidR="009A2496" w:rsidRPr="009A2496" w:rsidRDefault="009A2496" w:rsidP="00A92D87">
      <w:pPr>
        <w:numPr>
          <w:ilvl w:val="0"/>
          <w:numId w:val="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Fortalecer el sistema de información y articular intersectorialmente para captar a los niños que se han cambiado de dirección, o los datos de las direcciones suministrados por los padres son incorrectos y nos dificulta realizar seguimiento oportuno, eficiente y efectivo para inmunizar a los niños.</w:t>
      </w:r>
    </w:p>
    <w:p w:rsidR="007F643E" w:rsidRDefault="007F643E">
      <w:pPr>
        <w:rPr>
          <w:rFonts w:eastAsia="Calibri" w:cs="Times New Roman"/>
        </w:rPr>
      </w:pPr>
      <w:r>
        <w:rPr>
          <w:rFonts w:eastAsia="Calibri" w:cs="Times New Roman"/>
        </w:rPr>
        <w:br w:type="page"/>
      </w:r>
    </w:p>
    <w:p w:rsidR="009A2496" w:rsidRPr="009A2496" w:rsidRDefault="009A2496" w:rsidP="00A92D87">
      <w:pPr>
        <w:spacing w:after="200" w:line="240" w:lineRule="auto"/>
        <w:jc w:val="both"/>
        <w:rPr>
          <w:rFonts w:eastAsia="Calibri" w:cs="Times New Roman"/>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03"/>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Cobertura de vacunación contra Rotavirus en niños y niñas menores de 1 año</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Coberturas Administrativas de Vacunación</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9"/>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360"/>
        <w:contextualSpacing/>
        <w:rPr>
          <w:rFonts w:eastAsia="Times New Roman" w:cs="Times New Roman"/>
          <w:b/>
          <w:lang w:val="es-ES" w:eastAsia="ar-SA"/>
        </w:rPr>
      </w:pP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742940" cy="3302000"/>
            <wp:effectExtent l="0" t="0" r="10160" b="12700"/>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Coberturas Administrativas de Vacunación</w:t>
      </w:r>
    </w:p>
    <w:p w:rsidR="009A2496" w:rsidRDefault="009A2496" w:rsidP="00A92D87">
      <w:pPr>
        <w:spacing w:after="0" w:line="240" w:lineRule="auto"/>
        <w:rPr>
          <w:rFonts w:eastAsia="Calibri" w:cs="Times New Roman"/>
        </w:rPr>
      </w:pPr>
    </w:p>
    <w:p w:rsidR="007F643E" w:rsidRDefault="007F643E" w:rsidP="00A92D87">
      <w:pPr>
        <w:spacing w:after="0" w:line="240" w:lineRule="auto"/>
        <w:rPr>
          <w:rFonts w:eastAsia="Calibri" w:cs="Times New Roman"/>
        </w:rPr>
      </w:pPr>
    </w:p>
    <w:p w:rsidR="007F643E" w:rsidRPr="009A2496" w:rsidRDefault="007F643E" w:rsidP="00A92D87">
      <w:pPr>
        <w:spacing w:after="0" w:line="240" w:lineRule="auto"/>
        <w:rPr>
          <w:rFonts w:eastAsia="Calibri" w:cs="Times New Roman"/>
        </w:rPr>
      </w:pPr>
    </w:p>
    <w:p w:rsidR="009A2496" w:rsidRPr="009A2496" w:rsidRDefault="009A2496" w:rsidP="00A92D87">
      <w:pPr>
        <w:numPr>
          <w:ilvl w:val="0"/>
          <w:numId w:val="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lastRenderedPageBreak/>
        <w:t xml:space="preserve">Situación detectada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En el año 2011 y 2012 se obtienen coberturas con población DANE motivo por el cual las coberturas no son útiles porque hay una población asignada superior a la población real existente, en los años 2013 y 2014 desde el Ministerio de Salud y de la Protección Social realizaron ajuste a la población asignada con historial de vacunación y en relación a cohorte de nacido vivo el cual asignaron una población inferior a la población real existente obteniendo coberturas superiores al 95% que son las esperadas como meta nacional, para este año 2015 realizaron desde el MSPS un incremento a la población menor de un año, de un año de 18 meses y cinco años.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Secretaria municipal de Salud con su centro de acopio de red de frio para almacenar los biológicos que son entregados por el IDSN y posteriormente entregados a las funcionarias responsables de vacunación de las 26 IPS vacunadoras, contamos con una coordinadora de Salud Infantil quien está pendiente de todos los programas incluyendo el Programa Ampliado de Inmunizaciones, una enfermera referente de red de frio ( personal nuevo en el Programa), un enfermero referente de Cohorte de Nacido Vivo( personal nuevo)para el Programa Ampliado de inmunizaciones PAI se asigna el recursos para contratación del personal contratista anteriormente mencionado, para contratación de mantenimiento preventivo y correctivo para monitoreo satelital y de equipos de red de frio y dinero destinado para contratación del Plan de Intervenciones Colectivas PIC. Los indicadores obtenidos en coberturas de vacunación en los últimos años son coberturas útiles e incluso en este año con población ajustada desde el MSPS-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acción para que el indicador sea más real se realizó un nuevo ajuste a la población por parte del Ministerio de Salud y de la Protección Social, realizando un incremento a la población objeto de vacunación.</w:t>
      </w:r>
    </w:p>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Productos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Desde el Ministerio de Salud y de Protección Social realiza adición de recursos a los municipios que logran o superan las matas útiles de coberturas de vacunación, el cual Pasto obtuvo unas coberturas de vacuna de rotavirus segundas dosis 103,5 %. (Se desconoce si desde el MSPS dio cumplimiento con la promesa a todos los municipios que cumplan o superen las coberturas de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Se han logrado coberturas útiles de vacunación,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Vacunar a la población a los niños y niñas cuando han cumplido su edad correspondiente y evitar que ni un solo niño se que</w:t>
      </w:r>
      <w:r w:rsidR="008D50AE">
        <w:rPr>
          <w:rFonts w:eastAsia="Times New Roman" w:cs="Times New Roman"/>
          <w:lang w:val="es-ES" w:eastAsia="ar-SA"/>
        </w:rPr>
        <w:t>de</w:t>
      </w:r>
      <w:r w:rsidRPr="009A2496">
        <w:rPr>
          <w:rFonts w:eastAsia="Times New Roman" w:cs="Times New Roman"/>
          <w:lang w:val="es-ES" w:eastAsia="ar-SA"/>
        </w:rPr>
        <w:t xml:space="preserve"> sin inmunizar. De igual manera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rPr>
          <w:rFonts w:eastAsia="Times New Roman" w:cs="Times New Roman"/>
          <w:lang w:val="es-ES" w:eastAsia="ar-SA"/>
        </w:rPr>
      </w:pPr>
      <w:r w:rsidRPr="009A2496">
        <w:rPr>
          <w:rFonts w:eastAsia="Times New Roman" w:cs="Times New Roman"/>
          <w:lang w:val="es-ES" w:eastAsia="ar-SA"/>
        </w:rPr>
        <w:t>Algunos aspectos que requieren mejoramiento es dar cumplimiento en su totalidad a los lineamientos nacionales por parte de las IPS vacunadoras para que todos los niños se vacunen puesto que se debe cumplir la vacunación sin barreras.</w:t>
      </w:r>
    </w:p>
    <w:p w:rsidR="009A2496" w:rsidRPr="009A2496" w:rsidRDefault="009A2496" w:rsidP="00A92D87">
      <w:pPr>
        <w:suppressAutoHyphens/>
        <w:spacing w:after="0" w:line="240" w:lineRule="auto"/>
        <w:ind w:left="360"/>
        <w:contextualSpacing/>
        <w:rPr>
          <w:rFonts w:eastAsia="Times New Roman" w:cs="Times New Roman"/>
          <w:lang w:val="es-ES" w:eastAsia="ar-SA"/>
        </w:rPr>
      </w:pPr>
    </w:p>
    <w:p w:rsidR="009A2496" w:rsidRPr="009A2496" w:rsidRDefault="009A2496" w:rsidP="00A92D87">
      <w:pPr>
        <w:numPr>
          <w:ilvl w:val="0"/>
          <w:numId w:val="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Fortalecer el sistema de información y articular intersectorialmente para captar a los niños que se han cambiado de dirección, o los datos de las direcciones suministrados por los padres son incorrectos y nos dificulta realizar seguimiento oportuno, eficiente y efectivo para inmunizar a los niños.</w:t>
      </w: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21</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03"/>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465"/>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Cobertura de vacunación contra Neumococo dos dosis en niños y niñas menores de 1 año</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Coberturas Administrativas de Vacunación</w:t>
            </w:r>
          </w:p>
        </w:tc>
      </w:tr>
      <w:tr w:rsidR="009A2496" w:rsidRPr="009A2496" w:rsidTr="00000F81">
        <w:trPr>
          <w:trHeight w:val="310"/>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273"/>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236"/>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10"/>
        </w:numPr>
        <w:suppressAutoHyphens/>
        <w:spacing w:after="0" w:line="240" w:lineRule="auto"/>
        <w:ind w:left="284"/>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lastRenderedPageBreak/>
        <w:drawing>
          <wp:inline distT="0" distB="0" distL="0" distR="0">
            <wp:extent cx="5553214" cy="3148164"/>
            <wp:effectExtent l="19050" t="0" r="28436" b="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FUENTE: Coberturas Administrativas de Vacunación.</w:t>
      </w:r>
    </w:p>
    <w:p w:rsidR="009A2496" w:rsidRPr="009A2496" w:rsidRDefault="009A2496" w:rsidP="00A92D87">
      <w:pPr>
        <w:spacing w:after="0" w:line="240" w:lineRule="auto"/>
        <w:rPr>
          <w:rFonts w:eastAsia="Calibri" w:cs="Times New Roman"/>
        </w:rPr>
      </w:pPr>
    </w:p>
    <w:p w:rsidR="009A2496" w:rsidRPr="009A2496" w:rsidRDefault="009A2496" w:rsidP="00A92D87">
      <w:pPr>
        <w:numPr>
          <w:ilvl w:val="0"/>
          <w:numId w:val="1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Situación detectada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En el año 2011 y 2012 se obtienen coberturas con población DANE motivo por el cual las coberturas no son útiles porque hay una población asignada superior a la población real existente, en los años 2013 y 2014 desde el Ministerio de Salud y de la Protección Social realizaron ajuste a la población asignada con historial de vacunación y en relación a cohorte de nacido vivo el cual asignaron una población inferior a la población real existente obteniendo coberturas superiores al 95% que son las esperadas como meta nacional, para este año 2015 realizaron desde el MSPS un incremento a la población menor de un año, de un año de 18 meses y cinco años.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Secretaria municipal de Salud con su centro de acopio de red de frio para almacenar los biológicos que son entregados por el IDSN y posteriormente entregados a las funcionarias responsables de vacunación de las 26 IPS vacunadoras, contamos con una coordinadora de Salud Infantil quien está pendiente de todos los programas incluyendo el Programa Ampliado de Inmunizaciones, una enfermera referente de red de frio ( personal nuevo en el Programa), un enfermero referente de Cohorte de Nacido Vivo( personal nuevo)para el Programa Ampliado de inmunizaciones PAI se asigna el recursos para contratación del personal contratista anteriormente mencionado, para contratación de mantenimiento preventivo y correctivo para monitoreo satelital y de equipos de red de frio y dinero destinado para contratación del Plan de Intervenciones Colectivas PIC. Los indicadores obtenidos en coberturas de vacunación en los últimos años son coberturas útiles e incluso en este año con población ajustada desde el MSPS.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lastRenderedPageBreak/>
        <w:t>Programas, Proyectos y Acciones para mejorar la situación del indicador (2012 -2015)</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acción para que el indicador sea más real se realizó un nuevo ajuste a la población por parte del Ministerio de Salud y de la Protección Social, realizando un incremento a la población objeto de vacunación.</w:t>
      </w:r>
    </w:p>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1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Desde el Ministerio de Salud y de Protección Social realiza adición de recursos a los municipios que logran o superan las matas útiles de coberturas de vacunación, el cual Pasto obtuvo unas coberturas de vacuna de neumococo segunda dosis 103,4 %. (Se desconoce si desde el MSPS dio cumplimiento con la promesa a todos los municipios que cumplan o superen las coberturas de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Se han logrado coberturas útiles de vacunación,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1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Vacunar a la población a los niños y niñas cuando han cumplido su edad correspondiente y evitar que ni un solo niño se que</w:t>
      </w:r>
      <w:r w:rsidR="00475B0D">
        <w:rPr>
          <w:rFonts w:eastAsia="Times New Roman" w:cs="Times New Roman"/>
          <w:lang w:val="es-ES" w:eastAsia="ar-SA"/>
        </w:rPr>
        <w:t>de</w:t>
      </w:r>
      <w:r w:rsidRPr="009A2496">
        <w:rPr>
          <w:rFonts w:eastAsia="Times New Roman" w:cs="Times New Roman"/>
          <w:lang w:val="es-ES" w:eastAsia="ar-SA"/>
        </w:rPr>
        <w:t xml:space="preserve"> sin inmunizar. De igual manera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Algunos aspectos que requieren mejoramiento es dar cumplimiento en su totalidad a los lineamientos nacionales por parte de las IPS vacunadoras para que todos los niños se vacunen puesto que se debe cumplir la vacunación sin barreras.</w:t>
      </w:r>
    </w:p>
    <w:p w:rsidR="009A2496" w:rsidRPr="009A2496" w:rsidRDefault="009A2496" w:rsidP="00A92D87">
      <w:pPr>
        <w:suppressAutoHyphens/>
        <w:spacing w:after="0" w:line="240" w:lineRule="auto"/>
        <w:ind w:left="360"/>
        <w:contextualSpacing/>
        <w:rPr>
          <w:rFonts w:eastAsia="Times New Roman" w:cs="Times New Roman"/>
          <w:lang w:val="es-ES" w:eastAsia="ar-SA"/>
        </w:rPr>
      </w:pPr>
    </w:p>
    <w:p w:rsidR="009A2496" w:rsidRPr="009A2496" w:rsidRDefault="009A2496" w:rsidP="00A92D87">
      <w:pPr>
        <w:numPr>
          <w:ilvl w:val="0"/>
          <w:numId w:val="1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Fortalecer el sistema de información y articular intersectorialmente para captar a los niños que se han cambiado de dirección, o los datos de las direcciones suministrados por los padres son incorrectos y nos dificulta realizar seguimiento oportuno, eficiente y efectivo para inmunizar a los niños.</w:t>
      </w: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61"/>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Cobertura de vacunación contra fiebre amarilla en niños y niñas menores de 1 año</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Coberturas Administrativas de Vacunación</w:t>
            </w:r>
          </w:p>
        </w:tc>
      </w:tr>
      <w:tr w:rsidR="009A2496" w:rsidRPr="009A2496" w:rsidTr="00000F81">
        <w:trPr>
          <w:trHeight w:val="385"/>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334"/>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lastRenderedPageBreak/>
              <w:t>Metodología: Análisis de la información a partir de la cadena de resultados</w:t>
            </w:r>
          </w:p>
        </w:tc>
      </w:tr>
      <w:tr w:rsidR="009A2496" w:rsidRPr="009A2496" w:rsidTr="00000F81">
        <w:trPr>
          <w:trHeight w:val="29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11"/>
        </w:numPr>
        <w:suppressAutoHyphens/>
        <w:spacing w:after="0" w:line="240" w:lineRule="auto"/>
        <w:ind w:left="426"/>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pacing w:after="0" w:line="240" w:lineRule="auto"/>
        <w:rPr>
          <w:rFonts w:eastAsia="Calibri" w:cs="Times New Roman"/>
        </w:rPr>
      </w:pPr>
    </w:p>
    <w:p w:rsidR="009A2496" w:rsidRPr="009A2496" w:rsidRDefault="009A2496" w:rsidP="00A92D87">
      <w:pPr>
        <w:spacing w:after="0" w:line="240" w:lineRule="auto"/>
        <w:rPr>
          <w:rFonts w:eastAsia="Calibri" w:cs="Times New Roman"/>
        </w:rPr>
      </w:pPr>
      <w:r w:rsidRPr="009A2496">
        <w:rPr>
          <w:rFonts w:eastAsia="Calibri" w:cs="Times New Roman"/>
          <w:noProof/>
          <w:lang w:val="es-ES" w:eastAsia="es-ES"/>
        </w:rPr>
        <w:drawing>
          <wp:inline distT="0" distB="0" distL="0" distR="0">
            <wp:extent cx="5737860" cy="3302000"/>
            <wp:effectExtent l="0" t="0" r="15240" b="1270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2496" w:rsidRPr="009A2496" w:rsidRDefault="009A2496" w:rsidP="00A92D87">
      <w:pPr>
        <w:spacing w:after="0" w:line="240" w:lineRule="auto"/>
        <w:rPr>
          <w:rFonts w:eastAsia="Calibri" w:cs="Times New Roman"/>
        </w:rPr>
      </w:pPr>
      <w:r w:rsidRPr="009A2496">
        <w:rPr>
          <w:rFonts w:eastAsia="Calibri" w:cs="Times New Roman"/>
        </w:rPr>
        <w:t>FUNETE: Coberturas Administrativas de Vacunación</w:t>
      </w:r>
    </w:p>
    <w:p w:rsidR="009A2496" w:rsidRPr="009A2496" w:rsidRDefault="009A2496" w:rsidP="00A92D87">
      <w:pPr>
        <w:spacing w:after="0" w:line="240" w:lineRule="auto"/>
        <w:rPr>
          <w:rFonts w:eastAsia="Calibri" w:cs="Times New Roman"/>
        </w:rPr>
      </w:pPr>
    </w:p>
    <w:p w:rsidR="009A2496" w:rsidRPr="009A2496" w:rsidRDefault="009A2496" w:rsidP="00A92D87">
      <w:pPr>
        <w:spacing w:after="0" w:line="240" w:lineRule="auto"/>
        <w:rPr>
          <w:rFonts w:eastAsia="Calibri" w:cs="Times New Roman"/>
        </w:rPr>
      </w:pPr>
    </w:p>
    <w:p w:rsidR="009A2496" w:rsidRPr="009A2496" w:rsidRDefault="009A2496" w:rsidP="007F643E">
      <w:pPr>
        <w:numPr>
          <w:ilvl w:val="0"/>
          <w:numId w:val="1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En el año 2011 y 2012 se obtienen coberturas con población DANE motivo por el cual las coberturas no son útiles porque hay una población asignada superior a la población real </w:t>
      </w:r>
      <w:r w:rsidR="00A442AE">
        <w:rPr>
          <w:rFonts w:eastAsia="Times New Roman" w:cs="Times New Roman"/>
          <w:lang w:val="es-ES" w:eastAsia="ar-SA"/>
        </w:rPr>
        <w:t>e</w:t>
      </w:r>
      <w:r w:rsidRPr="009A2496">
        <w:rPr>
          <w:rFonts w:eastAsia="Times New Roman" w:cs="Times New Roman"/>
          <w:lang w:val="es-ES" w:eastAsia="ar-SA"/>
        </w:rPr>
        <w:t>xistente, en los años 2013 y 2014 desde el Ministerio de Salud y de la Protección Social realizaron ajuste a la población asignada con historial de vacunación y en relación a cohorte de nacido vivo el cual asignaron una población inferior a la población real existente obteniendo coberturas superiores al 95% que son las esperadas como meta nacional, para este año 2015 realizaron desde el MSPS un incremento a la población menor de un año, de un año de 18 meses y cinco años.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La Secretaria municipal de Salud con su centro de acopio de red de frio para almacenar los biológicos que son entregados por el IDSN y posteriormente entregados a las funcionarias responsables de vacunación de las 26 IPS vacunadoras, contamos con una coordinadora de Salud Infantil quien está pendiente de todos los programas incluyendo el Programa Ampliado </w:t>
      </w:r>
      <w:r w:rsidRPr="009A2496">
        <w:rPr>
          <w:rFonts w:eastAsia="Times New Roman" w:cs="Times New Roman"/>
          <w:lang w:val="es-ES" w:eastAsia="ar-SA"/>
        </w:rPr>
        <w:lastRenderedPageBreak/>
        <w:t>de Inmunizaciones, una enfermera referente de red de frio ( personal nuevo en el Programa), un enfermero referente de Cohorte de Nacido Vivo( personal nuevo)para el Programa Ampliado de inmunizaciones PAI se asigna el recursos para contratación del personal contratista anteriormente mencionado, para contratación de mantenimiento preventivo y correctivo para monitoreo satelital y de equipos de red de frio y dinero destinado para contratación del Plan de Intervenciones Colectivas PIC. Los indicadores obtenidos en coberturas de vacunación en los últimos años son coberturas útiles e incluso en este año con población ajustada desde el MSPS-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La acción para que el indicador sea más real se realizó un nuevo ajuste a la población por parte del Ministerio de Salud y de la Protección Social, realizando un incremento a la población objeto de vacunación.</w:t>
      </w:r>
    </w:p>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1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Desde el Ministerio de Salud y de Protección Social realiza adición de recursos a los municipios que logran o superan las matas útiles de coberturas de vacunación, el cual Pasto obtuvo unas coberturas de vacuna antiamarílica de 100,3 %. (Se desconoce si desde el MSPS dio cumplimiento con la promesa a todos los municipios que cumplan o superen las coberturas de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Se han logrado coberturas útiles de vacunación, logrando así disminuir el riesgo de enfermar por enfermedades que se pueden prevenir mediante la vacunación.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1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Vacunar a la población a los niños y niñas cuando han cumplido su edad correspondiente y evitar que ni un solo niño se que</w:t>
      </w:r>
      <w:r w:rsidR="00A442AE">
        <w:rPr>
          <w:rFonts w:eastAsia="Times New Roman" w:cs="Times New Roman"/>
          <w:lang w:val="es-ES" w:eastAsia="ar-SA"/>
        </w:rPr>
        <w:t>de</w:t>
      </w:r>
      <w:r w:rsidRPr="009A2496">
        <w:rPr>
          <w:rFonts w:eastAsia="Times New Roman" w:cs="Times New Roman"/>
          <w:lang w:val="es-ES" w:eastAsia="ar-SA"/>
        </w:rPr>
        <w:t xml:space="preserve"> sin inmunizar. De igual manera logrando así disminuir el riesgo de enfermar por enfermedades que se pueden prevenir mediante la vacunación.</w:t>
      </w:r>
    </w:p>
    <w:p w:rsid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 </w:t>
      </w:r>
    </w:p>
    <w:p w:rsidR="009A2496" w:rsidRPr="009A2496" w:rsidRDefault="009A2496" w:rsidP="00A92D87">
      <w:pPr>
        <w:numPr>
          <w:ilvl w:val="0"/>
          <w:numId w:val="1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rPr>
          <w:rFonts w:eastAsia="Times New Roman" w:cs="Times New Roman"/>
          <w:lang w:val="es-ES" w:eastAsia="ar-SA"/>
        </w:rPr>
      </w:pPr>
      <w:r w:rsidRPr="009A2496">
        <w:rPr>
          <w:rFonts w:eastAsia="Times New Roman" w:cs="Times New Roman"/>
          <w:lang w:val="es-ES" w:eastAsia="ar-SA"/>
        </w:rPr>
        <w:t>Algunos aspectos que requieren mejoramiento es dar cumplimiento en su totalidad a los lineamientos nacionales por parte de las IPS vacunadoras para que todos los niños se vacunen puesto que se debe cumplir la vacunación sin barreras.</w:t>
      </w:r>
    </w:p>
    <w:p w:rsidR="009A2496" w:rsidRPr="009A2496" w:rsidRDefault="009A2496" w:rsidP="00A92D87">
      <w:pPr>
        <w:suppressAutoHyphens/>
        <w:spacing w:after="0" w:line="240" w:lineRule="auto"/>
        <w:ind w:left="360"/>
        <w:contextualSpacing/>
        <w:rPr>
          <w:rFonts w:eastAsia="Times New Roman" w:cs="Times New Roman"/>
          <w:lang w:val="es-ES" w:eastAsia="ar-SA"/>
        </w:rPr>
      </w:pPr>
    </w:p>
    <w:p w:rsidR="009A2496" w:rsidRPr="009A2496" w:rsidRDefault="009A2496" w:rsidP="00A92D87">
      <w:pPr>
        <w:numPr>
          <w:ilvl w:val="0"/>
          <w:numId w:val="1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Fortalecer el sistema de información y articular intersectorialmente para captar a los niños que se han cambiado de dirección, o los datos de las direcciones suministrados por los padres son incorrectos y nos dificulta realizar seguimiento oportuno, eficiente y efectivo para inmunizar a los niños.</w:t>
      </w:r>
    </w:p>
    <w:p w:rsidR="009A2496" w:rsidRPr="009A2496" w:rsidRDefault="009A2496" w:rsidP="00A92D87">
      <w:pPr>
        <w:spacing w:after="200" w:line="240" w:lineRule="auto"/>
        <w:jc w:val="both"/>
        <w:rPr>
          <w:rFonts w:eastAsia="Calibri" w:cs="Times New Roman"/>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lastRenderedPageBreak/>
        <w:t>DESCRIPCIÓN DEL INDICADOR No. 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35"/>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9E2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Incidencia de Sífilis Congénita</w:t>
            </w:r>
          </w:p>
        </w:tc>
      </w:tr>
      <w:tr w:rsidR="009A2496" w:rsidRPr="009A2496" w:rsidTr="00000F81">
        <w:trPr>
          <w:trHeight w:val="332"/>
          <w:jc w:val="center"/>
        </w:trPr>
        <w:tc>
          <w:tcPr>
            <w:tcW w:w="8828" w:type="dxa"/>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SIVIGILA</w:t>
            </w:r>
          </w:p>
        </w:tc>
      </w:tr>
      <w:tr w:rsidR="009A2496" w:rsidRPr="009A2496" w:rsidTr="00000F81">
        <w:trPr>
          <w:trHeight w:val="458"/>
          <w:jc w:val="center"/>
        </w:trPr>
        <w:tc>
          <w:tcPr>
            <w:tcW w:w="8828" w:type="dxa"/>
            <w:shd w:val="clear" w:color="auto" w:fill="D9E2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9E2F3"/>
          </w:tcPr>
          <w:p w:rsidR="009A2496" w:rsidRPr="009A2496" w:rsidRDefault="009A2496" w:rsidP="00A92D87">
            <w:pPr>
              <w:spacing w:after="0" w:line="240" w:lineRule="auto"/>
              <w:rPr>
                <w:rFonts w:eastAsia="Calibri" w:cs="Times New Roman"/>
                <w:b/>
                <w:bCs/>
              </w:rPr>
            </w:pPr>
            <w:r w:rsidRPr="009A2496">
              <w:rPr>
                <w:rFonts w:eastAsia="Calibri" w:cs="Times New Roman"/>
                <w:b/>
                <w:bCs/>
              </w:rPr>
              <w:t>Temas relacionados con el indicador: Salud sexual y reproductiva</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14"/>
        </w:numPr>
        <w:suppressAutoHyphens/>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pacing w:after="200" w:line="240" w:lineRule="auto"/>
        <w:rPr>
          <w:rFonts w:eastAsia="Calibri" w:cs="Times New Roman"/>
          <w:noProof/>
          <w:lang w:eastAsia="es-CO"/>
        </w:rPr>
      </w:pPr>
      <w:r w:rsidRPr="009A2496">
        <w:rPr>
          <w:rFonts w:eastAsia="Calibri" w:cs="Times New Roman"/>
          <w:noProof/>
          <w:lang w:val="es-ES" w:eastAsia="es-ES"/>
        </w:rPr>
        <w:drawing>
          <wp:inline distT="0" distB="0" distL="0" distR="0">
            <wp:extent cx="5614670" cy="2912745"/>
            <wp:effectExtent l="0" t="0" r="5080" b="1905"/>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2496" w:rsidRPr="009A2496" w:rsidRDefault="009A2496" w:rsidP="00A92D87">
      <w:pPr>
        <w:spacing w:after="200" w:line="240" w:lineRule="auto"/>
        <w:rPr>
          <w:rFonts w:eastAsia="Calibri" w:cs="Times New Roman"/>
          <w:b/>
        </w:rPr>
      </w:pPr>
      <w:r w:rsidRPr="009A2496">
        <w:rPr>
          <w:rFonts w:eastAsia="Calibri" w:cs="Times New Roman"/>
        </w:rPr>
        <w:t>FUENTE: SIVIGILA</w:t>
      </w:r>
    </w:p>
    <w:p w:rsidR="003A5CCE" w:rsidRPr="003A5CCE" w:rsidRDefault="009A2496" w:rsidP="003A5CCE">
      <w:pPr>
        <w:numPr>
          <w:ilvl w:val="0"/>
          <w:numId w:val="14"/>
        </w:numPr>
        <w:spacing w:after="200" w:line="240" w:lineRule="auto"/>
        <w:jc w:val="both"/>
        <w:rPr>
          <w:rFonts w:eastAsia="Calibri" w:cs="Cambria"/>
          <w:color w:val="1A1A1A"/>
        </w:rPr>
      </w:pPr>
      <w:r w:rsidRPr="003A5CCE">
        <w:rPr>
          <w:rFonts w:eastAsia="Calibri" w:cs="Times New Roman"/>
          <w:b/>
        </w:rPr>
        <w:t>Situación detectada</w:t>
      </w:r>
    </w:p>
    <w:p w:rsidR="009A2496" w:rsidRPr="003A5CCE" w:rsidRDefault="009A2496" w:rsidP="003A5CCE">
      <w:pPr>
        <w:spacing w:after="200" w:line="240" w:lineRule="auto"/>
        <w:ind w:left="360"/>
        <w:jc w:val="both"/>
        <w:rPr>
          <w:rFonts w:eastAsia="Calibri" w:cs="Cambria"/>
          <w:color w:val="1A1A1A"/>
        </w:rPr>
      </w:pPr>
      <w:r w:rsidRPr="003A5CCE">
        <w:rPr>
          <w:rFonts w:eastAsia="Calibri" w:cs="Cambria"/>
          <w:color w:val="000000"/>
        </w:rPr>
        <w:t>L</w:t>
      </w:r>
      <w:r w:rsidRPr="003A5CCE">
        <w:rPr>
          <w:rFonts w:eastAsia="Calibri" w:cs="Cambria"/>
          <w:color w:val="1A1A1A"/>
        </w:rPr>
        <w:t>a infección por sífilis es un problema prioritario de salud pública en América Latina y el Caribe por la prevalencia de sífilis gestacional y la alta incidencia de sífilis congénita. La sífilis se transmite de la madre al feto y puede conducir hasta en un 80% de los casos al aborto, muerte fetal, parto pre - término e infección del recién nacido o sífilis congénita, que puede ir acompañada de diferentes grados de discapacidad e inclusive la muerte.</w:t>
      </w:r>
    </w:p>
    <w:p w:rsidR="0078472D" w:rsidRPr="009A2496" w:rsidRDefault="0078472D" w:rsidP="00A92D87">
      <w:pPr>
        <w:spacing w:after="200" w:line="240" w:lineRule="auto"/>
        <w:jc w:val="both"/>
        <w:rPr>
          <w:rFonts w:eastAsia="Calibri" w:cs="Times New Roman"/>
          <w:b/>
        </w:rPr>
      </w:pPr>
    </w:p>
    <w:p w:rsidR="009A2496" w:rsidRPr="009A2496" w:rsidRDefault="009A2496" w:rsidP="003A5CCE">
      <w:pPr>
        <w:autoSpaceDE w:val="0"/>
        <w:autoSpaceDN w:val="0"/>
        <w:adjustRightInd w:val="0"/>
        <w:spacing w:after="0" w:line="240" w:lineRule="auto"/>
        <w:ind w:left="360"/>
        <w:jc w:val="both"/>
        <w:rPr>
          <w:rFonts w:eastAsia="Calibri" w:cs="Arial"/>
          <w:color w:val="000000"/>
          <w:lang w:val="es-ES" w:eastAsia="es-ES"/>
        </w:rPr>
      </w:pPr>
      <w:r w:rsidRPr="009A2496">
        <w:rPr>
          <w:rFonts w:eastAsia="Calibri" w:cs="Arial"/>
          <w:color w:val="000000"/>
          <w:lang w:val="es-ES" w:eastAsia="es-ES"/>
        </w:rPr>
        <w:t xml:space="preserve">La sífilis congénita es el resultado del desconocimiento en Derechos sexuales y Derechos reproductivos y en general falta de educación sexual. Además es evidente la mala calidad de la prestación de los servicios de atención a la gestante, ingreso tardío al control prenatal que incide en la presencia de esta enfermedad. Además la falta de caracterización de la población afiliada por parte de las EPS, también incide en la presencia de sífilis congénita ya que no se cuenta con el dato de cuantas mujeres en edad reproductiva son habitantes de la calle y en ellas es mayor el riesgo. </w:t>
      </w:r>
    </w:p>
    <w:p w:rsidR="009A2496" w:rsidRPr="009A2496" w:rsidRDefault="009A2496" w:rsidP="00A92D87">
      <w:pPr>
        <w:autoSpaceDE w:val="0"/>
        <w:autoSpaceDN w:val="0"/>
        <w:adjustRightInd w:val="0"/>
        <w:spacing w:after="0" w:line="240" w:lineRule="auto"/>
        <w:jc w:val="both"/>
        <w:rPr>
          <w:rFonts w:eastAsia="Calibri" w:cs="Arial"/>
          <w:color w:val="000000"/>
          <w:lang w:val="es-ES" w:eastAsia="es-ES"/>
        </w:rPr>
      </w:pPr>
    </w:p>
    <w:p w:rsidR="009A2496" w:rsidRPr="009A2496" w:rsidRDefault="009A2496" w:rsidP="003A5CCE">
      <w:pPr>
        <w:autoSpaceDE w:val="0"/>
        <w:autoSpaceDN w:val="0"/>
        <w:adjustRightInd w:val="0"/>
        <w:spacing w:after="0" w:line="240" w:lineRule="auto"/>
        <w:ind w:left="360"/>
        <w:jc w:val="both"/>
        <w:rPr>
          <w:rFonts w:eastAsia="Calibri" w:cs="Times New Roman"/>
        </w:rPr>
      </w:pPr>
      <w:r w:rsidRPr="009A2496">
        <w:rPr>
          <w:rFonts w:eastAsia="Calibri" w:cs="Times New Roman"/>
        </w:rPr>
        <w:t>Garantizar unos servicios de SSR de calidad, con personal que conoce y aplica</w:t>
      </w:r>
      <w:r w:rsidRPr="009A2496">
        <w:rPr>
          <w:rFonts w:eastAsia="Calibri" w:cs="Candara"/>
        </w:rPr>
        <w:t xml:space="preserve"> las Guía de Práctica Clínica (GPC) basada en la evidencia, para la atención integral de la sífilis gestacional y congénita, </w:t>
      </w:r>
      <w:r w:rsidRPr="009A2496">
        <w:rPr>
          <w:rFonts w:eastAsia="Calibri" w:cs="Times New Roman"/>
        </w:rPr>
        <w:t xml:space="preserve"> las guías y protocolos de atención a las gestantes con enfoque integral evitaría estos casos que pueden terminar en trasmisión perinatal., así como las acciones de promoción y prevención y estrategias de acción intersectorial e interinstitucional.</w:t>
      </w:r>
    </w:p>
    <w:p w:rsidR="003A5CCE" w:rsidRDefault="003A5CCE" w:rsidP="003A5CCE">
      <w:pPr>
        <w:spacing w:after="200" w:line="240" w:lineRule="auto"/>
        <w:ind w:left="360"/>
        <w:jc w:val="both"/>
        <w:rPr>
          <w:rFonts w:eastAsia="Calibri" w:cs="Times New Roman"/>
        </w:rPr>
      </w:pPr>
    </w:p>
    <w:p w:rsidR="009A2496" w:rsidRPr="009A2496" w:rsidRDefault="009A2496" w:rsidP="003A5CCE">
      <w:pPr>
        <w:spacing w:after="200" w:line="240" w:lineRule="auto"/>
        <w:ind w:left="360"/>
        <w:jc w:val="both"/>
        <w:rPr>
          <w:rFonts w:eastAsia="Calibri" w:cs="Times New Roman"/>
        </w:rPr>
      </w:pPr>
      <w:r w:rsidRPr="009A2496">
        <w:rPr>
          <w:rFonts w:eastAsia="Calibri" w:cs="Times New Roman"/>
        </w:rPr>
        <w:t>En Colombia uno de los derechos fundamentales de las mujeres es la garantía de la atención materna, establecida desde la declaración internacional de derechos humanos, la conferencia de El Cairo y la Constitución Política de Colombia.</w:t>
      </w:r>
    </w:p>
    <w:p w:rsidR="009A2496" w:rsidRPr="009A2496" w:rsidRDefault="009A2496" w:rsidP="003A5CCE">
      <w:pPr>
        <w:spacing w:after="200" w:line="240" w:lineRule="auto"/>
        <w:ind w:left="360"/>
        <w:jc w:val="both"/>
        <w:rPr>
          <w:rFonts w:eastAsia="Calibri" w:cs="Times New Roman"/>
        </w:rPr>
      </w:pPr>
      <w:r w:rsidRPr="009A2496">
        <w:rPr>
          <w:rFonts w:eastAsia="Calibri" w:cs="Times New Roman"/>
        </w:rPr>
        <w:t>En el municipio de pasto, el comportamiento de la sífilis congénita como se mira en el informe estadístico, ha tenido el siguiente comportamiento: 2012, tasa = 0.21   2013, tasa = 0.83, 2014 tasa = 1.2 x 100.000 NV, lo cual evidencia que ha ido en aumento, e incide en el no cumplimiento de la meta de cuatrienio.</w:t>
      </w:r>
    </w:p>
    <w:p w:rsidR="009A2496" w:rsidRPr="009A2496" w:rsidRDefault="009A2496" w:rsidP="00A92D87">
      <w:pPr>
        <w:numPr>
          <w:ilvl w:val="0"/>
          <w:numId w:val="14"/>
        </w:numPr>
        <w:spacing w:after="200" w:line="240" w:lineRule="auto"/>
        <w:jc w:val="both"/>
        <w:rPr>
          <w:rFonts w:eastAsia="Calibri" w:cs="Times New Roman"/>
          <w:b/>
        </w:rPr>
      </w:pPr>
      <w:r w:rsidRPr="009A2496">
        <w:rPr>
          <w:rFonts w:eastAsia="Calibri" w:cs="Times New Roman"/>
          <w:b/>
        </w:rPr>
        <w:t>Insumos</w:t>
      </w:r>
    </w:p>
    <w:p w:rsidR="009A2496" w:rsidRPr="009A2496" w:rsidRDefault="009A2496" w:rsidP="003A5CCE">
      <w:pPr>
        <w:spacing w:after="200" w:line="240" w:lineRule="auto"/>
        <w:ind w:left="360"/>
        <w:jc w:val="both"/>
        <w:rPr>
          <w:rFonts w:eastAsia="Calibri" w:cs="Times New Roman"/>
        </w:rPr>
      </w:pPr>
      <w:r w:rsidRPr="009A2496">
        <w:rPr>
          <w:rFonts w:eastAsia="Calibri" w:cs="Times New Roman"/>
        </w:rPr>
        <w:t xml:space="preserve">La Secretaria Municipal de Salud de Pasto, Incluyo el indicador de sífilis congénita en los Planes de Desarrollo y Territorial de Salud del municipio, entre 2012 y </w:t>
      </w:r>
      <w:r w:rsidR="00C7756D" w:rsidRPr="009A2496">
        <w:rPr>
          <w:rFonts w:eastAsia="Calibri" w:cs="Times New Roman"/>
        </w:rPr>
        <w:t>2015 y</w:t>
      </w:r>
      <w:r w:rsidRPr="009A2496">
        <w:rPr>
          <w:rFonts w:eastAsia="Calibri" w:cs="Times New Roman"/>
        </w:rPr>
        <w:t xml:space="preserve"> destino a la Prioridad de Sexualidad y Salud Sexual y Reproductiva un total de</w:t>
      </w:r>
      <w:r w:rsidRPr="009A2496">
        <w:rPr>
          <w:rFonts w:eastAsia="Times New Roman" w:cs="Calibri"/>
          <w:color w:val="000000"/>
          <w:lang w:eastAsia="es-CO"/>
        </w:rPr>
        <w:t xml:space="preserve"> </w:t>
      </w:r>
      <w:r w:rsidRPr="009A2496">
        <w:rPr>
          <w:rFonts w:eastAsia="Times New Roman" w:cs="Calibri"/>
          <w:lang w:eastAsia="es-CO"/>
        </w:rPr>
        <w:t xml:space="preserve">$1.090.916.00, distribuidos </w:t>
      </w:r>
      <w:r w:rsidR="00C7756D" w:rsidRPr="009A2496">
        <w:rPr>
          <w:rFonts w:eastAsia="Times New Roman" w:cs="Calibri"/>
          <w:lang w:eastAsia="es-CO"/>
        </w:rPr>
        <w:t>así</w:t>
      </w:r>
      <w:r w:rsidRPr="009A2496">
        <w:rPr>
          <w:rFonts w:eastAsia="Times New Roman" w:cs="Calibri"/>
          <w:lang w:eastAsia="es-CO"/>
        </w:rPr>
        <w:t xml:space="preserve">: año 2012, $278.849.398, año </w:t>
      </w:r>
      <w:r w:rsidR="00C7756D" w:rsidRPr="009A2496">
        <w:rPr>
          <w:rFonts w:eastAsia="Times New Roman" w:cs="Calibri"/>
          <w:lang w:eastAsia="es-CO"/>
        </w:rPr>
        <w:t>2013 $</w:t>
      </w:r>
      <w:r w:rsidRPr="009A2496">
        <w:rPr>
          <w:rFonts w:eastAsia="Times New Roman" w:cs="Calibri"/>
          <w:lang w:eastAsia="es-CO"/>
        </w:rPr>
        <w:t xml:space="preserve"> 278.849.398, año 2014, $308.169.560, año 2015 $ 225.048.400. </w:t>
      </w:r>
      <w:r w:rsidR="00C7756D" w:rsidRPr="009A2496">
        <w:rPr>
          <w:rFonts w:eastAsia="Calibri" w:cs="Times New Roman"/>
        </w:rPr>
        <w:t>Los</w:t>
      </w:r>
      <w:r w:rsidRPr="009A2496">
        <w:rPr>
          <w:rFonts w:eastAsia="Calibri" w:cs="Times New Roman"/>
        </w:rPr>
        <w:t xml:space="preserve"> cuales se han invertido en el cumplimiento de las competencias de seguimiento, evaluación, vigilancia y control, asistencia técnica y articulación intersectorial en el marco de los componentes de dicha prioridad</w:t>
      </w:r>
      <w:r w:rsidR="00C7756D" w:rsidRPr="009A2496">
        <w:rPr>
          <w:rFonts w:eastAsia="Calibri" w:cs="Times New Roman"/>
        </w:rPr>
        <w:t>, promoción</w:t>
      </w:r>
      <w:r w:rsidRPr="009A2496">
        <w:rPr>
          <w:rFonts w:eastAsia="Calibri" w:cs="Times New Roman"/>
        </w:rPr>
        <w:t xml:space="preserve"> y empoderamiento de los Derechos Sexuales y Reproductivos y la mejora de la atención </w:t>
      </w:r>
      <w:r w:rsidR="00C7756D" w:rsidRPr="009A2496">
        <w:rPr>
          <w:rFonts w:eastAsia="Calibri" w:cs="Times New Roman"/>
        </w:rPr>
        <w:t>de los</w:t>
      </w:r>
      <w:r w:rsidRPr="009A2496">
        <w:rPr>
          <w:rFonts w:eastAsia="Calibri" w:cs="Times New Roman"/>
        </w:rPr>
        <w:t xml:space="preserve"> servicios de SSR. Adicional se cuenta con un equipo de profesionales contratistas disciplina: una médica, 2 enfermeras y una tecnóloga en promoción de la salud, quienes han apoyado el desarrollo de cada una de las actividades ejecutadas en el marco del Plan Operativo del Plan Territorial de Salud del Municipio.</w:t>
      </w:r>
    </w:p>
    <w:p w:rsidR="009A2496" w:rsidRPr="009A2496" w:rsidRDefault="009A2496" w:rsidP="00A92D87">
      <w:pPr>
        <w:numPr>
          <w:ilvl w:val="0"/>
          <w:numId w:val="14"/>
        </w:numPr>
        <w:spacing w:after="200" w:line="240" w:lineRule="auto"/>
        <w:jc w:val="both"/>
        <w:rPr>
          <w:rFonts w:eastAsia="Calibri" w:cs="Times New Roman"/>
          <w:b/>
        </w:rPr>
      </w:pPr>
      <w:r w:rsidRPr="009A2496">
        <w:rPr>
          <w:rFonts w:eastAsia="Calibri" w:cs="Times New Roman"/>
          <w:b/>
        </w:rPr>
        <w:t>Programas, Proyectos y Acciones para mejorar la situación del indicador (2012 -2015)</w:t>
      </w:r>
    </w:p>
    <w:p w:rsidR="009A2496" w:rsidRPr="003A5CCE" w:rsidRDefault="009A2496" w:rsidP="003A5CCE">
      <w:pPr>
        <w:spacing w:after="200" w:line="240" w:lineRule="auto"/>
        <w:ind w:left="360"/>
        <w:jc w:val="both"/>
        <w:rPr>
          <w:rFonts w:eastAsia="Calibri" w:cs="Times New Roman"/>
        </w:rPr>
      </w:pPr>
      <w:r w:rsidRPr="009A2496">
        <w:rPr>
          <w:rFonts w:eastAsia="Calibri" w:cs="Times New Roman"/>
          <w:bCs/>
        </w:rPr>
        <w:t>COMUNICACIÓN Y MOVILIZACION SOCIAL: Contrato de acciones colectivas con Pasto salud ESE, quien desarrolla la estrategia de Movilización Social, “Ciudad Bienestar”</w:t>
      </w:r>
      <w:r w:rsidRPr="009A2496">
        <w:rPr>
          <w:rFonts w:eastAsia="Calibri" w:cs="Times New Roman"/>
          <w:b/>
          <w:bCs/>
          <w:lang w:val="es-ES_tradnl"/>
        </w:rPr>
        <w:t xml:space="preserve">en torno al derecho a la salud </w:t>
      </w:r>
      <w:r w:rsidRPr="009A2496">
        <w:rPr>
          <w:rFonts w:eastAsia="Calibri" w:cs="Times New Roman"/>
          <w:bCs/>
          <w:lang w:val="es-ES_tradnl"/>
        </w:rPr>
        <w:t xml:space="preserve">que propicia </w:t>
      </w:r>
      <w:r w:rsidRPr="009A2496">
        <w:rPr>
          <w:rFonts w:eastAsia="Calibri" w:cs="Times New Roman"/>
          <w:b/>
          <w:bCs/>
          <w:lang w:val="es-ES_tradnl"/>
        </w:rPr>
        <w:t>espacios de encuentro para el aprendizaje</w:t>
      </w:r>
      <w:r w:rsidRPr="009A2496">
        <w:rPr>
          <w:rFonts w:eastAsia="Calibri" w:cs="Times New Roman"/>
          <w:bCs/>
          <w:lang w:val="es-ES_tradnl"/>
        </w:rPr>
        <w:t>, la formación y la articulación de voluntades activas y plurales</w:t>
      </w:r>
      <w:r w:rsidRPr="009A2496">
        <w:rPr>
          <w:rFonts w:eastAsia="Calibri" w:cs="Times New Roman"/>
          <w:b/>
          <w:bCs/>
          <w:lang w:val="es-ES_tradnl"/>
        </w:rPr>
        <w:t xml:space="preserve"> para el mejoramiento de la calidad de vida </w:t>
      </w:r>
      <w:r w:rsidRPr="009A2496">
        <w:rPr>
          <w:rFonts w:eastAsia="Calibri" w:cs="Times New Roman"/>
          <w:bCs/>
          <w:lang w:val="es-ES_tradnl"/>
        </w:rPr>
        <w:t xml:space="preserve">y el </w:t>
      </w:r>
      <w:r w:rsidRPr="009A2496">
        <w:rPr>
          <w:rFonts w:eastAsia="Calibri" w:cs="Times New Roman"/>
          <w:b/>
          <w:bCs/>
          <w:lang w:val="es-ES_tradnl"/>
        </w:rPr>
        <w:lastRenderedPageBreak/>
        <w:t>alivio del sufrimiento de la población del municipio de Pasto.</w:t>
      </w:r>
      <w:r w:rsidRPr="009A2496">
        <w:rPr>
          <w:rFonts w:eastAsia="Calibri" w:cs="Times New Roman"/>
          <w:bCs/>
        </w:rPr>
        <w:t xml:space="preserve"> Implementación de la Campaña comunicacional D&amp;D, dialogo y derechos que promueve los derechos sexuales y derechos reproductivos, dirigida a padres de familia, docentes, adolescentes, jóvenes e instituciones  a través de un método de planificación simbólico. Esta campaña se ha implementado en Instituciones educativas, en IPS, EPS y academia y redes sociales., además se promociona a través de la TV local y emisoras, como también en la  página web de Ciudad Bienestar y Facebook.  Seguimiento, evaluación y asistencia técnica a las IPS de baja complejidad DE REGUIMEN contributivo y subsidiado para verificar la adherencia a guías, protocolos de atención a la gestante, parto puerperio al igual que se desarrollan Rondas de Seguridad a los servicios de atención de parto y recién nacido con el objeto de verificar la funcionalidad de Código Rojo en emergencia obstétrica que ha sido efectivo en la prevención de mortalidad materna y la garantía de una atención de calidad a la gestante mediante planes de mejora  de acuerdo hallazgos encontrados que incluyen los simulacros periódicos que permitan al personal asistencial pericia en la ejecución del Código Rojo.  ARTICULACIÓN INTRA E INTERSECTORIAL:</w:t>
      </w:r>
    </w:p>
    <w:p w:rsidR="009A2496" w:rsidRPr="009A2496" w:rsidRDefault="009A2496" w:rsidP="003A5CCE">
      <w:pPr>
        <w:spacing w:after="200" w:line="240" w:lineRule="auto"/>
        <w:ind w:left="360"/>
        <w:jc w:val="both"/>
        <w:rPr>
          <w:rFonts w:eastAsia="Calibri" w:cs="Times New Roman"/>
        </w:rPr>
      </w:pPr>
      <w:r w:rsidRPr="009A2496">
        <w:rPr>
          <w:rFonts w:eastAsia="Calibri" w:cs="Times New Roman"/>
          <w:bCs/>
        </w:rPr>
        <w:t xml:space="preserve">Se </w:t>
      </w:r>
      <w:r w:rsidR="00C7756D" w:rsidRPr="009A2496">
        <w:rPr>
          <w:rFonts w:eastAsia="Calibri" w:cs="Times New Roman"/>
          <w:bCs/>
        </w:rPr>
        <w:t>conformó</w:t>
      </w:r>
      <w:r w:rsidRPr="009A2496">
        <w:rPr>
          <w:rFonts w:eastAsia="Calibri" w:cs="Times New Roman"/>
          <w:bCs/>
        </w:rPr>
        <w:t xml:space="preserve"> el Comité Intersectorial Municipal de Prevención de </w:t>
      </w:r>
      <w:r w:rsidR="00C7756D" w:rsidRPr="009A2496">
        <w:rPr>
          <w:rFonts w:eastAsia="Calibri" w:cs="Times New Roman"/>
          <w:bCs/>
        </w:rPr>
        <w:t>Embarazos en</w:t>
      </w:r>
      <w:r w:rsidRPr="009A2496">
        <w:rPr>
          <w:rFonts w:eastAsia="Calibri" w:cs="Times New Roman"/>
          <w:bCs/>
        </w:rPr>
        <w:t xml:space="preserve"> adolescentes, mediante Decreto 0446 de 2013 de la Alcaldía Municipal. Este comité ejecuta un plan de acción anual enfocado a la prevención de embarazos en adolescentes, prevención de las infecciones de trasmisión sexual VIH/SIDA, y la garantía de los DSDR.</w:t>
      </w:r>
    </w:p>
    <w:p w:rsidR="009A2496" w:rsidRPr="009A2496" w:rsidRDefault="009A2496" w:rsidP="003A5CCE">
      <w:pPr>
        <w:spacing w:after="200" w:line="240" w:lineRule="auto"/>
        <w:ind w:left="360"/>
        <w:jc w:val="both"/>
        <w:rPr>
          <w:rFonts w:eastAsia="Calibri" w:cs="Times New Roman"/>
          <w:bCs/>
        </w:rPr>
      </w:pPr>
      <w:r w:rsidRPr="009A2496">
        <w:rPr>
          <w:rFonts w:eastAsia="Calibri" w:cs="Times New Roman"/>
          <w:bCs/>
        </w:rPr>
        <w:t xml:space="preserve">Se coordina a través de mesa sectorial con Secretaria de Educación la implementación del proyecto Estilos de Vida Saludable en IEM priorizadas las cuales identifican sus necesidades en </w:t>
      </w:r>
      <w:r w:rsidR="00C7756D" w:rsidRPr="009A2496">
        <w:rPr>
          <w:rFonts w:eastAsia="Calibri" w:cs="Times New Roman"/>
          <w:bCs/>
        </w:rPr>
        <w:t>salud sexual</w:t>
      </w:r>
      <w:r w:rsidRPr="009A2496">
        <w:rPr>
          <w:rFonts w:eastAsia="Calibri" w:cs="Times New Roman"/>
          <w:bCs/>
        </w:rPr>
        <w:t xml:space="preserve"> y reproductiva a través de la lectura de contexto y priorizan la </w:t>
      </w:r>
      <w:r w:rsidR="00C7756D" w:rsidRPr="009A2496">
        <w:rPr>
          <w:rFonts w:eastAsia="Calibri" w:cs="Times New Roman"/>
          <w:bCs/>
        </w:rPr>
        <w:t>necesidad más</w:t>
      </w:r>
      <w:r w:rsidRPr="009A2496">
        <w:rPr>
          <w:rFonts w:eastAsia="Calibri" w:cs="Times New Roman"/>
          <w:bCs/>
        </w:rPr>
        <w:t xml:space="preserve"> urgente de intervenir con el acompañamiento de la Secretaria de Salud. </w:t>
      </w:r>
    </w:p>
    <w:p w:rsidR="009A2496" w:rsidRPr="009A2496" w:rsidRDefault="009A2496" w:rsidP="003A5CCE">
      <w:pPr>
        <w:spacing w:after="200" w:line="240" w:lineRule="auto"/>
        <w:ind w:left="360"/>
        <w:jc w:val="both"/>
        <w:rPr>
          <w:rFonts w:eastAsia="Calibri" w:cs="Times New Roman"/>
          <w:bCs/>
        </w:rPr>
      </w:pPr>
      <w:r w:rsidRPr="009A2496">
        <w:rPr>
          <w:rFonts w:eastAsia="Calibri" w:cs="Times New Roman"/>
          <w:bCs/>
        </w:rPr>
        <w:t xml:space="preserve">Articulación con academia para la ejecución de acuerdos de los programas de salud </w:t>
      </w:r>
      <w:r w:rsidR="00C7756D" w:rsidRPr="009A2496">
        <w:rPr>
          <w:rFonts w:eastAsia="Calibri" w:cs="Times New Roman"/>
          <w:bCs/>
        </w:rPr>
        <w:t>pública</w:t>
      </w:r>
      <w:r w:rsidRPr="009A2496">
        <w:rPr>
          <w:rFonts w:eastAsia="Calibri" w:cs="Times New Roman"/>
          <w:bCs/>
        </w:rPr>
        <w:t xml:space="preserve"> en el pensum académico para su fortalecimiento en especial en las facultades de enfermería, medicina, auxiliares de enfermería.</w:t>
      </w:r>
    </w:p>
    <w:p w:rsidR="009A2496" w:rsidRPr="009A2496" w:rsidRDefault="009A2496" w:rsidP="003A5CCE">
      <w:pPr>
        <w:spacing w:after="200" w:line="240" w:lineRule="auto"/>
        <w:ind w:left="360"/>
        <w:jc w:val="both"/>
        <w:rPr>
          <w:rFonts w:eastAsia="Calibri" w:cs="Times New Roman"/>
          <w:bCs/>
        </w:rPr>
      </w:pPr>
      <w:r w:rsidRPr="009A2496">
        <w:rPr>
          <w:rFonts w:eastAsia="Calibri" w:cs="Times New Roman"/>
          <w:bCs/>
        </w:rPr>
        <w:t>FORTALECIMIENTO INSTITUCIONAL:</w:t>
      </w:r>
      <w:r w:rsidRPr="009A2496">
        <w:rPr>
          <w:rFonts w:eastAsia="Calibri" w:cs="Times New Roman"/>
        </w:rPr>
        <w:t xml:space="preserve"> </w:t>
      </w:r>
      <w:r w:rsidRPr="009A2496">
        <w:rPr>
          <w:rFonts w:eastAsia="Calibri" w:cs="Times New Roman"/>
          <w:bCs/>
        </w:rPr>
        <w:t>Ejecutar tercera versión de iniciativas sociales comunitarias en salud atreves de la estrategia Ciudad Bienestar con  colectiva, que permita Promover la construcción y ejecución de acciones propositivas comunitarias, que giren en torno al ejercicio autónomo del derecho a la salud.</w:t>
      </w:r>
    </w:p>
    <w:p w:rsidR="009A2496" w:rsidRPr="009A2496" w:rsidRDefault="009A2496" w:rsidP="003A5CCE">
      <w:pPr>
        <w:spacing w:after="200" w:line="240" w:lineRule="auto"/>
        <w:ind w:left="360"/>
        <w:jc w:val="both"/>
        <w:rPr>
          <w:rFonts w:eastAsia="Calibri" w:cs="Times New Roman"/>
          <w:bCs/>
        </w:rPr>
      </w:pPr>
      <w:r w:rsidRPr="009A2496">
        <w:rPr>
          <w:rFonts w:eastAsia="Calibri" w:cs="Times New Roman"/>
          <w:bCs/>
        </w:rPr>
        <w:t xml:space="preserve">Participar efectivamente  en la planeación y ejecución del plan de   acción  del Comité  Intersectorial de Prevención de Embarazos en Adolescentes,  pertinentes a los procesos del PISC bajo los enfoques y perspectivas de la Estrategia Ciudad Bienestar  para el cumplimiento de los  objetivos y metas del plan operativo anual de SSR de  la vigencia 2015.   </w:t>
      </w:r>
    </w:p>
    <w:p w:rsidR="009A2496" w:rsidRPr="009A2496" w:rsidRDefault="009A2496" w:rsidP="003A5CCE">
      <w:pPr>
        <w:spacing w:after="200" w:line="240" w:lineRule="auto"/>
        <w:ind w:left="360"/>
        <w:jc w:val="both"/>
        <w:rPr>
          <w:rFonts w:eastAsia="Calibri" w:cs="Times New Roman"/>
          <w:bCs/>
        </w:rPr>
      </w:pPr>
      <w:r w:rsidRPr="009A2496">
        <w:rPr>
          <w:rFonts w:eastAsia="Calibri" w:cs="Times New Roman"/>
          <w:bCs/>
        </w:rPr>
        <w:t xml:space="preserve">Se ha realizado  seguimiento a la operatividad de los SSAAJ implementados en la Red de prestación de Servicios subsidiada y contributiva del municipio, fortaleciendo al personal que los atiende con asistencia técnica. </w:t>
      </w:r>
    </w:p>
    <w:p w:rsidR="009A2496" w:rsidRPr="009A2496" w:rsidRDefault="009A2496" w:rsidP="003A5CCE">
      <w:pPr>
        <w:spacing w:after="200" w:line="240" w:lineRule="auto"/>
        <w:ind w:left="360"/>
        <w:jc w:val="both"/>
        <w:rPr>
          <w:rFonts w:eastAsia="Calibri" w:cs="Times New Roman"/>
          <w:bCs/>
        </w:rPr>
      </w:pPr>
      <w:r w:rsidRPr="009A2496">
        <w:rPr>
          <w:rFonts w:eastAsia="Calibri" w:cs="Times New Roman"/>
          <w:bCs/>
        </w:rPr>
        <w:t xml:space="preserve">La Secretaria Municipal de Salud ejecutaron el Plan de contingencia para la  Reducción de la Mortalidad Materna durante los meses de septiembre octubre noviembre y diciembre meses </w:t>
      </w:r>
      <w:r w:rsidRPr="009A2496">
        <w:rPr>
          <w:rFonts w:eastAsia="Calibri" w:cs="Times New Roman"/>
          <w:bCs/>
        </w:rPr>
        <w:lastRenderedPageBreak/>
        <w:t>en los cuales históricamente se aumentan los partos y por ende aumenta el riesgo de morbilidad materna extrema y mortalidad materna por lo cual se incrementan las Rondas de seguridad a las IPS que atienden partos y recién nacidos.</w:t>
      </w:r>
    </w:p>
    <w:p w:rsidR="009A2496" w:rsidRPr="009A2496" w:rsidRDefault="009A2496" w:rsidP="003A5CCE">
      <w:pPr>
        <w:spacing w:after="200" w:line="240" w:lineRule="auto"/>
        <w:ind w:left="360"/>
        <w:jc w:val="both"/>
        <w:rPr>
          <w:rFonts w:eastAsia="Calibri" w:cs="Times New Roman"/>
          <w:bCs/>
        </w:rPr>
      </w:pPr>
      <w:r w:rsidRPr="009A2496">
        <w:rPr>
          <w:rFonts w:eastAsia="Calibri" w:cs="Times New Roman"/>
        </w:rPr>
        <w:t xml:space="preserve">VIGILANCIA EN SALUD PUBLICA: </w:t>
      </w:r>
      <w:r w:rsidRPr="009A2496">
        <w:rPr>
          <w:rFonts w:eastAsia="Calibri" w:cs="Times New Roman"/>
          <w:bCs/>
        </w:rPr>
        <w:t>Se realizan unidades de análisis al 100% de los eventos de sífilis congénita, mortalidad materna y perinatal, MME, mortalidad por VIH/SIDA</w:t>
      </w:r>
      <w:r w:rsidR="0018323F" w:rsidRPr="009A2496">
        <w:rPr>
          <w:rFonts w:eastAsia="Calibri" w:cs="Times New Roman"/>
          <w:bCs/>
        </w:rPr>
        <w:t>, a</w:t>
      </w:r>
      <w:r w:rsidRPr="009A2496">
        <w:rPr>
          <w:rFonts w:eastAsia="Calibri" w:cs="Times New Roman"/>
          <w:bCs/>
        </w:rPr>
        <w:t xml:space="preserve"> través de la Ruta de la Vida que analiza las cuatro demoras en la atención en los diferentes niveles de complejidad y se genera los Planes de Mejoramiento de acuerdo hallazgos con el objeto de mejorar y subsanar las demoras </w:t>
      </w:r>
      <w:r w:rsidR="0018323F" w:rsidRPr="009A2496">
        <w:rPr>
          <w:rFonts w:eastAsia="Calibri" w:cs="Times New Roman"/>
          <w:bCs/>
        </w:rPr>
        <w:t>que ocasionan</w:t>
      </w:r>
      <w:r w:rsidRPr="009A2496">
        <w:rPr>
          <w:rFonts w:eastAsia="Calibri" w:cs="Times New Roman"/>
          <w:bCs/>
        </w:rPr>
        <w:t xml:space="preserve"> los eventos en SSR.</w:t>
      </w:r>
    </w:p>
    <w:p w:rsidR="009A2496" w:rsidRPr="009A2496" w:rsidRDefault="009A2496" w:rsidP="00A92D87">
      <w:pPr>
        <w:numPr>
          <w:ilvl w:val="0"/>
          <w:numId w:val="14"/>
        </w:numPr>
        <w:spacing w:after="200" w:line="240" w:lineRule="auto"/>
        <w:jc w:val="both"/>
        <w:rPr>
          <w:rFonts w:eastAsia="Calibri" w:cs="Times New Roman"/>
          <w:b/>
        </w:rPr>
      </w:pPr>
      <w:r w:rsidRPr="009A2496">
        <w:rPr>
          <w:rFonts w:eastAsia="Calibri" w:cs="Times New Roman"/>
          <w:b/>
        </w:rPr>
        <w:t>Productos</w:t>
      </w:r>
    </w:p>
    <w:p w:rsidR="009A2496" w:rsidRPr="009A2496" w:rsidRDefault="009A2496" w:rsidP="00A92D87">
      <w:pPr>
        <w:numPr>
          <w:ilvl w:val="0"/>
          <w:numId w:val="12"/>
        </w:numPr>
        <w:spacing w:after="200" w:line="240" w:lineRule="auto"/>
        <w:contextualSpacing/>
        <w:jc w:val="both"/>
        <w:rPr>
          <w:rFonts w:eastAsia="Times New Roman" w:cs="Times New Roman"/>
          <w:lang w:val="es-ES" w:eastAsia="ar-SA"/>
        </w:rPr>
      </w:pPr>
      <w:r w:rsidRPr="009A2496">
        <w:rPr>
          <w:rFonts w:eastAsia="Times New Roman" w:cs="Times New Roman"/>
          <w:lang w:val="es-ES" w:eastAsia="ar-SA"/>
        </w:rPr>
        <w:t>Adherencia a los protocolos y guías de atención por parte de los profesionales que prestan el servicio en SSR y disponibilidad permanente de elementos esenciales en lo relacionado con atención materna.</w:t>
      </w:r>
    </w:p>
    <w:p w:rsidR="009A2496" w:rsidRPr="009A2496" w:rsidRDefault="009A2496" w:rsidP="00A92D87">
      <w:pPr>
        <w:numPr>
          <w:ilvl w:val="0"/>
          <w:numId w:val="12"/>
        </w:numPr>
        <w:spacing w:after="200" w:line="240" w:lineRule="auto"/>
        <w:contextualSpacing/>
        <w:jc w:val="both"/>
        <w:rPr>
          <w:rFonts w:eastAsia="Times New Roman" w:cs="Times New Roman"/>
          <w:lang w:val="es-ES" w:eastAsia="ar-SA"/>
        </w:rPr>
      </w:pPr>
      <w:r w:rsidRPr="009A2496">
        <w:rPr>
          <w:rFonts w:eastAsia="Times New Roman" w:cs="Times New Roman"/>
          <w:lang w:val="es-ES" w:eastAsia="ar-SA"/>
        </w:rPr>
        <w:t xml:space="preserve">Disminución de los embarazos en adolescentes </w:t>
      </w:r>
      <w:r w:rsidR="0018323F" w:rsidRPr="009A2496">
        <w:rPr>
          <w:rFonts w:eastAsia="Times New Roman" w:cs="Times New Roman"/>
          <w:lang w:val="es-ES" w:eastAsia="ar-SA"/>
        </w:rPr>
        <w:t>(edad</w:t>
      </w:r>
      <w:r w:rsidRPr="009A2496">
        <w:rPr>
          <w:rFonts w:eastAsia="Times New Roman" w:cs="Times New Roman"/>
          <w:lang w:val="es-ES" w:eastAsia="ar-SA"/>
        </w:rPr>
        <w:t xml:space="preserve"> 10 – 19 años)</w:t>
      </w:r>
      <w:r w:rsidR="0018323F" w:rsidRPr="009A2496">
        <w:rPr>
          <w:rFonts w:eastAsia="Times New Roman" w:cs="Times New Roman"/>
          <w:lang w:val="es-ES" w:eastAsia="ar-SA"/>
        </w:rPr>
        <w:t>: de tasa</w:t>
      </w:r>
      <w:r w:rsidRPr="009A2496">
        <w:rPr>
          <w:rFonts w:eastAsia="Times New Roman" w:cs="Times New Roman"/>
          <w:lang w:val="es-ES" w:eastAsia="ar-SA"/>
        </w:rPr>
        <w:t xml:space="preserve"> de 28.9 en el 2012 a tasa de 27.2 en el 2014.</w:t>
      </w:r>
    </w:p>
    <w:p w:rsidR="009A2496" w:rsidRDefault="009A2496" w:rsidP="00A92D87">
      <w:pPr>
        <w:numPr>
          <w:ilvl w:val="0"/>
          <w:numId w:val="12"/>
        </w:numPr>
        <w:spacing w:after="200" w:line="240" w:lineRule="auto"/>
        <w:contextualSpacing/>
        <w:jc w:val="both"/>
        <w:rPr>
          <w:rFonts w:eastAsia="Times New Roman" w:cs="Times New Roman"/>
          <w:lang w:val="es-ES" w:eastAsia="ar-SA"/>
        </w:rPr>
      </w:pPr>
      <w:r w:rsidRPr="009A2496">
        <w:rPr>
          <w:rFonts w:eastAsia="Times New Roman" w:cs="Times New Roman"/>
          <w:lang w:val="es-ES" w:eastAsia="ar-SA"/>
        </w:rPr>
        <w:t>Cumplimiento de un 99% de las acciones planteadas en el Plan Operativo Anual de Salud Sexual y Reproductiva.</w:t>
      </w:r>
    </w:p>
    <w:p w:rsidR="003A5CCE" w:rsidRPr="009A2496" w:rsidRDefault="003A5CCE" w:rsidP="003A5CCE">
      <w:pPr>
        <w:spacing w:after="200" w:line="240" w:lineRule="auto"/>
        <w:ind w:left="720"/>
        <w:contextualSpacing/>
        <w:jc w:val="both"/>
        <w:rPr>
          <w:rFonts w:eastAsia="Times New Roman" w:cs="Times New Roman"/>
          <w:lang w:val="es-ES" w:eastAsia="ar-SA"/>
        </w:rPr>
      </w:pPr>
    </w:p>
    <w:p w:rsidR="009A2496" w:rsidRPr="009A2496" w:rsidRDefault="009A2496" w:rsidP="00A92D87">
      <w:pPr>
        <w:numPr>
          <w:ilvl w:val="0"/>
          <w:numId w:val="14"/>
        </w:numPr>
        <w:spacing w:after="200" w:line="240" w:lineRule="auto"/>
        <w:jc w:val="both"/>
        <w:rPr>
          <w:rFonts w:eastAsia="Calibri" w:cs="Times New Roman"/>
          <w:b/>
        </w:rPr>
      </w:pPr>
      <w:r w:rsidRPr="009A2496">
        <w:rPr>
          <w:rFonts w:eastAsia="Calibri" w:cs="Times New Roman"/>
          <w:b/>
        </w:rPr>
        <w:t>Resultados</w:t>
      </w:r>
    </w:p>
    <w:p w:rsidR="009A2496" w:rsidRPr="009A2496" w:rsidRDefault="009A2496" w:rsidP="00A92D87">
      <w:pPr>
        <w:numPr>
          <w:ilvl w:val="0"/>
          <w:numId w:val="12"/>
        </w:numPr>
        <w:spacing w:after="200" w:line="240" w:lineRule="auto"/>
        <w:contextualSpacing/>
        <w:jc w:val="both"/>
        <w:rPr>
          <w:rFonts w:eastAsia="Times New Roman" w:cs="Times New Roman"/>
          <w:lang w:val="es-ES" w:eastAsia="ar-SA"/>
        </w:rPr>
      </w:pPr>
      <w:r w:rsidRPr="009A2496">
        <w:rPr>
          <w:rFonts w:eastAsia="Times New Roman" w:cs="Times New Roman"/>
          <w:lang w:val="es-ES" w:eastAsia="ar-SA"/>
        </w:rPr>
        <w:t>El   % 89.23 de nacidos vivos  con cuatro y más controles prenatales</w:t>
      </w:r>
    </w:p>
    <w:p w:rsidR="009A2496" w:rsidRPr="009A2496" w:rsidRDefault="009A2496" w:rsidP="00A92D87">
      <w:pPr>
        <w:numPr>
          <w:ilvl w:val="0"/>
          <w:numId w:val="12"/>
        </w:numPr>
        <w:spacing w:after="200" w:line="240" w:lineRule="auto"/>
        <w:contextualSpacing/>
        <w:jc w:val="both"/>
        <w:rPr>
          <w:rFonts w:eastAsia="Times New Roman" w:cs="Times New Roman"/>
          <w:lang w:val="es-ES" w:eastAsia="ar-SA"/>
        </w:rPr>
      </w:pPr>
      <w:r w:rsidRPr="009A2496">
        <w:rPr>
          <w:rFonts w:eastAsia="Times New Roman" w:cs="Times New Roman"/>
          <w:lang w:val="es-ES" w:eastAsia="ar-SA"/>
        </w:rPr>
        <w:t>99. 6% de parto institucional</w:t>
      </w:r>
    </w:p>
    <w:p w:rsidR="009A2496" w:rsidRDefault="009A2496" w:rsidP="00A92D87">
      <w:pPr>
        <w:numPr>
          <w:ilvl w:val="0"/>
          <w:numId w:val="12"/>
        </w:numPr>
        <w:spacing w:after="200" w:line="240" w:lineRule="auto"/>
        <w:contextualSpacing/>
        <w:jc w:val="both"/>
        <w:rPr>
          <w:rFonts w:eastAsia="Times New Roman" w:cs="Times New Roman"/>
          <w:lang w:val="es-ES" w:eastAsia="ar-SA"/>
        </w:rPr>
      </w:pPr>
      <w:r w:rsidRPr="009A2496">
        <w:rPr>
          <w:rFonts w:eastAsia="Times New Roman" w:cs="Times New Roman"/>
          <w:lang w:val="es-ES" w:eastAsia="ar-SA"/>
        </w:rPr>
        <w:t xml:space="preserve">Tasa de mortalidad materna en 0 en el 2014 en el municipio. </w:t>
      </w:r>
    </w:p>
    <w:p w:rsidR="003A5CCE" w:rsidRPr="009A2496" w:rsidRDefault="003A5CCE" w:rsidP="003A5CCE">
      <w:pPr>
        <w:spacing w:after="200" w:line="240" w:lineRule="auto"/>
        <w:ind w:left="720"/>
        <w:contextualSpacing/>
        <w:jc w:val="both"/>
        <w:rPr>
          <w:rFonts w:eastAsia="Times New Roman" w:cs="Times New Roman"/>
          <w:lang w:val="es-ES" w:eastAsia="ar-SA"/>
        </w:rPr>
      </w:pPr>
    </w:p>
    <w:p w:rsidR="009A2496" w:rsidRPr="009A2496" w:rsidRDefault="009A2496" w:rsidP="00A92D87">
      <w:pPr>
        <w:numPr>
          <w:ilvl w:val="0"/>
          <w:numId w:val="14"/>
        </w:numPr>
        <w:spacing w:after="200" w:line="240" w:lineRule="auto"/>
        <w:jc w:val="both"/>
        <w:rPr>
          <w:rFonts w:eastAsia="Calibri" w:cs="Times New Roman"/>
          <w:b/>
        </w:rPr>
      </w:pPr>
      <w:r w:rsidRPr="009A2496">
        <w:rPr>
          <w:rFonts w:eastAsia="Calibri" w:cs="Times New Roman"/>
          <w:b/>
        </w:rPr>
        <w:t>Impacto</w:t>
      </w:r>
    </w:p>
    <w:p w:rsidR="009A2496" w:rsidRPr="009A2496" w:rsidRDefault="009A2496" w:rsidP="00A92D87">
      <w:pPr>
        <w:numPr>
          <w:ilvl w:val="0"/>
          <w:numId w:val="13"/>
        </w:numPr>
        <w:spacing w:after="200" w:line="240" w:lineRule="auto"/>
        <w:contextualSpacing/>
        <w:jc w:val="both"/>
        <w:rPr>
          <w:rFonts w:eastAsia="Times New Roman" w:cs="Times New Roman"/>
          <w:lang w:val="es-ES" w:eastAsia="ar-SA"/>
        </w:rPr>
      </w:pPr>
      <w:r w:rsidRPr="009A2496">
        <w:rPr>
          <w:rFonts w:eastAsia="Times New Roman" w:cs="Times New Roman"/>
          <w:lang w:val="es-ES" w:eastAsia="ar-SA"/>
        </w:rPr>
        <w:t>Positivo: Mortalidad Materna 0 casos.</w:t>
      </w:r>
    </w:p>
    <w:p w:rsidR="009A2496" w:rsidRPr="009A2496" w:rsidRDefault="009A2496" w:rsidP="00A92D87">
      <w:pPr>
        <w:numPr>
          <w:ilvl w:val="0"/>
          <w:numId w:val="13"/>
        </w:numPr>
        <w:spacing w:after="200" w:line="240" w:lineRule="auto"/>
        <w:contextualSpacing/>
        <w:jc w:val="both"/>
        <w:rPr>
          <w:rFonts w:eastAsia="Times New Roman" w:cs="Times New Roman"/>
          <w:lang w:val="es-ES" w:eastAsia="ar-SA"/>
        </w:rPr>
      </w:pPr>
      <w:r w:rsidRPr="009A2496">
        <w:rPr>
          <w:rFonts w:eastAsia="Times New Roman" w:cs="Times New Roman"/>
          <w:lang w:val="es-ES" w:eastAsia="ar-SA"/>
        </w:rPr>
        <w:t>Positivo: Embarazos en adolescentes con tendencia a la disminución.</w:t>
      </w:r>
    </w:p>
    <w:p w:rsidR="009A2496" w:rsidRDefault="009A2496" w:rsidP="00A92D87">
      <w:pPr>
        <w:numPr>
          <w:ilvl w:val="0"/>
          <w:numId w:val="13"/>
        </w:numPr>
        <w:spacing w:after="200" w:line="240" w:lineRule="auto"/>
        <w:contextualSpacing/>
        <w:jc w:val="both"/>
        <w:rPr>
          <w:rFonts w:eastAsia="Times New Roman" w:cs="Times New Roman"/>
          <w:lang w:val="es-ES" w:eastAsia="ar-SA"/>
        </w:rPr>
      </w:pPr>
      <w:r w:rsidRPr="009A2496">
        <w:rPr>
          <w:rFonts w:eastAsia="Times New Roman" w:cs="Times New Roman"/>
          <w:lang w:val="es-ES" w:eastAsia="ar-SA"/>
        </w:rPr>
        <w:t>Negativo: 1 caso de sífilis congénita.</w:t>
      </w:r>
    </w:p>
    <w:p w:rsidR="003A5CCE" w:rsidRPr="009A2496" w:rsidRDefault="003A5CCE" w:rsidP="003A5CCE">
      <w:pPr>
        <w:spacing w:after="200" w:line="240" w:lineRule="auto"/>
        <w:ind w:left="720"/>
        <w:contextualSpacing/>
        <w:jc w:val="both"/>
        <w:rPr>
          <w:rFonts w:eastAsia="Times New Roman" w:cs="Times New Roman"/>
          <w:lang w:val="es-ES" w:eastAsia="ar-SA"/>
        </w:rPr>
      </w:pPr>
    </w:p>
    <w:p w:rsidR="009A2496" w:rsidRPr="009A2496" w:rsidRDefault="009A2496" w:rsidP="00A92D87">
      <w:pPr>
        <w:numPr>
          <w:ilvl w:val="0"/>
          <w:numId w:val="14"/>
        </w:numPr>
        <w:spacing w:after="200" w:line="240" w:lineRule="auto"/>
        <w:jc w:val="both"/>
        <w:rPr>
          <w:rFonts w:eastAsia="Calibri" w:cs="Times New Roman"/>
          <w:b/>
        </w:rPr>
      </w:pPr>
      <w:r w:rsidRPr="009A2496">
        <w:rPr>
          <w:rFonts w:eastAsia="Calibri" w:cs="Times New Roman"/>
          <w:b/>
        </w:rPr>
        <w:t>Prioridades</w:t>
      </w:r>
    </w:p>
    <w:p w:rsidR="009A2496" w:rsidRPr="009A2496" w:rsidRDefault="009A2496" w:rsidP="003A5CCE">
      <w:pPr>
        <w:spacing w:after="200" w:line="240" w:lineRule="auto"/>
        <w:ind w:left="360"/>
        <w:jc w:val="both"/>
        <w:rPr>
          <w:rFonts w:eastAsia="Calibri" w:cs="Times New Roman"/>
        </w:rPr>
      </w:pPr>
      <w:r w:rsidRPr="009A2496">
        <w:rPr>
          <w:rFonts w:eastAsia="Calibri" w:cs="Times New Roman"/>
        </w:rPr>
        <w:t>Es prioridad para el municipio mantener estos indicadores de impacto fortaleciendo y dando continuidad a los programas y estrategias que permitan la meta de eliminar la sífilis congénita en el Municipio de Pasto, apoyada en la normatividad vigente, la coordinación Institucional e intersectorial y la Movilización Social.</w:t>
      </w:r>
    </w:p>
    <w:p w:rsidR="009A2496" w:rsidRPr="009A2496" w:rsidRDefault="009A2496" w:rsidP="00A92D87">
      <w:pPr>
        <w:numPr>
          <w:ilvl w:val="0"/>
          <w:numId w:val="14"/>
        </w:numPr>
        <w:spacing w:after="200" w:line="240" w:lineRule="auto"/>
        <w:jc w:val="both"/>
        <w:rPr>
          <w:rFonts w:eastAsia="Calibri" w:cs="Times New Roman"/>
          <w:b/>
        </w:rPr>
      </w:pPr>
      <w:r w:rsidRPr="009A2496">
        <w:rPr>
          <w:rFonts w:eastAsia="Calibri" w:cs="Times New Roman"/>
          <w:b/>
        </w:rPr>
        <w:t>Recomendaciones</w:t>
      </w:r>
    </w:p>
    <w:p w:rsidR="009A2496" w:rsidRPr="009A2496" w:rsidRDefault="009A2496" w:rsidP="003A5CCE">
      <w:pPr>
        <w:autoSpaceDE w:val="0"/>
        <w:autoSpaceDN w:val="0"/>
        <w:adjustRightInd w:val="0"/>
        <w:spacing w:after="0" w:line="240" w:lineRule="auto"/>
        <w:ind w:left="360"/>
        <w:jc w:val="both"/>
        <w:rPr>
          <w:rFonts w:eastAsia="Calibri" w:cs="Cambria"/>
          <w:color w:val="1A1A1A"/>
        </w:rPr>
      </w:pPr>
      <w:r w:rsidRPr="009A2496">
        <w:rPr>
          <w:rFonts w:eastAsia="Calibri" w:cs="Times New Roman"/>
        </w:rPr>
        <w:t>Implementar la Política Nacional de Sexualidad, DSDR de Ministerio de Salud y Protección Social en el  Municipio de Pasto.</w:t>
      </w:r>
      <w:r w:rsidRPr="009A2496">
        <w:rPr>
          <w:rFonts w:eastAsia="Calibri" w:cs="Cambria"/>
          <w:color w:val="1A1A1A"/>
        </w:rPr>
        <w:t xml:space="preserve"> </w:t>
      </w:r>
    </w:p>
    <w:p w:rsidR="009A2496" w:rsidRPr="009A2496" w:rsidRDefault="009A2496" w:rsidP="00A92D87">
      <w:pPr>
        <w:autoSpaceDE w:val="0"/>
        <w:autoSpaceDN w:val="0"/>
        <w:adjustRightInd w:val="0"/>
        <w:spacing w:after="0" w:line="240" w:lineRule="auto"/>
        <w:jc w:val="both"/>
        <w:rPr>
          <w:rFonts w:eastAsia="Calibri" w:cs="Cambria"/>
          <w:color w:val="1A1A1A"/>
        </w:rPr>
      </w:pPr>
    </w:p>
    <w:p w:rsidR="009A2496" w:rsidRPr="009A2496" w:rsidRDefault="009A2496" w:rsidP="003A5CCE">
      <w:pPr>
        <w:autoSpaceDE w:val="0"/>
        <w:autoSpaceDN w:val="0"/>
        <w:adjustRightInd w:val="0"/>
        <w:spacing w:after="0" w:line="240" w:lineRule="auto"/>
        <w:ind w:left="360"/>
        <w:jc w:val="both"/>
        <w:rPr>
          <w:rFonts w:eastAsia="Calibri" w:cs="Cambria"/>
          <w:color w:val="1A1A1A"/>
        </w:rPr>
      </w:pPr>
      <w:r w:rsidRPr="009A2496">
        <w:rPr>
          <w:rFonts w:eastAsia="Calibri" w:cs="Cambria"/>
          <w:color w:val="1A1A1A"/>
        </w:rPr>
        <w:t xml:space="preserve">Se requieren acciones para  incrementar el porcentaje de mujeres a quienes se les realiza prueba para detección de sífilis en el control prenatal. Reducir el porcentaje de gestantes con </w:t>
      </w:r>
      <w:r w:rsidRPr="009A2496">
        <w:rPr>
          <w:rFonts w:eastAsia="Calibri" w:cs="Cambria"/>
          <w:color w:val="1A1A1A"/>
        </w:rPr>
        <w:lastRenderedPageBreak/>
        <w:t>pruebas positivas. Incrementar el porcentaje de mujeres que reciben tratamiento antes de las 17 semanas de gestación.</w:t>
      </w:r>
    </w:p>
    <w:p w:rsidR="009A2496" w:rsidRPr="009A2496" w:rsidRDefault="009A2496" w:rsidP="00A92D87">
      <w:pPr>
        <w:autoSpaceDE w:val="0"/>
        <w:autoSpaceDN w:val="0"/>
        <w:adjustRightInd w:val="0"/>
        <w:spacing w:after="0" w:line="240" w:lineRule="auto"/>
        <w:jc w:val="both"/>
        <w:rPr>
          <w:rFonts w:eastAsia="Calibri" w:cs="Cambria"/>
          <w:color w:val="1A1A1A"/>
        </w:rPr>
      </w:pPr>
    </w:p>
    <w:p w:rsidR="009A2496" w:rsidRDefault="009A2496" w:rsidP="003A5CCE">
      <w:pPr>
        <w:spacing w:after="200" w:line="240" w:lineRule="auto"/>
        <w:ind w:firstLine="360"/>
        <w:jc w:val="both"/>
        <w:rPr>
          <w:rFonts w:eastAsia="Calibri" w:cs="Times New Roman"/>
        </w:rPr>
      </w:pPr>
      <w:r w:rsidRPr="009A2496">
        <w:rPr>
          <w:rFonts w:eastAsia="Calibri" w:cs="Times New Roman"/>
        </w:rPr>
        <w:t>Planear y ejecutar POA, SSR con los lineamientos de Plan decenal 2012 – 2021.</w:t>
      </w: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36</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233"/>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736"/>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Cinco primeras causas de morbilidad en niños y niñas</w:t>
            </w:r>
          </w:p>
          <w:p w:rsidR="009A2496" w:rsidRPr="009A2496" w:rsidRDefault="009A2496" w:rsidP="00A92D87">
            <w:pPr>
              <w:spacing w:after="0" w:line="240" w:lineRule="auto"/>
              <w:rPr>
                <w:rFonts w:eastAsia="Calibri" w:cs="Times New Roman"/>
                <w:b/>
                <w:bCs/>
              </w:rPr>
            </w:pPr>
            <w:r w:rsidRPr="009A2496">
              <w:rPr>
                <w:rFonts w:eastAsia="Calibri" w:cs="Times New Roman"/>
                <w:b/>
                <w:bCs/>
              </w:rPr>
              <w:t>(Diferenciar en las de consulta por urgencias y consultas regulares)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Cubos, Ministerio de Salud y Protección Social</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Temas relacionados con el indicador: </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numPr>
          <w:ilvl w:val="0"/>
          <w:numId w:val="15"/>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5"/>
        <w:gridCol w:w="4739"/>
      </w:tblGrid>
      <w:tr w:rsidR="009A2496" w:rsidRPr="009A2496" w:rsidTr="00000F81">
        <w:tc>
          <w:tcPr>
            <w:tcW w:w="4315" w:type="dxa"/>
            <w:shd w:val="clear" w:color="auto" w:fill="auto"/>
          </w:tcPr>
          <w:tbl>
            <w:tblPr>
              <w:tblW w:w="3714" w:type="dxa"/>
              <w:tblBorders>
                <w:top w:val="single" w:sz="8" w:space="0" w:color="4F81BD"/>
                <w:left w:val="single" w:sz="8" w:space="0" w:color="4F81BD"/>
                <w:bottom w:val="single" w:sz="8" w:space="0" w:color="4F81BD"/>
                <w:right w:val="single" w:sz="8" w:space="0" w:color="4F81BD"/>
              </w:tblBorders>
              <w:tblLook w:val="04A0"/>
            </w:tblPr>
            <w:tblGrid>
              <w:gridCol w:w="3085"/>
              <w:gridCol w:w="833"/>
            </w:tblGrid>
            <w:tr w:rsidR="009A2496" w:rsidRPr="009A2496" w:rsidTr="00000F81">
              <w:trPr>
                <w:trHeight w:val="777"/>
              </w:trPr>
              <w:tc>
                <w:tcPr>
                  <w:tcW w:w="3085" w:type="dxa"/>
                  <w:shd w:val="clear" w:color="auto" w:fill="4F81BD"/>
                  <w:noWrap/>
                  <w:hideMark/>
                </w:tcPr>
                <w:p w:rsidR="009A2496" w:rsidRPr="009A2496" w:rsidRDefault="009A2496" w:rsidP="00A92D87">
                  <w:pPr>
                    <w:spacing w:after="0" w:line="240" w:lineRule="auto"/>
                    <w:rPr>
                      <w:rFonts w:eastAsia="Calibri" w:cs="Calibri"/>
                      <w:b/>
                      <w:bCs/>
                      <w:color w:val="FFFFFF"/>
                    </w:rPr>
                  </w:pPr>
                  <w:r w:rsidRPr="009A2496">
                    <w:rPr>
                      <w:rFonts w:eastAsia="Calibri" w:cs="Calibri"/>
                      <w:b/>
                      <w:bCs/>
                      <w:color w:val="FFFFFF"/>
                    </w:rPr>
                    <w:t>Cinco primeras causas de morbilidad en niños y niñas menores de 5 años por consulta externa, 2011</w:t>
                  </w:r>
                </w:p>
              </w:tc>
              <w:tc>
                <w:tcPr>
                  <w:tcW w:w="629" w:type="dxa"/>
                  <w:shd w:val="clear" w:color="auto" w:fill="4F81BD"/>
                  <w:noWrap/>
                  <w:hideMark/>
                </w:tcPr>
                <w:p w:rsidR="009A2496" w:rsidRPr="009A2496" w:rsidRDefault="009A2496" w:rsidP="00A92D87">
                  <w:pPr>
                    <w:spacing w:after="0" w:line="240" w:lineRule="auto"/>
                    <w:rPr>
                      <w:rFonts w:eastAsia="Times New Roman" w:cs="Calibri"/>
                      <w:b/>
                      <w:bCs/>
                      <w:color w:val="FFFFFF"/>
                      <w:lang w:eastAsia="es-CO"/>
                    </w:rPr>
                  </w:pPr>
                  <w:r w:rsidRPr="009A2496">
                    <w:rPr>
                      <w:rFonts w:eastAsia="Times New Roman" w:cs="Calibri"/>
                      <w:b/>
                      <w:bCs/>
                      <w:color w:val="FFFFFF"/>
                      <w:lang w:eastAsia="es-CO"/>
                    </w:rPr>
                    <w:t>Total</w:t>
                  </w:r>
                </w:p>
              </w:tc>
            </w:tr>
            <w:tr w:rsidR="009A2496" w:rsidRPr="009A2496" w:rsidTr="00000F81">
              <w:trPr>
                <w:trHeight w:val="457"/>
              </w:trPr>
              <w:tc>
                <w:tcPr>
                  <w:tcW w:w="3085" w:type="dxa"/>
                  <w:tcBorders>
                    <w:top w:val="single" w:sz="8" w:space="0" w:color="4F81BD"/>
                    <w:left w:val="single" w:sz="8" w:space="0" w:color="4F81BD"/>
                    <w:bottom w:val="single" w:sz="8" w:space="0" w:color="4F81BD"/>
                  </w:tcBorders>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C10 - ENFERMEDADES DEL SISTEMA RESPIRATORIO</w:t>
                  </w:r>
                </w:p>
              </w:tc>
              <w:tc>
                <w:tcPr>
                  <w:tcW w:w="629"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11.808</w:t>
                  </w:r>
                </w:p>
              </w:tc>
            </w:tr>
            <w:tr w:rsidR="009A2496" w:rsidRPr="009A2496" w:rsidTr="00000F81">
              <w:trPr>
                <w:trHeight w:val="404"/>
              </w:trPr>
              <w:tc>
                <w:tcPr>
                  <w:tcW w:w="3085" w:type="dxa"/>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C01 - CIERTAS ENFERMEDADES INFECCIOSAS Y PARASITARIAS</w:t>
                  </w:r>
                </w:p>
              </w:tc>
              <w:tc>
                <w:tcPr>
                  <w:tcW w:w="629" w:type="dxa"/>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8.983</w:t>
                  </w:r>
                </w:p>
              </w:tc>
            </w:tr>
            <w:tr w:rsidR="009A2496" w:rsidRPr="009A2496" w:rsidTr="00000F81">
              <w:trPr>
                <w:trHeight w:val="554"/>
              </w:trPr>
              <w:tc>
                <w:tcPr>
                  <w:tcW w:w="3085" w:type="dxa"/>
                  <w:tcBorders>
                    <w:top w:val="single" w:sz="8" w:space="0" w:color="4F81BD"/>
                    <w:left w:val="single" w:sz="8" w:space="0" w:color="4F81BD"/>
                    <w:bottom w:val="single" w:sz="8" w:space="0" w:color="4F81BD"/>
                  </w:tcBorders>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C12 - ENFERMEDADES DE LA PIEL Y DEL TEJIDO SUBCUTANEO</w:t>
                  </w:r>
                </w:p>
              </w:tc>
              <w:tc>
                <w:tcPr>
                  <w:tcW w:w="629"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3.118</w:t>
                  </w:r>
                </w:p>
              </w:tc>
            </w:tr>
            <w:tr w:rsidR="009A2496" w:rsidRPr="009A2496" w:rsidTr="00000F81">
              <w:trPr>
                <w:trHeight w:val="787"/>
              </w:trPr>
              <w:tc>
                <w:tcPr>
                  <w:tcW w:w="3085" w:type="dxa"/>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C17 - MALFORMACIONES CONGENITAS, DEFORMIDADES Y ANOMALIAS CROSOMICAS</w:t>
                  </w:r>
                </w:p>
              </w:tc>
              <w:tc>
                <w:tcPr>
                  <w:tcW w:w="629" w:type="dxa"/>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3.020</w:t>
                  </w:r>
                </w:p>
              </w:tc>
            </w:tr>
            <w:tr w:rsidR="009A2496" w:rsidRPr="009A2496" w:rsidTr="00000F81">
              <w:trPr>
                <w:trHeight w:val="659"/>
              </w:trPr>
              <w:tc>
                <w:tcPr>
                  <w:tcW w:w="3085" w:type="dxa"/>
                  <w:tcBorders>
                    <w:top w:val="single" w:sz="8" w:space="0" w:color="4F81BD"/>
                    <w:left w:val="single" w:sz="8" w:space="0" w:color="4F81BD"/>
                    <w:bottom w:val="single" w:sz="8" w:space="0" w:color="4F81BD"/>
                  </w:tcBorders>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C11 - ENFERMEDADES DEL SISTEMA DIGESTIVO</w:t>
                  </w:r>
                </w:p>
              </w:tc>
              <w:tc>
                <w:tcPr>
                  <w:tcW w:w="629"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2.833</w:t>
                  </w:r>
                </w:p>
              </w:tc>
            </w:tr>
          </w:tbl>
          <w:p w:rsidR="009A2496" w:rsidRPr="009A2496" w:rsidRDefault="009A2496" w:rsidP="00A92D87">
            <w:pPr>
              <w:spacing w:after="0" w:line="240" w:lineRule="auto"/>
              <w:rPr>
                <w:rFonts w:eastAsia="Calibri" w:cs="Times New Roman"/>
                <w:b/>
                <w:lang w:eastAsia="es-CO"/>
              </w:rPr>
            </w:pPr>
          </w:p>
        </w:tc>
        <w:tc>
          <w:tcPr>
            <w:tcW w:w="4739" w:type="dxa"/>
            <w:shd w:val="clear" w:color="auto" w:fill="auto"/>
          </w:tcPr>
          <w:tbl>
            <w:tblPr>
              <w:tblpPr w:leftFromText="141" w:rightFromText="141" w:vertAnchor="text" w:horzAnchor="margin" w:tblpY="-4341"/>
              <w:tblOverlap w:val="never"/>
              <w:tblW w:w="4503" w:type="dxa"/>
              <w:tblBorders>
                <w:top w:val="single" w:sz="8" w:space="0" w:color="4F81BD"/>
                <w:left w:val="single" w:sz="8" w:space="0" w:color="4F81BD"/>
                <w:bottom w:val="single" w:sz="8" w:space="0" w:color="4F81BD"/>
                <w:right w:val="single" w:sz="8" w:space="0" w:color="4F81BD"/>
              </w:tblBorders>
              <w:tblLook w:val="04A0"/>
            </w:tblPr>
            <w:tblGrid>
              <w:gridCol w:w="3544"/>
              <w:gridCol w:w="959"/>
            </w:tblGrid>
            <w:tr w:rsidR="009A2496" w:rsidRPr="009A2496" w:rsidTr="00000F81">
              <w:trPr>
                <w:trHeight w:val="435"/>
              </w:trPr>
              <w:tc>
                <w:tcPr>
                  <w:tcW w:w="3544" w:type="dxa"/>
                  <w:shd w:val="clear" w:color="auto" w:fill="4F81BD"/>
                  <w:noWrap/>
                  <w:hideMark/>
                </w:tcPr>
                <w:p w:rsidR="009A2496" w:rsidRPr="009A2496" w:rsidRDefault="009A2496" w:rsidP="00A92D87">
                  <w:pPr>
                    <w:spacing w:after="0" w:line="240" w:lineRule="auto"/>
                    <w:rPr>
                      <w:rFonts w:eastAsia="Times New Roman" w:cs="Calibri"/>
                      <w:b/>
                      <w:bCs/>
                      <w:color w:val="FFFFFF"/>
                      <w:lang w:eastAsia="es-CO"/>
                    </w:rPr>
                  </w:pPr>
                  <w:r w:rsidRPr="009A2496">
                    <w:rPr>
                      <w:rFonts w:eastAsia="Calibri" w:cs="Calibri"/>
                      <w:b/>
                      <w:bCs/>
                      <w:color w:val="FFFFFF"/>
                    </w:rPr>
                    <w:t>Cinco primeras causas de morbilidad en niños y niñas menores de 5 años por urgencias, 2011</w:t>
                  </w:r>
                </w:p>
              </w:tc>
              <w:tc>
                <w:tcPr>
                  <w:tcW w:w="959" w:type="dxa"/>
                  <w:shd w:val="clear" w:color="auto" w:fill="4F81BD"/>
                  <w:noWrap/>
                  <w:hideMark/>
                </w:tcPr>
                <w:p w:rsidR="009A2496" w:rsidRPr="009A2496" w:rsidRDefault="009A2496" w:rsidP="00A92D87">
                  <w:pPr>
                    <w:spacing w:after="0" w:line="240" w:lineRule="auto"/>
                    <w:rPr>
                      <w:rFonts w:eastAsia="Times New Roman" w:cs="Calibri"/>
                      <w:b/>
                      <w:bCs/>
                      <w:color w:val="FFFFFF"/>
                      <w:lang w:eastAsia="es-CO"/>
                    </w:rPr>
                  </w:pPr>
                  <w:r w:rsidRPr="009A2496">
                    <w:rPr>
                      <w:rFonts w:eastAsia="Times New Roman" w:cs="Calibri"/>
                      <w:b/>
                      <w:bCs/>
                      <w:color w:val="FFFFFF"/>
                      <w:lang w:eastAsia="es-CO"/>
                    </w:rPr>
                    <w:t>Total</w:t>
                  </w:r>
                </w:p>
              </w:tc>
            </w:tr>
            <w:tr w:rsidR="009A2496" w:rsidRPr="009A2496" w:rsidTr="00000F81">
              <w:trPr>
                <w:trHeight w:val="215"/>
              </w:trPr>
              <w:tc>
                <w:tcPr>
                  <w:tcW w:w="3544" w:type="dxa"/>
                  <w:tcBorders>
                    <w:top w:val="single" w:sz="8" w:space="0" w:color="4F81BD"/>
                    <w:left w:val="single" w:sz="8" w:space="0" w:color="4F81BD"/>
                    <w:bottom w:val="single" w:sz="8" w:space="0" w:color="4F81BD"/>
                  </w:tcBorders>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C10 - ENFERMEDADES DEL SISTEMA RESPIRATORIO</w:t>
                  </w:r>
                </w:p>
              </w:tc>
              <w:tc>
                <w:tcPr>
                  <w:tcW w:w="959"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3.018</w:t>
                  </w:r>
                </w:p>
              </w:tc>
            </w:tr>
            <w:tr w:rsidR="009A2496" w:rsidRPr="009A2496" w:rsidTr="00000F81">
              <w:trPr>
                <w:trHeight w:val="383"/>
              </w:trPr>
              <w:tc>
                <w:tcPr>
                  <w:tcW w:w="3544" w:type="dxa"/>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C01 - CIERTAS ENFERMEDADES INFECCIOSAS Y PARASITARIAS</w:t>
                  </w:r>
                </w:p>
              </w:tc>
              <w:tc>
                <w:tcPr>
                  <w:tcW w:w="959" w:type="dxa"/>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2.643</w:t>
                  </w:r>
                </w:p>
              </w:tc>
            </w:tr>
            <w:tr w:rsidR="009A2496" w:rsidRPr="009A2496" w:rsidTr="00000F81">
              <w:trPr>
                <w:trHeight w:val="915"/>
              </w:trPr>
              <w:tc>
                <w:tcPr>
                  <w:tcW w:w="3544" w:type="dxa"/>
                  <w:tcBorders>
                    <w:top w:val="single" w:sz="8" w:space="0" w:color="4F81BD"/>
                    <w:left w:val="single" w:sz="8" w:space="0" w:color="4F81BD"/>
                    <w:bottom w:val="single" w:sz="8" w:space="0" w:color="4F81BD"/>
                  </w:tcBorders>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C18 - SINTOMAS, SIGNOS Y HALLAZGOS ANORMALES CLINICOS Y DE LABORATORIO, NO CLASIFICADOS EN OTRA PARTE</w:t>
                  </w:r>
                </w:p>
              </w:tc>
              <w:tc>
                <w:tcPr>
                  <w:tcW w:w="959"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1.837</w:t>
                  </w:r>
                </w:p>
              </w:tc>
            </w:tr>
            <w:tr w:rsidR="009A2496" w:rsidRPr="009A2496" w:rsidTr="00000F81">
              <w:trPr>
                <w:trHeight w:val="430"/>
              </w:trPr>
              <w:tc>
                <w:tcPr>
                  <w:tcW w:w="3544" w:type="dxa"/>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C08 - ENFERMEDADES DEL OIDO Y DE LA APOFISIS MASTOIDES</w:t>
                  </w:r>
                </w:p>
              </w:tc>
              <w:tc>
                <w:tcPr>
                  <w:tcW w:w="959" w:type="dxa"/>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585</w:t>
                  </w:r>
                </w:p>
              </w:tc>
            </w:tr>
            <w:tr w:rsidR="009A2496" w:rsidRPr="009A2496" w:rsidTr="00000F81">
              <w:trPr>
                <w:trHeight w:val="600"/>
              </w:trPr>
              <w:tc>
                <w:tcPr>
                  <w:tcW w:w="3544" w:type="dxa"/>
                  <w:tcBorders>
                    <w:top w:val="single" w:sz="8" w:space="0" w:color="4F81BD"/>
                    <w:left w:val="single" w:sz="8" w:space="0" w:color="4F81BD"/>
                    <w:bottom w:val="single" w:sz="8" w:space="0" w:color="4F81BD"/>
                  </w:tcBorders>
                  <w:shd w:val="clear" w:color="auto" w:fill="auto"/>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C19 - TRAUMATISMOS, ENVENENAMIENTOS Y ALGUNAS OTRAS CONSECUENCIAS DE CAUSA EXTERNAS</w:t>
                  </w:r>
                </w:p>
              </w:tc>
              <w:tc>
                <w:tcPr>
                  <w:tcW w:w="959"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580</w:t>
                  </w:r>
                </w:p>
              </w:tc>
            </w:tr>
          </w:tbl>
          <w:p w:rsidR="009A2496" w:rsidRPr="009A2496" w:rsidRDefault="009A2496" w:rsidP="00A92D87">
            <w:pPr>
              <w:spacing w:after="0" w:line="240" w:lineRule="auto"/>
              <w:rPr>
                <w:rFonts w:eastAsia="Calibri" w:cs="Times New Roman"/>
                <w:b/>
                <w:lang w:eastAsia="es-CO"/>
              </w:rPr>
            </w:pPr>
          </w:p>
        </w:tc>
      </w:tr>
    </w:tbl>
    <w:p w:rsidR="009A2496" w:rsidRPr="009A2496" w:rsidRDefault="009A2496" w:rsidP="00A92D87">
      <w:pPr>
        <w:spacing w:after="200" w:line="240" w:lineRule="auto"/>
        <w:rPr>
          <w:rFonts w:eastAsia="Calibri" w:cs="Times New Roman"/>
          <w:i/>
        </w:rPr>
      </w:pPr>
      <w:r w:rsidRPr="009A2496">
        <w:rPr>
          <w:rFonts w:eastAsia="Calibri" w:cs="Times New Roman"/>
          <w:i/>
        </w:rPr>
        <w:t>FUENTE: CUBOS, MINISTERIO DE SALUD Y PROTECCIÓN SOCIAL</w:t>
      </w:r>
    </w:p>
    <w:p w:rsidR="009A2496" w:rsidRDefault="009A2496" w:rsidP="00A92D87">
      <w:pPr>
        <w:spacing w:after="200" w:line="240" w:lineRule="auto"/>
        <w:rPr>
          <w:rFonts w:eastAsia="Calibri" w:cs="Times New Roman"/>
          <w:b/>
        </w:rPr>
      </w:pPr>
    </w:p>
    <w:p w:rsidR="0078472D" w:rsidRDefault="0078472D" w:rsidP="00A92D87">
      <w:pPr>
        <w:spacing w:after="200" w:line="240" w:lineRule="auto"/>
        <w:rPr>
          <w:rFonts w:eastAsia="Calibri"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9A2496" w:rsidRPr="009A2496" w:rsidTr="00000F81">
        <w:tc>
          <w:tcPr>
            <w:tcW w:w="4489" w:type="dxa"/>
            <w:shd w:val="clear" w:color="auto" w:fill="auto"/>
          </w:tcPr>
          <w:tbl>
            <w:tblPr>
              <w:tblW w:w="3559" w:type="dxa"/>
              <w:tblBorders>
                <w:top w:val="single" w:sz="8" w:space="0" w:color="4F81BD"/>
                <w:left w:val="single" w:sz="8" w:space="0" w:color="4F81BD"/>
                <w:bottom w:val="single" w:sz="8" w:space="0" w:color="4F81BD"/>
                <w:right w:val="single" w:sz="8" w:space="0" w:color="4F81BD"/>
              </w:tblBorders>
              <w:tblLook w:val="04A0"/>
            </w:tblPr>
            <w:tblGrid>
              <w:gridCol w:w="2850"/>
              <w:gridCol w:w="833"/>
            </w:tblGrid>
            <w:tr w:rsidR="009A2496" w:rsidRPr="009A2496" w:rsidTr="00000F81">
              <w:trPr>
                <w:trHeight w:val="300"/>
              </w:trPr>
              <w:tc>
                <w:tcPr>
                  <w:tcW w:w="2850" w:type="dxa"/>
                  <w:shd w:val="clear" w:color="auto" w:fill="4F81BD"/>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Calibri" w:cs="Calibri"/>
                      <w:b/>
                      <w:bCs/>
                      <w:color w:val="FFFFFF"/>
                    </w:rPr>
                    <w:t>Cinco primeras causas de morbilidad en niños y niñas menores de 5 años por consulta externa, 2013</w:t>
                  </w:r>
                </w:p>
              </w:tc>
              <w:tc>
                <w:tcPr>
                  <w:tcW w:w="709" w:type="dxa"/>
                  <w:shd w:val="clear" w:color="auto" w:fill="4F81BD"/>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FFFFFF"/>
                      <w:lang w:eastAsia="es-CO"/>
                    </w:rPr>
                    <w:t>Total</w:t>
                  </w:r>
                </w:p>
              </w:tc>
            </w:tr>
            <w:tr w:rsidR="009A2496" w:rsidRPr="009A2496" w:rsidTr="00000F81">
              <w:trPr>
                <w:trHeight w:val="300"/>
              </w:trPr>
              <w:tc>
                <w:tcPr>
                  <w:tcW w:w="2850"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C10 - ENFERMEDADES DEL SISTEMA RESPIRATORIO</w:t>
                  </w:r>
                </w:p>
              </w:tc>
              <w:tc>
                <w:tcPr>
                  <w:tcW w:w="709"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10.784</w:t>
                  </w:r>
                </w:p>
              </w:tc>
            </w:tr>
            <w:tr w:rsidR="009A2496" w:rsidRPr="009A2496" w:rsidTr="00000F81">
              <w:trPr>
                <w:trHeight w:val="300"/>
              </w:trPr>
              <w:tc>
                <w:tcPr>
                  <w:tcW w:w="2850" w:type="dxa"/>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C01 - CIERTAS ENFERMEDADES INFECCIOSAS Y PARASITARIAS</w:t>
                  </w:r>
                </w:p>
              </w:tc>
              <w:tc>
                <w:tcPr>
                  <w:tcW w:w="709" w:type="dxa"/>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8.960</w:t>
                  </w:r>
                </w:p>
              </w:tc>
            </w:tr>
            <w:tr w:rsidR="009A2496" w:rsidRPr="009A2496" w:rsidTr="00000F81">
              <w:trPr>
                <w:trHeight w:val="300"/>
              </w:trPr>
              <w:tc>
                <w:tcPr>
                  <w:tcW w:w="2850"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C11 - ENFERMEDADES DEL SISTEMA DIGESTIVO</w:t>
                  </w:r>
                </w:p>
              </w:tc>
              <w:tc>
                <w:tcPr>
                  <w:tcW w:w="709"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7.729</w:t>
                  </w:r>
                </w:p>
              </w:tc>
            </w:tr>
            <w:tr w:rsidR="009A2496" w:rsidRPr="009A2496" w:rsidTr="00000F81">
              <w:trPr>
                <w:trHeight w:val="300"/>
              </w:trPr>
              <w:tc>
                <w:tcPr>
                  <w:tcW w:w="2850" w:type="dxa"/>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C04 - ENFERMEDADES ENDOCRINAS, NUTRICIONALES Y METABOLICAS</w:t>
                  </w:r>
                </w:p>
              </w:tc>
              <w:tc>
                <w:tcPr>
                  <w:tcW w:w="709" w:type="dxa"/>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4.444</w:t>
                  </w:r>
                </w:p>
              </w:tc>
            </w:tr>
            <w:tr w:rsidR="009A2496" w:rsidRPr="009A2496" w:rsidTr="00000F81">
              <w:trPr>
                <w:trHeight w:val="300"/>
              </w:trPr>
              <w:tc>
                <w:tcPr>
                  <w:tcW w:w="2850"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C17 - MALFORMACIONES CONGENITAS, DEFORMIDADES Y ANOMALIAS CROSOMICAS</w:t>
                  </w:r>
                </w:p>
              </w:tc>
              <w:tc>
                <w:tcPr>
                  <w:tcW w:w="709"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3.713</w:t>
                  </w:r>
                </w:p>
              </w:tc>
            </w:tr>
          </w:tbl>
          <w:p w:rsidR="009A2496" w:rsidRPr="009A2496" w:rsidRDefault="009A2496" w:rsidP="00A92D87">
            <w:pPr>
              <w:spacing w:after="0" w:line="240" w:lineRule="auto"/>
              <w:rPr>
                <w:rFonts w:eastAsia="Calibri" w:cs="Times New Roman"/>
                <w:b/>
                <w:lang w:eastAsia="es-CO"/>
              </w:rPr>
            </w:pPr>
          </w:p>
        </w:tc>
        <w:tc>
          <w:tcPr>
            <w:tcW w:w="4489" w:type="dxa"/>
            <w:shd w:val="clear" w:color="auto" w:fill="auto"/>
          </w:tcPr>
          <w:tbl>
            <w:tblPr>
              <w:tblpPr w:leftFromText="141" w:rightFromText="141" w:vertAnchor="text" w:horzAnchor="margin" w:tblpY="-207"/>
              <w:tblOverlap w:val="never"/>
              <w:tblW w:w="3932" w:type="dxa"/>
              <w:tblBorders>
                <w:top w:val="single" w:sz="8" w:space="0" w:color="4F81BD"/>
                <w:left w:val="single" w:sz="8" w:space="0" w:color="4F81BD"/>
                <w:bottom w:val="single" w:sz="8" w:space="0" w:color="4F81BD"/>
                <w:right w:val="single" w:sz="8" w:space="0" w:color="4F81BD"/>
              </w:tblBorders>
              <w:tblLook w:val="04A0"/>
            </w:tblPr>
            <w:tblGrid>
              <w:gridCol w:w="3201"/>
              <w:gridCol w:w="731"/>
            </w:tblGrid>
            <w:tr w:rsidR="009A2496" w:rsidRPr="009A2496" w:rsidTr="00000F81">
              <w:trPr>
                <w:trHeight w:val="300"/>
              </w:trPr>
              <w:tc>
                <w:tcPr>
                  <w:tcW w:w="3201" w:type="dxa"/>
                  <w:shd w:val="clear" w:color="auto" w:fill="4F81BD"/>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Calibri" w:cs="Calibri"/>
                      <w:b/>
                      <w:bCs/>
                      <w:color w:val="FFFFFF"/>
                    </w:rPr>
                    <w:t>Cinco primeras causas de morbilidad en niños y niñas menores de 5 años por urgencias, 2013</w:t>
                  </w:r>
                </w:p>
              </w:tc>
              <w:tc>
                <w:tcPr>
                  <w:tcW w:w="731" w:type="dxa"/>
                  <w:shd w:val="clear" w:color="auto" w:fill="4F81BD"/>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FFFFFF"/>
                      <w:lang w:eastAsia="es-CO"/>
                    </w:rPr>
                    <w:t>Total</w:t>
                  </w:r>
                </w:p>
              </w:tc>
            </w:tr>
            <w:tr w:rsidR="009A2496" w:rsidRPr="009A2496" w:rsidTr="00000F81">
              <w:trPr>
                <w:trHeight w:val="300"/>
              </w:trPr>
              <w:tc>
                <w:tcPr>
                  <w:tcW w:w="3201"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C10 - ENFERMEDADES DEL SISTEMA RESPIRATORIO</w:t>
                  </w:r>
                </w:p>
              </w:tc>
              <w:tc>
                <w:tcPr>
                  <w:tcW w:w="731"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2.365</w:t>
                  </w:r>
                </w:p>
              </w:tc>
            </w:tr>
            <w:tr w:rsidR="009A2496" w:rsidRPr="009A2496" w:rsidTr="00000F81">
              <w:trPr>
                <w:trHeight w:val="300"/>
              </w:trPr>
              <w:tc>
                <w:tcPr>
                  <w:tcW w:w="3201" w:type="dxa"/>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C01 - CIERTAS ENFERMEDADES INFECCIOSAS Y PARASITARIAS</w:t>
                  </w:r>
                </w:p>
              </w:tc>
              <w:tc>
                <w:tcPr>
                  <w:tcW w:w="731" w:type="dxa"/>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1.446</w:t>
                  </w:r>
                </w:p>
              </w:tc>
            </w:tr>
            <w:tr w:rsidR="009A2496" w:rsidRPr="009A2496" w:rsidTr="00000F81">
              <w:trPr>
                <w:trHeight w:val="300"/>
              </w:trPr>
              <w:tc>
                <w:tcPr>
                  <w:tcW w:w="3201"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C19 - TRAUMATISMOS, ENVENENAMIENTOS Y ALGUNAS OTRAS CONSECUENCIAS DE CAUSA EXTERNAS</w:t>
                  </w:r>
                </w:p>
              </w:tc>
              <w:tc>
                <w:tcPr>
                  <w:tcW w:w="731"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490</w:t>
                  </w:r>
                </w:p>
              </w:tc>
            </w:tr>
            <w:tr w:rsidR="009A2496" w:rsidRPr="009A2496" w:rsidTr="00000F81">
              <w:trPr>
                <w:trHeight w:val="300"/>
              </w:trPr>
              <w:tc>
                <w:tcPr>
                  <w:tcW w:w="3201" w:type="dxa"/>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C08 - ENFERMEDADES DEL OIDO Y DE LA APOFISIS MASTOIDES</w:t>
                  </w:r>
                </w:p>
              </w:tc>
              <w:tc>
                <w:tcPr>
                  <w:tcW w:w="731" w:type="dxa"/>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377</w:t>
                  </w:r>
                </w:p>
              </w:tc>
            </w:tr>
            <w:tr w:rsidR="009A2496" w:rsidRPr="009A2496" w:rsidTr="00000F81">
              <w:trPr>
                <w:trHeight w:val="300"/>
              </w:trPr>
              <w:tc>
                <w:tcPr>
                  <w:tcW w:w="3201"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C12 - ENFERMEDADES DE LA PIEL Y DEL TEJIDO SUBCUTANEO</w:t>
                  </w:r>
                </w:p>
              </w:tc>
              <w:tc>
                <w:tcPr>
                  <w:tcW w:w="731"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269</w:t>
                  </w:r>
                </w:p>
              </w:tc>
            </w:tr>
          </w:tbl>
          <w:p w:rsidR="009A2496" w:rsidRPr="009A2496" w:rsidRDefault="009A2496" w:rsidP="00A92D87">
            <w:pPr>
              <w:spacing w:after="0" w:line="240" w:lineRule="auto"/>
              <w:rPr>
                <w:rFonts w:eastAsia="Calibri" w:cs="Times New Roman"/>
                <w:b/>
                <w:lang w:eastAsia="es-CO"/>
              </w:rPr>
            </w:pPr>
          </w:p>
        </w:tc>
      </w:tr>
    </w:tbl>
    <w:p w:rsidR="009A2496" w:rsidRPr="009A2496" w:rsidRDefault="009A2496" w:rsidP="00A92D87">
      <w:pPr>
        <w:spacing w:after="200" w:line="240" w:lineRule="auto"/>
        <w:rPr>
          <w:rFonts w:eastAsia="Calibri" w:cs="Times New Roman"/>
          <w:i/>
        </w:rPr>
      </w:pPr>
      <w:r w:rsidRPr="009A2496">
        <w:rPr>
          <w:rFonts w:eastAsia="Calibri" w:cs="Times New Roman"/>
          <w:i/>
        </w:rPr>
        <w:t>FUENTE: CUBOS, MINISTERIO DE SALUD Y PROTECCIÓN SOCIAL</w:t>
      </w:r>
    </w:p>
    <w:p w:rsidR="009A2496" w:rsidRPr="009A2496" w:rsidRDefault="009A2496" w:rsidP="00A92D87">
      <w:pPr>
        <w:spacing w:after="200" w:line="240" w:lineRule="auto"/>
        <w:rPr>
          <w:rFonts w:eastAsia="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9A2496" w:rsidRPr="009A2496" w:rsidTr="00000F81">
        <w:tc>
          <w:tcPr>
            <w:tcW w:w="4489" w:type="dxa"/>
            <w:shd w:val="clear" w:color="auto" w:fill="auto"/>
          </w:tcPr>
          <w:tbl>
            <w:tblPr>
              <w:tblpPr w:leftFromText="141" w:rightFromText="141" w:vertAnchor="text" w:horzAnchor="margin" w:tblpY="35"/>
              <w:tblOverlap w:val="never"/>
              <w:tblW w:w="3897" w:type="dxa"/>
              <w:tblBorders>
                <w:top w:val="single" w:sz="8" w:space="0" w:color="4F81BD"/>
                <w:left w:val="single" w:sz="8" w:space="0" w:color="4F81BD"/>
                <w:bottom w:val="single" w:sz="8" w:space="0" w:color="4F81BD"/>
                <w:right w:val="single" w:sz="8" w:space="0" w:color="4F81BD"/>
              </w:tblBorders>
              <w:tblLook w:val="04A0"/>
            </w:tblPr>
            <w:tblGrid>
              <w:gridCol w:w="3227"/>
              <w:gridCol w:w="721"/>
            </w:tblGrid>
            <w:tr w:rsidR="009A2496" w:rsidRPr="009A2496" w:rsidTr="00000F81">
              <w:trPr>
                <w:trHeight w:val="300"/>
              </w:trPr>
              <w:tc>
                <w:tcPr>
                  <w:tcW w:w="3227" w:type="dxa"/>
                  <w:shd w:val="clear" w:color="auto" w:fill="4F81BD"/>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Calibri" w:cs="Calibri"/>
                      <w:b/>
                      <w:bCs/>
                      <w:color w:val="FFFFFF"/>
                    </w:rPr>
                    <w:t>Cinco primeras causas de morbilidad en niños y niñas menores de 5 años por consulta externa, 2014 (preliminar)</w:t>
                  </w:r>
                </w:p>
              </w:tc>
              <w:tc>
                <w:tcPr>
                  <w:tcW w:w="670" w:type="dxa"/>
                  <w:shd w:val="clear" w:color="auto" w:fill="4F81BD"/>
                  <w:noWrap/>
                  <w:hideMark/>
                </w:tcPr>
                <w:p w:rsidR="009A2496" w:rsidRPr="009A2496" w:rsidRDefault="009A2496" w:rsidP="00A92D87">
                  <w:pPr>
                    <w:spacing w:after="0" w:line="240" w:lineRule="auto"/>
                    <w:jc w:val="center"/>
                    <w:rPr>
                      <w:rFonts w:eastAsia="Times New Roman" w:cs="Calibri"/>
                      <w:b/>
                      <w:bCs/>
                      <w:color w:val="000000"/>
                      <w:lang w:eastAsia="es-CO"/>
                    </w:rPr>
                  </w:pPr>
                  <w:r w:rsidRPr="009A2496">
                    <w:rPr>
                      <w:rFonts w:eastAsia="Times New Roman" w:cs="Calibri"/>
                      <w:b/>
                      <w:bCs/>
                      <w:color w:val="FFFFFF"/>
                      <w:lang w:eastAsia="es-CO"/>
                    </w:rPr>
                    <w:t>Total</w:t>
                  </w:r>
                </w:p>
              </w:tc>
            </w:tr>
            <w:tr w:rsidR="009A2496" w:rsidRPr="009A2496" w:rsidTr="00000F81">
              <w:trPr>
                <w:trHeight w:val="300"/>
              </w:trPr>
              <w:tc>
                <w:tcPr>
                  <w:tcW w:w="3227"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C10 - ENFERMEDADES DEL SISTEMA RESPIRATORIO</w:t>
                  </w:r>
                </w:p>
              </w:tc>
              <w:tc>
                <w:tcPr>
                  <w:tcW w:w="670"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7.639</w:t>
                  </w:r>
                </w:p>
              </w:tc>
            </w:tr>
            <w:tr w:rsidR="009A2496" w:rsidRPr="009A2496" w:rsidTr="00000F81">
              <w:trPr>
                <w:trHeight w:val="300"/>
              </w:trPr>
              <w:tc>
                <w:tcPr>
                  <w:tcW w:w="3227" w:type="dxa"/>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C01 - CIERTAS ENFERMEDADES INFECCIOSAS Y PARASITARIAS</w:t>
                  </w:r>
                </w:p>
              </w:tc>
              <w:tc>
                <w:tcPr>
                  <w:tcW w:w="670" w:type="dxa"/>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6.485</w:t>
                  </w:r>
                </w:p>
              </w:tc>
            </w:tr>
            <w:tr w:rsidR="009A2496" w:rsidRPr="009A2496" w:rsidTr="00000F81">
              <w:trPr>
                <w:trHeight w:val="300"/>
              </w:trPr>
              <w:tc>
                <w:tcPr>
                  <w:tcW w:w="3227"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C11 - ENFERMEDADES DEL SISTEMA DIGESTIVO</w:t>
                  </w:r>
                </w:p>
              </w:tc>
              <w:tc>
                <w:tcPr>
                  <w:tcW w:w="670"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4.972</w:t>
                  </w:r>
                </w:p>
              </w:tc>
            </w:tr>
            <w:tr w:rsidR="009A2496" w:rsidRPr="009A2496" w:rsidTr="00000F81">
              <w:trPr>
                <w:trHeight w:val="300"/>
              </w:trPr>
              <w:tc>
                <w:tcPr>
                  <w:tcW w:w="3227" w:type="dxa"/>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C04 - ENFERMEDADES ENDOCRINAS, NUTRICIONALES Y METABOLICAS</w:t>
                  </w:r>
                </w:p>
              </w:tc>
              <w:tc>
                <w:tcPr>
                  <w:tcW w:w="670" w:type="dxa"/>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2.804</w:t>
                  </w:r>
                </w:p>
              </w:tc>
            </w:tr>
            <w:tr w:rsidR="009A2496" w:rsidRPr="009A2496" w:rsidTr="00000F81">
              <w:trPr>
                <w:trHeight w:val="300"/>
              </w:trPr>
              <w:tc>
                <w:tcPr>
                  <w:tcW w:w="3227"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C17 - MALFORMACIONES CONGENITAS, DEFORMIDADES Y ANOMALIAS CROSOMICAS</w:t>
                  </w:r>
                </w:p>
              </w:tc>
              <w:tc>
                <w:tcPr>
                  <w:tcW w:w="670"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right"/>
                    <w:rPr>
                      <w:rFonts w:eastAsia="Times New Roman" w:cs="Calibri"/>
                      <w:b/>
                      <w:color w:val="000000"/>
                      <w:lang w:eastAsia="es-CO"/>
                    </w:rPr>
                  </w:pPr>
                  <w:r w:rsidRPr="009A2496">
                    <w:rPr>
                      <w:rFonts w:eastAsia="Times New Roman" w:cs="Calibri"/>
                      <w:b/>
                      <w:color w:val="000000"/>
                      <w:lang w:eastAsia="es-CO"/>
                    </w:rPr>
                    <w:t>2.563</w:t>
                  </w:r>
                </w:p>
              </w:tc>
            </w:tr>
          </w:tbl>
          <w:p w:rsidR="009A2496" w:rsidRPr="009A2496" w:rsidRDefault="009A2496" w:rsidP="00A92D87">
            <w:pPr>
              <w:spacing w:after="0" w:line="240" w:lineRule="auto"/>
              <w:rPr>
                <w:rFonts w:eastAsia="Calibri" w:cs="Times New Roman"/>
                <w:b/>
                <w:lang w:eastAsia="es-CO"/>
              </w:rPr>
            </w:pPr>
          </w:p>
        </w:tc>
        <w:tc>
          <w:tcPr>
            <w:tcW w:w="4489" w:type="dxa"/>
            <w:shd w:val="clear" w:color="auto" w:fill="auto"/>
          </w:tcPr>
          <w:tbl>
            <w:tblPr>
              <w:tblpPr w:leftFromText="141" w:rightFromText="141" w:vertAnchor="page" w:horzAnchor="margin" w:tblpY="1"/>
              <w:tblOverlap w:val="never"/>
              <w:tblW w:w="4181" w:type="dxa"/>
              <w:tblBorders>
                <w:top w:val="single" w:sz="8" w:space="0" w:color="4F81BD"/>
                <w:left w:val="single" w:sz="8" w:space="0" w:color="4F81BD"/>
                <w:bottom w:val="single" w:sz="8" w:space="0" w:color="4F81BD"/>
                <w:right w:val="single" w:sz="8" w:space="0" w:color="4F81BD"/>
              </w:tblBorders>
              <w:tblLook w:val="04A0"/>
            </w:tblPr>
            <w:tblGrid>
              <w:gridCol w:w="3331"/>
              <w:gridCol w:w="850"/>
            </w:tblGrid>
            <w:tr w:rsidR="009A2496" w:rsidRPr="009A2496" w:rsidTr="00000F81">
              <w:trPr>
                <w:trHeight w:val="300"/>
              </w:trPr>
              <w:tc>
                <w:tcPr>
                  <w:tcW w:w="3331" w:type="dxa"/>
                  <w:shd w:val="clear" w:color="auto" w:fill="4F81BD"/>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Calibri" w:cs="Calibri"/>
                      <w:b/>
                      <w:bCs/>
                      <w:color w:val="FFFFFF"/>
                    </w:rPr>
                    <w:t>Cinco primeras causas de morbilidad en niños y niñas menores de 5 años por urgencias, 2014 (preliminar)</w:t>
                  </w:r>
                </w:p>
              </w:tc>
              <w:tc>
                <w:tcPr>
                  <w:tcW w:w="850" w:type="dxa"/>
                  <w:shd w:val="clear" w:color="auto" w:fill="4F81BD"/>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FFFFFF"/>
                      <w:lang w:eastAsia="es-CO"/>
                    </w:rPr>
                    <w:t>Total</w:t>
                  </w:r>
                </w:p>
              </w:tc>
            </w:tr>
            <w:tr w:rsidR="009A2496" w:rsidRPr="009A2496" w:rsidTr="00000F81">
              <w:trPr>
                <w:trHeight w:val="300"/>
              </w:trPr>
              <w:tc>
                <w:tcPr>
                  <w:tcW w:w="3331"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C10 - ENFERMEDADES DEL SISTEMA RESPIRATORIO</w:t>
                  </w:r>
                </w:p>
              </w:tc>
              <w:tc>
                <w:tcPr>
                  <w:tcW w:w="850"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781</w:t>
                  </w:r>
                </w:p>
              </w:tc>
            </w:tr>
            <w:tr w:rsidR="009A2496" w:rsidRPr="009A2496" w:rsidTr="00000F81">
              <w:trPr>
                <w:trHeight w:val="300"/>
              </w:trPr>
              <w:tc>
                <w:tcPr>
                  <w:tcW w:w="3331" w:type="dxa"/>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C01 - CIERTAS ENFERMEDADES INFECCIOSAS Y PARASITARIAS</w:t>
                  </w:r>
                </w:p>
              </w:tc>
              <w:tc>
                <w:tcPr>
                  <w:tcW w:w="850" w:type="dxa"/>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498</w:t>
                  </w:r>
                </w:p>
              </w:tc>
            </w:tr>
            <w:tr w:rsidR="009A2496" w:rsidRPr="009A2496" w:rsidTr="00000F81">
              <w:trPr>
                <w:trHeight w:val="300"/>
              </w:trPr>
              <w:tc>
                <w:tcPr>
                  <w:tcW w:w="3331"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C19 - TRAUMATISMOS, ENVENENAMIENTOS Y ALGUNAS OTRAS CONSECUENCIAS DE CAUSA EXTERNAS</w:t>
                  </w:r>
                </w:p>
              </w:tc>
              <w:tc>
                <w:tcPr>
                  <w:tcW w:w="850"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212</w:t>
                  </w:r>
                </w:p>
              </w:tc>
            </w:tr>
            <w:tr w:rsidR="009A2496" w:rsidRPr="009A2496" w:rsidTr="00000F81">
              <w:trPr>
                <w:trHeight w:val="300"/>
              </w:trPr>
              <w:tc>
                <w:tcPr>
                  <w:tcW w:w="3331" w:type="dxa"/>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C08 - ENFERMEDADES DEL OIDO Y DE LA APOFISIS MASTOIDES</w:t>
                  </w:r>
                </w:p>
              </w:tc>
              <w:tc>
                <w:tcPr>
                  <w:tcW w:w="850" w:type="dxa"/>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120</w:t>
                  </w:r>
                </w:p>
              </w:tc>
            </w:tr>
            <w:tr w:rsidR="009A2496" w:rsidRPr="009A2496" w:rsidTr="00000F81">
              <w:trPr>
                <w:trHeight w:val="468"/>
              </w:trPr>
              <w:tc>
                <w:tcPr>
                  <w:tcW w:w="3331" w:type="dxa"/>
                  <w:tcBorders>
                    <w:top w:val="single" w:sz="8" w:space="0" w:color="4F81BD"/>
                    <w:left w:val="single" w:sz="8" w:space="0" w:color="4F81BD"/>
                    <w:bottom w:val="single" w:sz="8" w:space="0" w:color="4F81BD"/>
                  </w:tcBorders>
                  <w:shd w:val="clear" w:color="auto" w:fill="auto"/>
                  <w:noWrap/>
                  <w:hideMark/>
                </w:tcPr>
                <w:p w:rsidR="009A2496" w:rsidRPr="009A2496" w:rsidRDefault="009A2496" w:rsidP="00A92D87">
                  <w:pPr>
                    <w:spacing w:after="0" w:line="240" w:lineRule="auto"/>
                    <w:rPr>
                      <w:rFonts w:eastAsia="Times New Roman" w:cs="Calibri"/>
                      <w:b/>
                      <w:bCs/>
                      <w:color w:val="000000"/>
                      <w:lang w:eastAsia="es-CO"/>
                    </w:rPr>
                  </w:pPr>
                  <w:r w:rsidRPr="009A2496">
                    <w:rPr>
                      <w:rFonts w:eastAsia="Times New Roman" w:cs="Calibri"/>
                      <w:b/>
                      <w:bCs/>
                      <w:color w:val="000000"/>
                      <w:lang w:eastAsia="es-CO"/>
                    </w:rPr>
                    <w:t>C11 - ENFERMEDADES DEL SISTEMA DIGESTIVO</w:t>
                  </w:r>
                </w:p>
              </w:tc>
              <w:tc>
                <w:tcPr>
                  <w:tcW w:w="850" w:type="dxa"/>
                  <w:tcBorders>
                    <w:top w:val="single" w:sz="8" w:space="0" w:color="4F81BD"/>
                    <w:bottom w:val="single" w:sz="8" w:space="0" w:color="4F81BD"/>
                    <w:right w:val="single" w:sz="8" w:space="0" w:color="4F81BD"/>
                  </w:tcBorders>
                  <w:shd w:val="clear" w:color="auto" w:fill="auto"/>
                  <w:noWrap/>
                  <w:hideMark/>
                </w:tcPr>
                <w:p w:rsidR="009A2496" w:rsidRPr="009A2496" w:rsidRDefault="009A2496" w:rsidP="00A92D87">
                  <w:pPr>
                    <w:spacing w:after="0" w:line="240" w:lineRule="auto"/>
                    <w:jc w:val="center"/>
                    <w:rPr>
                      <w:rFonts w:eastAsia="Times New Roman" w:cs="Calibri"/>
                      <w:b/>
                      <w:color w:val="000000"/>
                      <w:lang w:eastAsia="es-CO"/>
                    </w:rPr>
                  </w:pPr>
                  <w:r w:rsidRPr="009A2496">
                    <w:rPr>
                      <w:rFonts w:eastAsia="Times New Roman" w:cs="Calibri"/>
                      <w:b/>
                      <w:color w:val="000000"/>
                      <w:lang w:eastAsia="es-CO"/>
                    </w:rPr>
                    <w:t>105</w:t>
                  </w:r>
                </w:p>
              </w:tc>
            </w:tr>
          </w:tbl>
          <w:p w:rsidR="009A2496" w:rsidRPr="009A2496" w:rsidRDefault="009A2496" w:rsidP="00A92D87">
            <w:pPr>
              <w:spacing w:after="0" w:line="240" w:lineRule="auto"/>
              <w:rPr>
                <w:rFonts w:eastAsia="Calibri" w:cs="Times New Roman"/>
                <w:b/>
                <w:lang w:eastAsia="es-CO"/>
              </w:rPr>
            </w:pPr>
          </w:p>
        </w:tc>
      </w:tr>
    </w:tbl>
    <w:p w:rsidR="009A2496" w:rsidRPr="009A2496" w:rsidRDefault="009A2496" w:rsidP="00A92D87">
      <w:pPr>
        <w:spacing w:after="200" w:line="240" w:lineRule="auto"/>
        <w:rPr>
          <w:rFonts w:eastAsia="Calibri" w:cs="Times New Roman"/>
        </w:rPr>
      </w:pPr>
      <w:r w:rsidRPr="009A2496">
        <w:rPr>
          <w:rFonts w:eastAsia="Calibri" w:cs="Times New Roman"/>
          <w:i/>
        </w:rPr>
        <w:t>FUENTE: CUBOS, MINISTERIO DE SALUD Y PROTECCIÓN SOCIAL</w:t>
      </w:r>
    </w:p>
    <w:p w:rsidR="009A2496" w:rsidRPr="009A2496" w:rsidRDefault="009A2496" w:rsidP="00A92D87">
      <w:pPr>
        <w:spacing w:after="0" w:line="240" w:lineRule="auto"/>
        <w:rPr>
          <w:rFonts w:eastAsia="Calibri" w:cs="Times New Roman"/>
        </w:rPr>
      </w:pPr>
    </w:p>
    <w:p w:rsidR="009A2496" w:rsidRPr="003A5CCE" w:rsidRDefault="003A5CCE" w:rsidP="003A5CCE">
      <w:pPr>
        <w:ind w:left="360"/>
        <w:jc w:val="both"/>
        <w:rPr>
          <w:b/>
        </w:rPr>
      </w:pPr>
      <w:r>
        <w:rPr>
          <w:b/>
        </w:rPr>
        <w:t xml:space="preserve">2. </w:t>
      </w:r>
      <w:r w:rsidR="009A2496" w:rsidRPr="003A5CCE">
        <w:rPr>
          <w:b/>
        </w:rPr>
        <w:t>Situación detectada</w:t>
      </w:r>
    </w:p>
    <w:p w:rsidR="009A2496" w:rsidRPr="009A2496" w:rsidRDefault="009A2496" w:rsidP="003A5CCE">
      <w:pPr>
        <w:spacing w:after="200" w:line="240" w:lineRule="auto"/>
        <w:ind w:left="360"/>
        <w:jc w:val="both"/>
        <w:rPr>
          <w:rFonts w:eastAsia="Calibri" w:cs="Times New Roman"/>
        </w:rPr>
      </w:pPr>
      <w:r w:rsidRPr="009A2496">
        <w:rPr>
          <w:rFonts w:eastAsia="Calibri" w:cs="Times New Roman"/>
        </w:rPr>
        <w:t xml:space="preserve">Dentro de las causas principales de morbilidad en los niños y niñas menores de cinco años, se reflejan las enfermedades del aparato respiratorio en el trascurso de los años 2011 a 2014. </w:t>
      </w:r>
    </w:p>
    <w:p w:rsidR="009A2496" w:rsidRPr="009A2496" w:rsidRDefault="009A2496" w:rsidP="003A5CCE">
      <w:pPr>
        <w:spacing w:after="200" w:line="240" w:lineRule="auto"/>
        <w:ind w:left="360"/>
        <w:jc w:val="both"/>
        <w:rPr>
          <w:rFonts w:eastAsia="Calibri" w:cs="Times New Roman"/>
          <w:lang w:val="es-ES"/>
        </w:rPr>
      </w:pPr>
      <w:r w:rsidRPr="009A2496">
        <w:rPr>
          <w:rFonts w:eastAsia="Calibri" w:cs="Times New Roman"/>
          <w:lang w:val="es-ES"/>
        </w:rPr>
        <w:t xml:space="preserve">Lo cual orienta y dirige el trabajo a mantener y fortalecer </w:t>
      </w:r>
      <w:r w:rsidR="0018323F" w:rsidRPr="009A2496">
        <w:rPr>
          <w:rFonts w:eastAsia="Calibri" w:cs="Times New Roman"/>
          <w:lang w:val="es-ES"/>
        </w:rPr>
        <w:t>los programas maternos infantiles: riesgo</w:t>
      </w:r>
      <w:r w:rsidRPr="009A2496">
        <w:rPr>
          <w:rFonts w:eastAsia="Calibri" w:cs="Times New Roman"/>
          <w:lang w:val="es-ES"/>
        </w:rPr>
        <w:t xml:space="preserve"> preconcepcional, control prenatal, parto y posparto, Estrategia AIEPI, Minuto de ORO, crecimiento y desarrollo y en mejorar la seguridad nutricional de las familias. </w:t>
      </w:r>
    </w:p>
    <w:p w:rsidR="009A2496" w:rsidRPr="003A5CCE" w:rsidRDefault="003A5CCE" w:rsidP="003A5CCE">
      <w:pPr>
        <w:ind w:firstLine="360"/>
        <w:rPr>
          <w:b/>
        </w:rPr>
      </w:pPr>
      <w:r w:rsidRPr="003A5CCE">
        <w:rPr>
          <w:b/>
        </w:rPr>
        <w:t xml:space="preserve">3. </w:t>
      </w:r>
      <w:r w:rsidR="009A2496" w:rsidRPr="003A5CCE">
        <w:rPr>
          <w:b/>
        </w:rPr>
        <w:t>Insumos</w:t>
      </w:r>
    </w:p>
    <w:p w:rsidR="009A2496" w:rsidRPr="009A2496" w:rsidRDefault="009A2496" w:rsidP="003A5CCE">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Dentro del Plan de Desarrollo Municipal “Pasto: Transformación productiva”, se encuentra contemplado éste indicador, con el fin de disminuir la mortalidad en niños y niñas menores de 5 año.  La Secretaría de Salud Municipal cuenta con un equipo de cuatro contratistas que conforman prioridad de salud infantil (tres enfermeras y un médico) y una funcionaria de planta como Coordinadora de la prioridad, para la ejecución de acciones relacionadas con propender la salud de los niños y niñas del Municipio,  desarrollando actividades de articulación intersectorial, seguimiento, evaluación y asistencia técnica a IPS y EPS,  fortalecimiento de la estrategia AIEPI en el componente clínico y comunitario y la implementación del Plan de Salud Pública de Intervenciones Colectivas. </w:t>
      </w:r>
      <w:r w:rsidR="003A5CCE">
        <w:rPr>
          <w:rFonts w:eastAsia="Times New Roman" w:cs="Times New Roman"/>
          <w:lang w:val="es-ES" w:eastAsia="ar-SA"/>
        </w:rPr>
        <w:t xml:space="preserve"> </w:t>
      </w:r>
      <w:r w:rsidRPr="009A2496">
        <w:rPr>
          <w:rFonts w:eastAsia="Times New Roman" w:cs="Times New Roman"/>
          <w:lang w:val="es-ES" w:eastAsia="ar-SA"/>
        </w:rPr>
        <w:t>Adicionalmente se cuenta con un equipo de Unidades Centinelas en algunas zonas del área rural como apoyo a la comunidad.</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3A5CCE" w:rsidRDefault="009A2496" w:rsidP="003A5CCE">
      <w:pPr>
        <w:pStyle w:val="Prrafodelista"/>
        <w:numPr>
          <w:ilvl w:val="0"/>
          <w:numId w:val="41"/>
        </w:numPr>
        <w:jc w:val="both"/>
        <w:rPr>
          <w:b/>
        </w:rPr>
      </w:pPr>
      <w:r w:rsidRPr="003A5CCE">
        <w:rPr>
          <w:b/>
        </w:rPr>
        <w:t>Programas, Proyectos y Acciones para mejorar la situación del indicador (2012 -2015)</w:t>
      </w:r>
    </w:p>
    <w:p w:rsidR="009A2496" w:rsidRPr="009A2496" w:rsidRDefault="009A2496" w:rsidP="003A5CCE">
      <w:pPr>
        <w:spacing w:after="200" w:line="240" w:lineRule="auto"/>
        <w:ind w:left="360"/>
        <w:jc w:val="both"/>
        <w:rPr>
          <w:rFonts w:eastAsia="Calibri" w:cs="Arial"/>
        </w:rPr>
      </w:pPr>
      <w:r w:rsidRPr="009A2496">
        <w:rPr>
          <w:rFonts w:eastAsia="Calibri" w:cs="Times New Roman"/>
        </w:rPr>
        <w:t xml:space="preserve">El municipio de Pasto, a través de la Secretaría de Salud, se ejecuta un proyecto denominado “NIÑOS Y NIÑAS SALUDABLES DEL MUNICIPIO DE </w:t>
      </w:r>
      <w:r w:rsidRPr="009A2496">
        <w:rPr>
          <w:rFonts w:eastAsia="Calibri" w:cs="Arial"/>
        </w:rPr>
        <w:t>PASTO” que busca lograr la articulación entre los actores inter e intrainstitucionales que intervienen en la Salud infantil, y el seguimiento, evaluación y asistencia técnica a EPS e IPS con el fin de verificar la adherencia a guías, normas, estrategias y protocolos.</w:t>
      </w:r>
    </w:p>
    <w:p w:rsidR="009A2496" w:rsidRPr="009A2496" w:rsidRDefault="009A2496" w:rsidP="003A5CCE">
      <w:pPr>
        <w:spacing w:after="200" w:line="240" w:lineRule="auto"/>
        <w:ind w:left="360"/>
        <w:jc w:val="both"/>
        <w:rPr>
          <w:rFonts w:eastAsia="Calibri" w:cs="Arial"/>
        </w:rPr>
      </w:pPr>
      <w:r w:rsidRPr="009A2496">
        <w:rPr>
          <w:rFonts w:eastAsia="Calibri" w:cs="Arial"/>
        </w:rPr>
        <w:t>Además se aplica la Ruta de atención a la primera infancia e infancia enfocado a orientar y mejorar las actividades relacionadas con la salud infantil de nuestro Municipio.</w:t>
      </w:r>
    </w:p>
    <w:p w:rsidR="009A2496" w:rsidRPr="009A2496" w:rsidRDefault="009A2496" w:rsidP="003A5CCE">
      <w:pPr>
        <w:spacing w:after="200" w:line="240" w:lineRule="auto"/>
        <w:ind w:left="360"/>
        <w:jc w:val="both"/>
        <w:rPr>
          <w:rFonts w:eastAsia="Calibri" w:cs="Arial"/>
        </w:rPr>
      </w:pPr>
      <w:r w:rsidRPr="009A2496">
        <w:rPr>
          <w:rFonts w:eastAsia="Calibri" w:cs="Arial"/>
        </w:rPr>
        <w:t>También se desarrolla el Plan de Intervenciones colectivas, a través del cual se ejecuta actividades de articulación y empoderamiento de la salud con la comunidad.</w:t>
      </w:r>
    </w:p>
    <w:p w:rsidR="009A2496" w:rsidRPr="00DF63E8" w:rsidRDefault="009A2496" w:rsidP="00DF63E8">
      <w:pPr>
        <w:pStyle w:val="Prrafodelista"/>
        <w:numPr>
          <w:ilvl w:val="0"/>
          <w:numId w:val="41"/>
        </w:numPr>
        <w:jc w:val="both"/>
        <w:rPr>
          <w:b/>
        </w:rPr>
      </w:pPr>
      <w:r w:rsidRPr="00DF63E8">
        <w:rPr>
          <w:b/>
        </w:rPr>
        <w:t>Productos</w:t>
      </w:r>
    </w:p>
    <w:p w:rsidR="009A2496" w:rsidRPr="009A2496" w:rsidRDefault="009A2496" w:rsidP="00A92D87">
      <w:pPr>
        <w:suppressAutoHyphens/>
        <w:spacing w:after="0" w:line="240" w:lineRule="auto"/>
        <w:ind w:left="360"/>
        <w:contextualSpacing/>
        <w:jc w:val="both"/>
        <w:rPr>
          <w:rFonts w:eastAsia="Times New Roman" w:cs="Arial"/>
          <w:color w:val="000000"/>
          <w:lang w:val="es-ES" w:eastAsia="ar-SA"/>
        </w:rPr>
      </w:pPr>
    </w:p>
    <w:p w:rsidR="009A2496" w:rsidRPr="009A2496" w:rsidRDefault="009A2496" w:rsidP="00A92D87">
      <w:pPr>
        <w:numPr>
          <w:ilvl w:val="0"/>
          <w:numId w:val="1"/>
        </w:numPr>
        <w:spacing w:after="0" w:line="240" w:lineRule="auto"/>
        <w:contextualSpacing/>
        <w:jc w:val="both"/>
        <w:rPr>
          <w:rFonts w:eastAsia="Times New Roman" w:cs="Arial"/>
          <w:b/>
          <w:bCs/>
          <w:color w:val="000000"/>
          <w:lang w:val="es-ES_tradnl" w:eastAsia="es-ES"/>
        </w:rPr>
      </w:pPr>
      <w:r w:rsidRPr="009A2496">
        <w:rPr>
          <w:rFonts w:eastAsia="Times New Roman" w:cs="Arial"/>
          <w:color w:val="000000"/>
          <w:lang w:val="es-ES" w:eastAsia="ar-SA"/>
        </w:rPr>
        <w:t>Política pública Municipal de primera infancia e infancia operando.</w:t>
      </w:r>
    </w:p>
    <w:p w:rsidR="009A2496" w:rsidRDefault="009A2496" w:rsidP="00A92D87">
      <w:pPr>
        <w:numPr>
          <w:ilvl w:val="0"/>
          <w:numId w:val="1"/>
        </w:numPr>
        <w:spacing w:after="0" w:line="240" w:lineRule="auto"/>
        <w:jc w:val="both"/>
        <w:rPr>
          <w:rFonts w:eastAsia="Calibri" w:cs="Arial"/>
          <w:color w:val="000000"/>
        </w:rPr>
      </w:pPr>
      <w:r w:rsidRPr="009A2496">
        <w:rPr>
          <w:rFonts w:eastAsia="Calibri" w:cs="Arial"/>
          <w:color w:val="000000"/>
        </w:rPr>
        <w:t>Lograda la adherencia a guías, normas técnicas y estrategias relacionadas con la Salud infantil del Municipio.</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 xml:space="preserve">Implementada la estrategia de movilización social para el empoderamiento de la comunidad. </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t>Ruta de atención integral a la primera infancia e infancia</w:t>
      </w:r>
    </w:p>
    <w:p w:rsidR="009A2496" w:rsidRPr="009A2496" w:rsidRDefault="009A2496" w:rsidP="00A92D87">
      <w:pPr>
        <w:numPr>
          <w:ilvl w:val="0"/>
          <w:numId w:val="1"/>
        </w:numPr>
        <w:spacing w:after="0" w:line="240" w:lineRule="auto"/>
        <w:jc w:val="both"/>
        <w:rPr>
          <w:rFonts w:eastAsia="Calibri" w:cs="Arial"/>
          <w:b/>
        </w:rPr>
      </w:pPr>
      <w:r w:rsidRPr="009A2496">
        <w:rPr>
          <w:rFonts w:eastAsia="Calibri" w:cs="Arial"/>
          <w:color w:val="000000"/>
        </w:rPr>
        <w:lastRenderedPageBreak/>
        <w:t>Componente AIEPI comunitario fortalecido a través de capacitaciones a actores sociales.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DF63E8">
      <w:pPr>
        <w:numPr>
          <w:ilvl w:val="0"/>
          <w:numId w:val="4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Política pública Municipal de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Ruta de atención integral a la primera infancia e infancia</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Estrategia AIEPI operando en IPS públicas y privadas</w:t>
      </w:r>
    </w:p>
    <w:p w:rsidR="009A2496" w:rsidRPr="009A2496" w:rsidRDefault="009A2496" w:rsidP="00A92D87">
      <w:pPr>
        <w:numPr>
          <w:ilvl w:val="0"/>
          <w:numId w:val="2"/>
        </w:numPr>
        <w:spacing w:after="0" w:line="240" w:lineRule="auto"/>
        <w:contextualSpacing/>
        <w:jc w:val="both"/>
        <w:rPr>
          <w:rFonts w:eastAsia="Times New Roman" w:cs="Times New Roman"/>
          <w:lang w:val="es-ES" w:eastAsia="ar-SA"/>
        </w:rPr>
      </w:pPr>
      <w:r w:rsidRPr="009A2496">
        <w:rPr>
          <w:rFonts w:eastAsia="Times New Roman" w:cs="Times New Roman"/>
          <w:lang w:val="es-ES" w:eastAsia="ar-SA"/>
        </w:rPr>
        <w:t>Unidades Centinelas (11) operando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DF63E8" w:rsidRDefault="009A2496" w:rsidP="00DF63E8">
      <w:pPr>
        <w:pStyle w:val="Prrafodelista"/>
        <w:numPr>
          <w:ilvl w:val="0"/>
          <w:numId w:val="41"/>
        </w:numPr>
        <w:jc w:val="both"/>
        <w:rPr>
          <w:b/>
        </w:rPr>
      </w:pPr>
      <w:r w:rsidRPr="00DF63E8">
        <w:rPr>
          <w:b/>
        </w:rPr>
        <w:t>Impacto</w:t>
      </w:r>
    </w:p>
    <w:p w:rsidR="009A2496" w:rsidRPr="009A2496" w:rsidRDefault="009A2496" w:rsidP="00DF63E8">
      <w:pPr>
        <w:suppressAutoHyphens/>
        <w:spacing w:after="0" w:line="240" w:lineRule="auto"/>
        <w:ind w:left="708"/>
        <w:contextualSpacing/>
        <w:jc w:val="both"/>
        <w:rPr>
          <w:rFonts w:eastAsia="Times New Roman" w:cs="Times New Roman"/>
          <w:lang w:val="es-ES" w:eastAsia="ar-SA"/>
        </w:rPr>
      </w:pPr>
      <w:r w:rsidRPr="009A2496">
        <w:rPr>
          <w:rFonts w:eastAsia="Times New Roman" w:cs="Times New Roman"/>
          <w:lang w:val="es-ES" w:eastAsia="ar-SA"/>
        </w:rPr>
        <w:t xml:space="preserve">Positivo: Se evidencian avances en la Estrategia AIEPI en las IPS públicas y privadas.  El trabajo comunitario con la estrategia y las Unidades centinelas se ha evidenciado en los indicadores de mortalidad y morbilidad, y en el conocimiento de los aspectos con la salud infantil.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DF63E8">
      <w:pPr>
        <w:numPr>
          <w:ilvl w:val="0"/>
          <w:numId w:val="4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DF63E8">
      <w:pPr>
        <w:spacing w:after="0" w:line="240" w:lineRule="auto"/>
        <w:ind w:left="360"/>
        <w:jc w:val="both"/>
        <w:rPr>
          <w:rFonts w:eastAsia="Calibri" w:cs="Times New Roman"/>
        </w:rPr>
      </w:pPr>
      <w:r w:rsidRPr="009A2496">
        <w:rPr>
          <w:rFonts w:eastAsia="Calibri" w:cs="Times New Roman"/>
        </w:rPr>
        <w:t>Es importante fortalecer la articulación interinstitucional, con el fin de continuar aunando esfuerzos para evitar que los niños y niñas se nos mueran por enfermedades prevenibles.  Esto se logra trabajando de la mano con las IPS, EPS y con la comunidad en general, para que reconozcan los signos de peligro y acudan oportunamente a los centros de salud más cercanos.</w:t>
      </w:r>
    </w:p>
    <w:p w:rsidR="009A2496" w:rsidRPr="009A2496" w:rsidRDefault="009A2496" w:rsidP="00A92D87">
      <w:pPr>
        <w:spacing w:after="0" w:line="240" w:lineRule="auto"/>
        <w:jc w:val="both"/>
        <w:rPr>
          <w:rFonts w:eastAsia="Calibri" w:cs="Times New Roman"/>
        </w:rPr>
      </w:pPr>
    </w:p>
    <w:p w:rsidR="009A2496" w:rsidRPr="009A2496" w:rsidRDefault="009A2496" w:rsidP="00DF63E8">
      <w:pPr>
        <w:spacing w:after="0" w:line="240" w:lineRule="auto"/>
        <w:ind w:left="360"/>
        <w:jc w:val="both"/>
        <w:rPr>
          <w:rFonts w:eastAsia="Calibri" w:cs="Times New Roman"/>
        </w:rPr>
      </w:pPr>
      <w:r w:rsidRPr="009A2496">
        <w:rPr>
          <w:rFonts w:eastAsia="Calibri" w:cs="Times New Roman"/>
          <w:color w:val="000000"/>
          <w:lang w:val="es-ES_tradnl"/>
        </w:rPr>
        <w:t xml:space="preserve">Algunos aspectos como los bajos recursos económicos, factores culturales y educativos, pueden generar un impacto negativo, es por eso que el trabajo se debe enfocar en la educación a la comunidad a través del AIEPI Comunitario y la adecuada priorización de problemas para una oportuna intervención de los mismos. Es importante reconocer que la salud infantil empieza desde la preconcepción hasta los cinco años, por lo tanto dichas actividades se deben implementar desde las mujeres en edad fértil, gestación, parto, posparto y en el nacimiento hasta los 5 años.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DF63E8">
      <w:pPr>
        <w:numPr>
          <w:ilvl w:val="0"/>
          <w:numId w:val="4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DF63E8">
      <w:pPr>
        <w:spacing w:after="200" w:line="240" w:lineRule="auto"/>
        <w:ind w:left="360"/>
        <w:jc w:val="both"/>
        <w:rPr>
          <w:rFonts w:eastAsia="Calibri" w:cs="Times New Roman"/>
        </w:rPr>
      </w:pPr>
      <w:r w:rsidRPr="009A2496">
        <w:rPr>
          <w:rFonts w:eastAsia="Calibri" w:cs="Times New Roman"/>
        </w:rPr>
        <w:t xml:space="preserve">Se debe continuar trabajando en el seguimiento, evaluación y asistencia técnica con el fin de vigilar que las normas, guías, protocolos y estrategias se estén aplicando satisfactoriamente. </w:t>
      </w:r>
    </w:p>
    <w:p w:rsidR="009A2496" w:rsidRPr="009A2496" w:rsidRDefault="009A2496" w:rsidP="00DF63E8">
      <w:pPr>
        <w:spacing w:after="200" w:line="240" w:lineRule="auto"/>
        <w:ind w:left="360"/>
        <w:jc w:val="both"/>
        <w:rPr>
          <w:rFonts w:eastAsia="Calibri" w:cs="Times New Roman"/>
        </w:rPr>
      </w:pPr>
      <w:r w:rsidRPr="009A2496">
        <w:rPr>
          <w:rFonts w:eastAsia="Calibri" w:cs="Times New Roman"/>
        </w:rPr>
        <w:t xml:space="preserve">Dentro del mejoramiento de la calidad de atención es necesario fortalecer la aplicación de la Estrategia AIEPI, y en el componente comunitario las Unidades Centinelas, siendo ellas las primeras promotoras de la educación con la comunidad, y el puente de articulación con la prestación, en el marco de la referencia y contrareferencia. </w:t>
      </w:r>
    </w:p>
    <w:p w:rsidR="009A2496" w:rsidRPr="009A2496" w:rsidRDefault="009A2496" w:rsidP="00DF63E8">
      <w:pPr>
        <w:spacing w:after="200" w:line="240" w:lineRule="auto"/>
        <w:ind w:left="360"/>
        <w:jc w:val="both"/>
        <w:rPr>
          <w:rFonts w:eastAsia="Calibri" w:cs="Times New Roman"/>
        </w:rPr>
      </w:pPr>
      <w:r w:rsidRPr="009A2496">
        <w:rPr>
          <w:rFonts w:eastAsia="Calibri" w:cs="Times New Roman"/>
        </w:rPr>
        <w:t xml:space="preserve">De igual manera, la ruta de atención integral a la primera infancia e infancia, es una estrategia clave para orientar el trabajo de las EPS, IPS y actores sociales que intervienen en la misma, y garantizar la mejor atención a los niños y niñas de nuestro Municipio. </w:t>
      </w:r>
    </w:p>
    <w:p w:rsidR="009A2496" w:rsidRDefault="009A2496" w:rsidP="00A92D87">
      <w:pPr>
        <w:spacing w:after="200" w:line="240" w:lineRule="auto"/>
        <w:jc w:val="both"/>
        <w:rPr>
          <w:rFonts w:eastAsia="Calibri" w:cs="Times New Roman"/>
        </w:rPr>
      </w:pPr>
    </w:p>
    <w:p w:rsidR="00000F81" w:rsidRPr="009A2496" w:rsidRDefault="00000F81" w:rsidP="00A92D87">
      <w:pPr>
        <w:spacing w:after="200" w:line="240" w:lineRule="auto"/>
        <w:jc w:val="both"/>
        <w:rPr>
          <w:rFonts w:eastAsia="Calibri" w:cs="Times New Roman"/>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9A2496">
        <w:rPr>
          <w:rFonts w:eastAsia="Calibri" w:cs="Times New Roman"/>
          <w:b/>
          <w:i/>
          <w:iCs/>
        </w:rPr>
        <w:t>DESCRIPCIÓN DEL INDICADOR No. 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233"/>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95"/>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muertes por causas externas en niños, niñas y adolescentes</w:t>
            </w:r>
          </w:p>
        </w:tc>
      </w:tr>
      <w:tr w:rsidR="009A2496" w:rsidRPr="009A2496" w:rsidTr="00000F81">
        <w:trPr>
          <w:trHeight w:val="663"/>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OBSERVATORIO DEL DELITO MUNICIPIO DE PASTO</w:t>
            </w:r>
          </w:p>
        </w:tc>
      </w:tr>
      <w:tr w:rsidR="009A2496" w:rsidRPr="009A2496" w:rsidTr="00000F81">
        <w:trPr>
          <w:trHeight w:val="10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186"/>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bl>
    <w:p w:rsidR="009A2496" w:rsidRPr="009A2496" w:rsidRDefault="009A2496" w:rsidP="00A92D87">
      <w:pPr>
        <w:suppressAutoHyphens/>
        <w:spacing w:after="0" w:line="240" w:lineRule="auto"/>
        <w:ind w:left="360"/>
        <w:contextualSpacing/>
        <w:rPr>
          <w:rFonts w:eastAsia="Times New Roman" w:cs="Times New Roman"/>
          <w:b/>
          <w:lang w:val="es-ES" w:eastAsia="ar-SA"/>
        </w:rPr>
      </w:pPr>
    </w:p>
    <w:p w:rsidR="009A2496" w:rsidRPr="009A2496" w:rsidRDefault="009A2496" w:rsidP="00A92D87">
      <w:pPr>
        <w:numPr>
          <w:ilvl w:val="0"/>
          <w:numId w:val="17"/>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1080"/>
        <w:contextualSpacing/>
        <w:rPr>
          <w:rFonts w:eastAsia="Times New Roman" w:cs="Times New Roman"/>
          <w:b/>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9"/>
        <w:gridCol w:w="1723"/>
        <w:gridCol w:w="1724"/>
        <w:gridCol w:w="1724"/>
        <w:gridCol w:w="1724"/>
      </w:tblGrid>
      <w:tr w:rsidR="009A2496" w:rsidRPr="009A2496" w:rsidTr="00000F81">
        <w:tc>
          <w:tcPr>
            <w:tcW w:w="219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Indicador</w:t>
            </w:r>
          </w:p>
        </w:tc>
        <w:tc>
          <w:tcPr>
            <w:tcW w:w="1765"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2011</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2012</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2013</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2014</w:t>
            </w:r>
          </w:p>
        </w:tc>
      </w:tr>
      <w:tr w:rsidR="009A2496" w:rsidRPr="009A2496" w:rsidTr="00000F81">
        <w:tc>
          <w:tcPr>
            <w:tcW w:w="2196" w:type="dxa"/>
            <w:shd w:val="clear" w:color="auto" w:fill="auto"/>
          </w:tcPr>
          <w:p w:rsidR="009A2496" w:rsidRPr="009A2496" w:rsidRDefault="009A2496" w:rsidP="00A92D87">
            <w:pPr>
              <w:spacing w:after="0" w:line="240" w:lineRule="auto"/>
              <w:rPr>
                <w:rFonts w:eastAsia="Calibri" w:cs="Times New Roman"/>
                <w:lang w:eastAsia="es-CO"/>
              </w:rPr>
            </w:pPr>
            <w:r w:rsidRPr="009A2496">
              <w:rPr>
                <w:rFonts w:eastAsia="Calibri" w:cs="Times New Roman"/>
                <w:lang w:eastAsia="es-CO"/>
              </w:rPr>
              <w:t>Tasa de muertes por causas externas en niños, niñas y adolescentes (0 a 17 Años).</w:t>
            </w:r>
          </w:p>
        </w:tc>
        <w:tc>
          <w:tcPr>
            <w:tcW w:w="1765"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19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16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23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15 x 100000 Hbts</w:t>
            </w:r>
          </w:p>
        </w:tc>
      </w:tr>
      <w:tr w:rsidR="009A2496" w:rsidRPr="009A2496" w:rsidTr="00000F81">
        <w:trPr>
          <w:trHeight w:val="185"/>
        </w:trPr>
        <w:tc>
          <w:tcPr>
            <w:tcW w:w="9259" w:type="dxa"/>
            <w:gridSpan w:val="5"/>
            <w:shd w:val="clear" w:color="auto" w:fill="auto"/>
          </w:tcPr>
          <w:p w:rsidR="009A2496" w:rsidRPr="009A2496" w:rsidRDefault="009A2496" w:rsidP="00A92D87">
            <w:pPr>
              <w:spacing w:after="0" w:line="240" w:lineRule="auto"/>
              <w:rPr>
                <w:rFonts w:eastAsia="Calibri" w:cs="Times New Roman"/>
                <w:b/>
                <w:lang w:eastAsia="es-CO"/>
              </w:rPr>
            </w:pPr>
            <w:r w:rsidRPr="009A2496">
              <w:rPr>
                <w:rFonts w:eastAsia="Calibri" w:cs="Times New Roman"/>
                <w:b/>
                <w:lang w:eastAsia="es-CO"/>
              </w:rPr>
              <w:t>Fuente y año:  OBSERVATORIO DEL DELITO</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spacing w:after="200" w:line="240" w:lineRule="auto"/>
        <w:rPr>
          <w:rFonts w:eastAsia="Calibri" w:cs="Times New Roman"/>
          <w:b/>
        </w:rPr>
      </w:pPr>
      <w:r w:rsidRPr="009A2496">
        <w:rPr>
          <w:rFonts w:eastAsia="Calibri" w:cs="Times New Roman"/>
          <w:b/>
        </w:rPr>
        <w:t xml:space="preserve">Gráfico: </w:t>
      </w:r>
    </w:p>
    <w:p w:rsidR="009A2496" w:rsidRDefault="009A2496" w:rsidP="00A92D87">
      <w:pPr>
        <w:spacing w:after="200" w:line="240" w:lineRule="auto"/>
        <w:rPr>
          <w:rFonts w:eastAsia="Calibri" w:cs="Times New Roman"/>
          <w:b/>
        </w:rPr>
      </w:pPr>
      <w:r w:rsidRPr="009A2496">
        <w:rPr>
          <w:rFonts w:eastAsia="Calibri" w:cs="Times New Roman"/>
          <w:noProof/>
          <w:lang w:val="es-ES" w:eastAsia="es-ES"/>
        </w:rPr>
        <w:drawing>
          <wp:inline distT="0" distB="0" distL="0" distR="0">
            <wp:extent cx="5739765" cy="2214245"/>
            <wp:effectExtent l="0" t="0" r="13335" b="14605"/>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F63E8" w:rsidRDefault="00DF63E8">
      <w:pPr>
        <w:rPr>
          <w:rFonts w:eastAsia="Calibri" w:cs="Times New Roman"/>
          <w:b/>
        </w:rPr>
      </w:pPr>
      <w:r>
        <w:rPr>
          <w:rFonts w:eastAsia="Calibri" w:cs="Times New Roman"/>
          <w:b/>
        </w:rPr>
        <w:br w:type="page"/>
      </w:r>
    </w:p>
    <w:p w:rsidR="00DF63E8" w:rsidRPr="009A2496" w:rsidRDefault="00DF63E8" w:rsidP="00A92D87">
      <w:pPr>
        <w:spacing w:after="200" w:line="240" w:lineRule="auto"/>
        <w:rPr>
          <w:rFonts w:eastAsia="Calibri" w:cs="Times New Roman"/>
          <w:b/>
        </w:rPr>
      </w:pPr>
    </w:p>
    <w:p w:rsidR="009A2496" w:rsidRPr="009A2496" w:rsidRDefault="009A2496" w:rsidP="00A92D87">
      <w:pPr>
        <w:numPr>
          <w:ilvl w:val="0"/>
          <w:numId w:val="1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34% de los casos presentados en lesiones por causa externa fatales corresponde a muertes accidentales, el 26% a homicidios, el 21% son suicidios y el 17% de este tipo de muertes son por accidentes de tránsito; donde el 66% de los casos son hombres  y la mayoría se presentan en la zona urbana del municipio de Pasto, concentrándose principalmente en las comunas 4, 5, 6 y en el corregimiento de Catambuco.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7"/>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A2496" w:rsidRPr="009A2496" w:rsidRDefault="009A2496" w:rsidP="00A92D87">
      <w:pPr>
        <w:suppressAutoHyphens/>
        <w:spacing w:after="0" w:line="240" w:lineRule="auto"/>
        <w:ind w:left="1080"/>
        <w:contextualSpacing/>
        <w:rPr>
          <w:rFonts w:eastAsia="Times New Roman" w:cs="Times New Roman"/>
          <w:lang w:val="es-ES" w:eastAsia="ar-SA"/>
        </w:rPr>
      </w:pPr>
    </w:p>
    <w:p w:rsidR="009A2496" w:rsidRPr="009A2496" w:rsidRDefault="009A2496" w:rsidP="00A92D87">
      <w:pPr>
        <w:numPr>
          <w:ilvl w:val="0"/>
          <w:numId w:val="1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215ED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El Observatorio del Delito del Municipio de Pasto, monitorea tres líneas de vigilancia (Lesiones fatales, no fatales y violencia intrafamiliar), además realiza un monitoreo interno de la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Secretaria de Gobierno en cuanto a los infractores del Decreto 0400, Centro Integral para la Convivencia CECON, infracciones urbanísticas y los Delito de Alto Impacto cuya fuente es Policía Nacional. El Observatorio del Delito, consolida mensualmente la información,  realiza el análisis respectivo a través de unas mesas temáticas de Seguridad, violencia intrafamiliar y conducta suicida, también se envía la información al Señor Alcalde y gabinete municipal  y realiza la publicación respectiva a la comunidad por medio  de la página WEB de la Alcaldía de Pasto www.pasto.gov.co</w:t>
      </w:r>
    </w:p>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1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Indicadores de lesiones de causa externa fatal, no fatal, violencia intrafamiliar, delitos de alto impacto confiables, garantizando el total de unidades notificadoras en el sector salud, protección y justicia.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Impacto: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El Observatorio del Delito cuenta con información de los eventos monitoreados a partir del año 2003, lo que resulta fundamental para conocer el comportamiento de estos eventos, por lo que ha adquirido un papel clave en formulación de indicadores tanto para los planes de </w:t>
      </w:r>
      <w:r w:rsidRPr="009A2496">
        <w:rPr>
          <w:rFonts w:eastAsia="Times New Roman" w:cs="Times New Roman"/>
          <w:lang w:val="es-ES" w:eastAsia="ar-SA"/>
        </w:rPr>
        <w:lastRenderedPageBreak/>
        <w:t>desarrollo, como también para el plan integral de convivencia y seguridad del Municipio de Pasto.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una descripción más exacta del problema.</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obliga a ser claros y exactos en materia de priorizar acciones preventivas y correctivas.</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identificar factores de riesgo.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permite tomar decisiones en base a la evidencia.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En el periodo analizado 2011- 2014 se evidencia que las comunas con mayor problemática en lesiones fatales son las comunas 4, 5, 6 y en el corregimiento de Catambuco, con referente en la población masculina los cuales están más expuestos a situaciones de riesgo tanto de inseguridad y de accidentabilidad.</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Tomar la información de Observatorio del Delito como herramienta fundamental al momento de implementar planes y/o acciones dentro del Municipio.</w:t>
      </w:r>
    </w:p>
    <w:p w:rsidR="00215ED6" w:rsidRDefault="00215ED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
          <w:iCs/>
        </w:rPr>
      </w:pPr>
      <w:r w:rsidRPr="009A2496">
        <w:rPr>
          <w:rFonts w:eastAsia="Calibri" w:cs="Times New Roman"/>
          <w:b/>
          <w:i/>
          <w:iCs/>
        </w:rPr>
        <w:t>DESCRIPCIÓN DEL INDICADOR No. 73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579"/>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Homicidios en niños, niñas y adolescentes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OBSERVATORIO DEL DELITO MUNICIPIO DE PASTO</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bl>
    <w:p w:rsidR="009A2496" w:rsidRPr="009A2496" w:rsidRDefault="009A2496" w:rsidP="00A92D87">
      <w:pPr>
        <w:suppressAutoHyphens/>
        <w:spacing w:after="0" w:line="240" w:lineRule="auto"/>
        <w:ind w:left="360"/>
        <w:contextualSpacing/>
        <w:rPr>
          <w:rFonts w:eastAsia="Times New Roman" w:cs="Times New Roman"/>
          <w:b/>
          <w:lang w:val="es-ES" w:eastAsia="ar-SA"/>
        </w:rPr>
      </w:pPr>
    </w:p>
    <w:p w:rsidR="009A2496" w:rsidRPr="009A2496" w:rsidRDefault="009A2496" w:rsidP="00A92D87">
      <w:pPr>
        <w:numPr>
          <w:ilvl w:val="0"/>
          <w:numId w:val="18"/>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9A2496" w:rsidRPr="009A2496" w:rsidTr="00000F81">
        <w:tc>
          <w:tcPr>
            <w:tcW w:w="219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Indicador</w:t>
            </w:r>
          </w:p>
        </w:tc>
        <w:tc>
          <w:tcPr>
            <w:tcW w:w="1765"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2011</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2012</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2013</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2014</w:t>
            </w:r>
          </w:p>
        </w:tc>
      </w:tr>
      <w:tr w:rsidR="009A2496" w:rsidRPr="009A2496" w:rsidTr="00000F81">
        <w:tc>
          <w:tcPr>
            <w:tcW w:w="2196" w:type="dxa"/>
            <w:shd w:val="clear" w:color="auto" w:fill="auto"/>
          </w:tcPr>
          <w:p w:rsidR="009A2496" w:rsidRPr="009A2496" w:rsidRDefault="009A2496" w:rsidP="00A92D87">
            <w:pPr>
              <w:spacing w:after="0" w:line="240" w:lineRule="auto"/>
              <w:rPr>
                <w:rFonts w:eastAsia="Calibri" w:cs="Times New Roman"/>
                <w:lang w:eastAsia="es-CO"/>
              </w:rPr>
            </w:pPr>
            <w:r w:rsidRPr="009A2496">
              <w:rPr>
                <w:rFonts w:eastAsia="Calibri" w:cs="Times New Roman"/>
                <w:lang w:eastAsia="es-CO"/>
              </w:rPr>
              <w:t>Tasa de Homicidios en niños, niñas y adolescentes</w:t>
            </w:r>
          </w:p>
        </w:tc>
        <w:tc>
          <w:tcPr>
            <w:tcW w:w="1765"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6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3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6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4 x 100000 Hbts</w:t>
            </w:r>
          </w:p>
        </w:tc>
      </w:tr>
      <w:tr w:rsidR="009A2496" w:rsidRPr="009A2496" w:rsidTr="00000F81">
        <w:tc>
          <w:tcPr>
            <w:tcW w:w="9259" w:type="dxa"/>
            <w:gridSpan w:val="5"/>
            <w:shd w:val="clear" w:color="auto" w:fill="auto"/>
          </w:tcPr>
          <w:p w:rsidR="009A2496" w:rsidRPr="009A2496" w:rsidRDefault="009A2496" w:rsidP="00A92D87">
            <w:pPr>
              <w:spacing w:after="0" w:line="240" w:lineRule="auto"/>
              <w:rPr>
                <w:rFonts w:eastAsia="Calibri" w:cs="Times New Roman"/>
                <w:b/>
                <w:lang w:eastAsia="es-CO"/>
              </w:rPr>
            </w:pPr>
            <w:r w:rsidRPr="009A2496">
              <w:rPr>
                <w:rFonts w:eastAsia="Calibri" w:cs="Times New Roman"/>
                <w:b/>
                <w:lang w:eastAsia="es-CO"/>
              </w:rPr>
              <w:t>Fuente y año:  OBSERVATORIO DEL DELITO</w:t>
            </w:r>
          </w:p>
        </w:tc>
      </w:tr>
    </w:tbl>
    <w:p w:rsidR="00DF63E8" w:rsidRDefault="00DF63E8" w:rsidP="00A92D87">
      <w:pPr>
        <w:spacing w:after="200" w:line="240" w:lineRule="auto"/>
        <w:rPr>
          <w:rFonts w:eastAsia="Calibri" w:cs="Times New Roman"/>
        </w:rPr>
      </w:pPr>
    </w:p>
    <w:p w:rsidR="00DF63E8" w:rsidRDefault="00DF63E8">
      <w:pPr>
        <w:rPr>
          <w:rFonts w:eastAsia="Calibri" w:cs="Times New Roman"/>
        </w:rPr>
      </w:pPr>
      <w:r>
        <w:rPr>
          <w:rFonts w:eastAsia="Calibri" w:cs="Times New Roman"/>
        </w:rPr>
        <w:br w:type="page"/>
      </w:r>
    </w:p>
    <w:p w:rsidR="009A2496" w:rsidRPr="009A2496" w:rsidRDefault="009A2496" w:rsidP="00A92D87">
      <w:pPr>
        <w:spacing w:after="200" w:line="240" w:lineRule="auto"/>
        <w:rPr>
          <w:rFonts w:eastAsia="Calibri" w:cs="Times New Roman"/>
        </w:rPr>
      </w:pPr>
    </w:p>
    <w:p w:rsidR="009A2496" w:rsidRPr="009A2496" w:rsidRDefault="009A2496" w:rsidP="00A92D87">
      <w:pPr>
        <w:spacing w:after="200" w:line="240" w:lineRule="auto"/>
        <w:rPr>
          <w:rFonts w:eastAsia="Calibri" w:cs="Times New Roman"/>
          <w:b/>
        </w:rPr>
      </w:pPr>
      <w:r w:rsidRPr="009A2496">
        <w:rPr>
          <w:rFonts w:eastAsia="Calibri" w:cs="Times New Roman"/>
          <w:b/>
        </w:rPr>
        <w:t xml:space="preserve">Gráfico: </w:t>
      </w:r>
    </w:p>
    <w:p w:rsidR="009A2496" w:rsidRPr="009A2496" w:rsidRDefault="009A2496" w:rsidP="00A92D87">
      <w:pPr>
        <w:spacing w:after="200" w:line="240" w:lineRule="auto"/>
        <w:rPr>
          <w:rFonts w:eastAsia="Calibri" w:cs="Times New Roman"/>
          <w:b/>
        </w:rPr>
      </w:pPr>
      <w:r w:rsidRPr="009A2496">
        <w:rPr>
          <w:rFonts w:eastAsia="Calibri" w:cs="Times New Roman"/>
          <w:noProof/>
          <w:lang w:val="es-ES" w:eastAsia="es-ES"/>
        </w:rPr>
        <w:drawing>
          <wp:inline distT="0" distB="0" distL="0" distR="0">
            <wp:extent cx="5808345" cy="1864360"/>
            <wp:effectExtent l="0" t="0" r="1905" b="2540"/>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A2496" w:rsidRPr="009A2496" w:rsidRDefault="009A2496" w:rsidP="00A92D87">
      <w:pPr>
        <w:numPr>
          <w:ilvl w:val="0"/>
          <w:numId w:val="1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El 91% de los casos presentados de homicidios son hombres , en el periodo comprendido entre los años 2011-2014, el 54% de los homicidios se presentaron con arma de fuego y el 39% con arma blanca el 21%, principalmente bajo el contexto de violencia interpersonal riñas 28%, en horarios de la noche y madrugada los fines de semana. Espacialmente ubicados en la comuna 5, 4 y 8 y el corregimiento de </w:t>
      </w:r>
      <w:r w:rsidR="0018323F">
        <w:rPr>
          <w:rFonts w:eastAsia="Times New Roman" w:cs="Times New Roman"/>
          <w:lang w:val="es-ES" w:eastAsia="ar-SA"/>
        </w:rPr>
        <w:t>C</w:t>
      </w:r>
      <w:r w:rsidRPr="009A2496">
        <w:rPr>
          <w:rFonts w:eastAsia="Times New Roman" w:cs="Times New Roman"/>
          <w:lang w:val="es-ES" w:eastAsia="ar-SA"/>
        </w:rPr>
        <w:t>atambuco.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8"/>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A2496" w:rsidRPr="009A2496" w:rsidRDefault="009A2496" w:rsidP="00A92D87">
      <w:pPr>
        <w:suppressAutoHyphens/>
        <w:spacing w:after="0" w:line="240" w:lineRule="auto"/>
        <w:ind w:left="1080"/>
        <w:contextualSpacing/>
        <w:rPr>
          <w:rFonts w:eastAsia="Times New Roman" w:cs="Times New Roman"/>
          <w:lang w:val="es-ES" w:eastAsia="ar-SA"/>
        </w:rPr>
      </w:pPr>
    </w:p>
    <w:p w:rsidR="009A2496" w:rsidRPr="009A2496" w:rsidRDefault="009A2496" w:rsidP="00A92D87">
      <w:pPr>
        <w:numPr>
          <w:ilvl w:val="0"/>
          <w:numId w:val="1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Además de los indicadores, del análisis evolutivo de la violencia y de la distribución espacial geo referenciada que permite contar con información sectorizada y más exacta, de acuerdo a las doce comunas, setenta y seis (76) cuadrantes y diecisiete (17) corregimientos; en cada informe, se muestra una exposición del alto impacto de las Unidades de Policía Nacional,  en especial el de la Policía Metropolitana de Pasto, programas y actividades  que están a cargo de la Secretaria de Gobierno Municipal.</w:t>
      </w:r>
    </w:p>
    <w:p w:rsidR="009A2496" w:rsidRPr="009A2496" w:rsidRDefault="009A2496" w:rsidP="00A92D87">
      <w:pPr>
        <w:numPr>
          <w:ilvl w:val="0"/>
          <w:numId w:val="1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Indicadores de homicidios confiables, destacando que a nivel de homicidios el año 2014, ha sido el año con menor número de casos en los doce años de monitoreo y para el caso de menores de 17 años presenta una tasa de 4 x 100000 habitantes, bajando 2 puntos en la tasa con respecto al año 2013.</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una descripción más exacta del problema.</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obliga a ser claros y exactos en materia de priorizar acciones preventivas y correctivas.</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identificar factores de riesgo.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permite tomar decisiones en base a la evidencia.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En el periodo analizado 2011- 2014 se evidencia que las comunas con mayor problemática en lesiones fatales son las comunas 4, 5, 8 y en el corregimiento de Catambuco, con referente en la población masculina los cuales están más expuestos en este evento, hay que hacer énfasis en el trabajo de tolerancia y sana convivencia.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Tomar la información de Observatorio del Delito como herramienta fundamental al momento de implementar planes y/o acciones dentro del Municipio.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pBdr>
          <w:top w:val="single" w:sz="4" w:space="10" w:color="4F81BD"/>
          <w:bottom w:val="single" w:sz="4" w:space="10" w:color="4F81BD"/>
        </w:pBdr>
        <w:spacing w:before="360" w:after="360" w:line="240" w:lineRule="auto"/>
        <w:ind w:left="864" w:right="864"/>
        <w:jc w:val="center"/>
        <w:rPr>
          <w:rFonts w:eastAsia="Calibri" w:cs="Times New Roman"/>
          <w:b/>
          <w:i/>
          <w:iCs/>
        </w:rPr>
      </w:pPr>
      <w:r w:rsidRPr="009A2496">
        <w:rPr>
          <w:rFonts w:eastAsia="Calibri" w:cs="Times New Roman"/>
          <w:b/>
          <w:i/>
          <w:iCs/>
        </w:rPr>
        <w:t>DESCRIPCIÓN DEL INDICADOR No. 74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579"/>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suicidios en niños, niñas y adolescentes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OBSERVATORIO DEL DELITO MUNICIPIO DE PASTO</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bl>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19"/>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9A2496" w:rsidRPr="009A2496" w:rsidTr="00000F81">
        <w:tc>
          <w:tcPr>
            <w:tcW w:w="219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Indicador</w:t>
            </w:r>
          </w:p>
        </w:tc>
        <w:tc>
          <w:tcPr>
            <w:tcW w:w="1765"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2011</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2012</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2013</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2014</w:t>
            </w:r>
          </w:p>
        </w:tc>
      </w:tr>
      <w:tr w:rsidR="009A2496" w:rsidRPr="009A2496" w:rsidTr="00000F81">
        <w:tc>
          <w:tcPr>
            <w:tcW w:w="2196" w:type="dxa"/>
            <w:shd w:val="clear" w:color="auto" w:fill="auto"/>
          </w:tcPr>
          <w:p w:rsidR="009A2496" w:rsidRPr="009A2496" w:rsidRDefault="009A2496" w:rsidP="00A92D87">
            <w:pPr>
              <w:spacing w:after="0" w:line="240" w:lineRule="auto"/>
              <w:rPr>
                <w:rFonts w:eastAsia="Calibri" w:cs="Times New Roman"/>
                <w:lang w:eastAsia="es-CO"/>
              </w:rPr>
            </w:pPr>
            <w:r w:rsidRPr="009A2496">
              <w:rPr>
                <w:rFonts w:eastAsia="Calibri" w:cs="Times New Roman"/>
                <w:lang w:eastAsia="es-CO"/>
              </w:rPr>
              <w:t>Tasa de suicidios en niños, niñas y adolescentes</w:t>
            </w:r>
          </w:p>
        </w:tc>
        <w:tc>
          <w:tcPr>
            <w:tcW w:w="1765"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4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4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5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3 x 100000 Hbts</w:t>
            </w:r>
          </w:p>
        </w:tc>
      </w:tr>
      <w:tr w:rsidR="009A2496" w:rsidRPr="009A2496" w:rsidTr="00000F81">
        <w:tc>
          <w:tcPr>
            <w:tcW w:w="9259" w:type="dxa"/>
            <w:gridSpan w:val="5"/>
            <w:shd w:val="clear" w:color="auto" w:fill="auto"/>
          </w:tcPr>
          <w:p w:rsidR="009A2496" w:rsidRPr="009A2496" w:rsidRDefault="009A2496" w:rsidP="00A92D87">
            <w:pPr>
              <w:spacing w:after="0" w:line="240" w:lineRule="auto"/>
              <w:rPr>
                <w:rFonts w:eastAsia="Calibri" w:cs="Times New Roman"/>
                <w:b/>
                <w:lang w:eastAsia="es-CO"/>
              </w:rPr>
            </w:pPr>
            <w:r w:rsidRPr="009A2496">
              <w:rPr>
                <w:rFonts w:eastAsia="Calibri" w:cs="Times New Roman"/>
                <w:b/>
                <w:lang w:eastAsia="es-CO"/>
              </w:rPr>
              <w:t>Fuente y año:  OBSERVATORIO DEL DELITO</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spacing w:after="200" w:line="240" w:lineRule="auto"/>
        <w:rPr>
          <w:rFonts w:eastAsia="Calibri" w:cs="Times New Roman"/>
          <w:b/>
        </w:rPr>
      </w:pPr>
      <w:r w:rsidRPr="009A2496">
        <w:rPr>
          <w:rFonts w:eastAsia="Calibri" w:cs="Times New Roman"/>
          <w:b/>
        </w:rPr>
        <w:t xml:space="preserve">Gráfico: </w:t>
      </w:r>
    </w:p>
    <w:p w:rsidR="009A2496" w:rsidRPr="009A2496" w:rsidRDefault="009A2496" w:rsidP="00A92D87">
      <w:pPr>
        <w:spacing w:after="200" w:line="240" w:lineRule="auto"/>
        <w:rPr>
          <w:rFonts w:eastAsia="Calibri" w:cs="Times New Roman"/>
          <w:b/>
        </w:rPr>
      </w:pPr>
      <w:r w:rsidRPr="009A2496">
        <w:rPr>
          <w:rFonts w:eastAsia="Calibri" w:cs="Times New Roman"/>
          <w:noProof/>
          <w:lang w:val="es-ES" w:eastAsia="es-ES"/>
        </w:rPr>
        <w:drawing>
          <wp:inline distT="0" distB="0" distL="0" distR="0">
            <wp:extent cx="5521960" cy="1529715"/>
            <wp:effectExtent l="0" t="0" r="2540" b="13335"/>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A2496" w:rsidRPr="009A2496" w:rsidRDefault="009A2496" w:rsidP="00A92D87">
      <w:pPr>
        <w:numPr>
          <w:ilvl w:val="0"/>
          <w:numId w:val="1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75% de los casos presentados de suicidios son hombres, el factor desencadenante de este evento es el conflicto con la pareja, otro tipo de eventos como depresión y en la mayoría de los casos se desconoce las causas de esta decisión, donde el medio más utilizado es el ahorcamiento y la intoxicación.</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9"/>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A2496" w:rsidRPr="009A2496" w:rsidRDefault="009A2496" w:rsidP="00A92D87">
      <w:pPr>
        <w:suppressAutoHyphens/>
        <w:spacing w:after="0" w:line="240" w:lineRule="auto"/>
        <w:ind w:left="1080"/>
        <w:contextualSpacing/>
        <w:rPr>
          <w:rFonts w:eastAsia="Times New Roman" w:cs="Times New Roman"/>
          <w:lang w:val="es-ES" w:eastAsia="ar-SA"/>
        </w:rPr>
      </w:pPr>
    </w:p>
    <w:p w:rsidR="009A2496" w:rsidRPr="009A2496" w:rsidRDefault="009A2496" w:rsidP="00A92D87">
      <w:pPr>
        <w:numPr>
          <w:ilvl w:val="0"/>
          <w:numId w:val="1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DF63E8" w:rsidRDefault="009A2496" w:rsidP="00A92D87">
      <w:pPr>
        <w:spacing w:after="200" w:line="240" w:lineRule="auto"/>
        <w:ind w:left="360"/>
        <w:jc w:val="both"/>
        <w:rPr>
          <w:rFonts w:eastAsia="Calibri" w:cs="Times New Roman"/>
        </w:rPr>
      </w:pPr>
      <w:r w:rsidRPr="009A2496">
        <w:rPr>
          <w:rFonts w:eastAsia="Calibri" w:cs="Times New Roman"/>
        </w:rPr>
        <w:t>Este hecho social, se sabe que va en aumento,  de hecho un estudio de esta clase, muestra no solo quien está como representante y que propuestas deben cambiar, “Según la OMS, en el 2020 aproximadamente 1,53 millones de personas se suicidarán y de 10 a 20 veces más lo intentarán”. En esta región del sur de Colombia se han venido presentando tasas de suicidios que</w:t>
      </w:r>
      <w:r w:rsidR="002F1EF7">
        <w:rPr>
          <w:rFonts w:eastAsia="Calibri" w:cs="Times New Roman"/>
        </w:rPr>
        <w:t xml:space="preserve"> </w:t>
      </w:r>
      <w:r w:rsidRPr="009A2496">
        <w:rPr>
          <w:rFonts w:eastAsia="Calibri" w:cs="Times New Roman"/>
        </w:rPr>
        <w:t xml:space="preserve">llegan a superar en varias veces el </w:t>
      </w:r>
      <w:r w:rsidR="00B21121" w:rsidRPr="009A2496">
        <w:rPr>
          <w:rFonts w:eastAsia="Calibri" w:cs="Times New Roman"/>
        </w:rPr>
        <w:t>promedio Nacional</w:t>
      </w:r>
      <w:r w:rsidRPr="009A2496">
        <w:rPr>
          <w:rFonts w:eastAsia="Calibri" w:cs="Times New Roman"/>
        </w:rPr>
        <w:t>.</w:t>
      </w:r>
    </w:p>
    <w:p w:rsidR="00DF63E8" w:rsidRDefault="00DF63E8">
      <w:pPr>
        <w:rPr>
          <w:rFonts w:eastAsia="Calibri" w:cs="Times New Roman"/>
        </w:rPr>
      </w:pPr>
      <w:r>
        <w:rPr>
          <w:rFonts w:eastAsia="Calibri" w:cs="Times New Roman"/>
        </w:rPr>
        <w:br w:type="page"/>
      </w:r>
    </w:p>
    <w:p w:rsidR="009A2496" w:rsidRPr="009A2496" w:rsidRDefault="009A2496" w:rsidP="00A92D87">
      <w:pPr>
        <w:spacing w:after="200" w:line="240" w:lineRule="auto"/>
        <w:ind w:left="360"/>
        <w:jc w:val="both"/>
        <w:rPr>
          <w:rFonts w:eastAsia="Calibri" w:cs="Times New Roman"/>
          <w:b/>
        </w:rPr>
      </w:pPr>
    </w:p>
    <w:p w:rsidR="009A2496" w:rsidRPr="009A2496" w:rsidRDefault="009A2496" w:rsidP="00A92D87">
      <w:pPr>
        <w:numPr>
          <w:ilvl w:val="0"/>
          <w:numId w:val="1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ámbito de enfermedades psicológicas se puede ver que son una de las causas  más importantes o con mayor relevancia, ya que esta población se ha ido incrementando en la ciudad de Pasto, en una mayor medida, la depresión. La vida de los jóvenes está cambiando constantemente y se enfrentan a un sin número de problemas y dificultades los cuales no todos los asumen de la misma manera.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Se conoce que el alcoholismo, conlleva a tomar decisiones a la carrera, puesto que en este estado se cambia de ánimo con facilidad, además que el cerebro no funciona de la misma manera, que sin alcohol, y se descontrola el sistema nervioso central. Se habla de este factos puesto que se conoce que en Pasto los días viernes son espacios para el encuentro popular, en sitios de expendio de bebidas con alcohol.</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1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una descripción más exacta del problema.</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obliga a ser claros y exactos en materia de priorizar acciones preventivas y correctivas.</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identificar factores de riesgo.</w:t>
      </w:r>
    </w:p>
    <w:p w:rsid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permite tomar decisiones en base a la evidencia.</w:t>
      </w:r>
    </w:p>
    <w:p w:rsidR="00DF63E8" w:rsidRPr="009A2496" w:rsidRDefault="00DF63E8" w:rsidP="00DF63E8">
      <w:pPr>
        <w:spacing w:after="0" w:line="240" w:lineRule="auto"/>
        <w:ind w:left="1440"/>
        <w:contextualSpacing/>
        <w:rPr>
          <w:rFonts w:eastAsia="Times New Roman" w:cs="Times New Roman"/>
          <w:lang w:val="es-ES" w:eastAsia="ar-SA"/>
        </w:rPr>
      </w:pPr>
    </w:p>
    <w:p w:rsidR="009A2496" w:rsidRPr="009A2496" w:rsidRDefault="009A2496" w:rsidP="00A92D87">
      <w:pPr>
        <w:numPr>
          <w:ilvl w:val="0"/>
          <w:numId w:val="1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Aparentemente, las estadísticas nos revelan una tendencia al aumento de la frecuencia de los suicidios en los períodos de crisis económica. Lo que le interesa por encima de todo, al extremo de obsesionarlo, es en efecto la crisis de la sociedad moderna que se define por la desintegración social y la debilidad de los vínculos que relacionan al individuo con la familia o con el grupo.</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19"/>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Tomar la información de Observatorio del Delito como herramienta fundamental al momento de implementar planes y/o acciones dentro del Municipio.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9A2496">
        <w:rPr>
          <w:rFonts w:eastAsia="Calibri" w:cs="Times New Roman"/>
          <w:b/>
          <w:i/>
          <w:iCs/>
        </w:rPr>
        <w:t>DESCRIPCIÓN DEL INDICADOR No. 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61"/>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muertes por otros accidentes en niños, niñas y adolescentes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OBSERVATORIO DEL DELITO MUNICIPIO DE PASTO</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bl>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20"/>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1080"/>
        <w:contextualSpacing/>
        <w:rPr>
          <w:rFonts w:eastAsia="Times New Roman" w:cs="Times New Roman"/>
          <w:b/>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9"/>
        <w:gridCol w:w="1723"/>
        <w:gridCol w:w="1724"/>
        <w:gridCol w:w="1724"/>
        <w:gridCol w:w="1724"/>
      </w:tblGrid>
      <w:tr w:rsidR="009A2496" w:rsidRPr="009A2496" w:rsidTr="00000F81">
        <w:tc>
          <w:tcPr>
            <w:tcW w:w="219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Indicador</w:t>
            </w:r>
          </w:p>
        </w:tc>
        <w:tc>
          <w:tcPr>
            <w:tcW w:w="1765"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2011</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2012</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2013</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2014</w:t>
            </w:r>
          </w:p>
        </w:tc>
      </w:tr>
      <w:tr w:rsidR="009A2496" w:rsidRPr="009A2496" w:rsidTr="00000F81">
        <w:tc>
          <w:tcPr>
            <w:tcW w:w="2196" w:type="dxa"/>
            <w:shd w:val="clear" w:color="auto" w:fill="auto"/>
          </w:tcPr>
          <w:p w:rsidR="009A2496" w:rsidRPr="009A2496" w:rsidRDefault="009A2496" w:rsidP="00A92D87">
            <w:pPr>
              <w:spacing w:after="0" w:line="240" w:lineRule="auto"/>
              <w:rPr>
                <w:rFonts w:eastAsia="Calibri" w:cs="Times New Roman"/>
                <w:lang w:eastAsia="es-CO"/>
              </w:rPr>
            </w:pPr>
            <w:r w:rsidRPr="009A2496">
              <w:rPr>
                <w:rFonts w:eastAsia="Calibri" w:cs="Times New Roman"/>
                <w:lang w:eastAsia="es-CO"/>
              </w:rPr>
              <w:t>Tasa de muertes por otros accidentes en niños, niñas y adolescentes</w:t>
            </w:r>
          </w:p>
        </w:tc>
        <w:tc>
          <w:tcPr>
            <w:tcW w:w="1765"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6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4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9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6 x 100000 Hbts</w:t>
            </w:r>
          </w:p>
        </w:tc>
      </w:tr>
      <w:tr w:rsidR="009A2496" w:rsidRPr="009A2496" w:rsidTr="00000F81">
        <w:tc>
          <w:tcPr>
            <w:tcW w:w="9259" w:type="dxa"/>
            <w:gridSpan w:val="5"/>
            <w:shd w:val="clear" w:color="auto" w:fill="auto"/>
          </w:tcPr>
          <w:p w:rsidR="009A2496" w:rsidRPr="009A2496" w:rsidRDefault="009A2496" w:rsidP="00A92D87">
            <w:pPr>
              <w:spacing w:after="0" w:line="240" w:lineRule="auto"/>
              <w:rPr>
                <w:rFonts w:eastAsia="Calibri" w:cs="Times New Roman"/>
                <w:b/>
                <w:lang w:eastAsia="es-CO"/>
              </w:rPr>
            </w:pPr>
            <w:r w:rsidRPr="009A2496">
              <w:rPr>
                <w:rFonts w:eastAsia="Calibri" w:cs="Times New Roman"/>
                <w:b/>
                <w:lang w:eastAsia="es-CO"/>
              </w:rPr>
              <w:t>Fuente y año:  OBSERVATORIO DEL DELITO</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spacing w:after="200" w:line="240" w:lineRule="auto"/>
        <w:rPr>
          <w:rFonts w:eastAsia="Calibri" w:cs="Times New Roman"/>
          <w:b/>
        </w:rPr>
      </w:pPr>
      <w:r w:rsidRPr="009A2496">
        <w:rPr>
          <w:rFonts w:eastAsia="Calibri" w:cs="Times New Roman"/>
          <w:b/>
        </w:rPr>
        <w:t xml:space="preserve">Gráfico: </w:t>
      </w:r>
    </w:p>
    <w:p w:rsidR="009A2496" w:rsidRDefault="009A2496" w:rsidP="00A92D87">
      <w:pPr>
        <w:spacing w:after="200" w:line="240" w:lineRule="auto"/>
        <w:rPr>
          <w:rFonts w:eastAsia="Calibri" w:cs="Times New Roman"/>
          <w:b/>
        </w:rPr>
      </w:pPr>
      <w:r w:rsidRPr="009A2496">
        <w:rPr>
          <w:rFonts w:eastAsia="Calibri" w:cs="Times New Roman"/>
          <w:noProof/>
          <w:lang w:val="es-ES" w:eastAsia="es-ES"/>
        </w:rPr>
        <w:drawing>
          <wp:inline distT="0" distB="0" distL="0" distR="0">
            <wp:extent cx="5618480" cy="2301240"/>
            <wp:effectExtent l="0" t="0" r="1270" b="3810"/>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F63E8" w:rsidRDefault="00DF63E8" w:rsidP="00A92D87">
      <w:pPr>
        <w:spacing w:after="200" w:line="240" w:lineRule="auto"/>
        <w:rPr>
          <w:rFonts w:eastAsia="Calibri" w:cs="Times New Roman"/>
          <w:b/>
        </w:rPr>
      </w:pPr>
    </w:p>
    <w:p w:rsidR="00DF63E8" w:rsidRPr="009A2496" w:rsidRDefault="00DF63E8" w:rsidP="00A92D87">
      <w:pPr>
        <w:spacing w:after="200" w:line="240" w:lineRule="auto"/>
        <w:rPr>
          <w:rFonts w:eastAsia="Calibri" w:cs="Times New Roman"/>
          <w:b/>
        </w:rPr>
      </w:pPr>
    </w:p>
    <w:p w:rsidR="009A2496" w:rsidRPr="009A2496" w:rsidRDefault="009A2496" w:rsidP="00A92D87">
      <w:pPr>
        <w:numPr>
          <w:ilvl w:val="0"/>
          <w:numId w:val="2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lastRenderedPageBreak/>
        <w:t>Situación detectada</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tbl>
      <w:tblPr>
        <w:tblW w:w="5091" w:type="pct"/>
        <w:tblCellMar>
          <w:left w:w="70" w:type="dxa"/>
          <w:right w:w="70" w:type="dxa"/>
        </w:tblCellMar>
        <w:tblLook w:val="04A0"/>
      </w:tblPr>
      <w:tblGrid>
        <w:gridCol w:w="3341"/>
        <w:gridCol w:w="811"/>
        <w:gridCol w:w="762"/>
        <w:gridCol w:w="647"/>
        <w:gridCol w:w="762"/>
        <w:gridCol w:w="647"/>
        <w:gridCol w:w="762"/>
        <w:gridCol w:w="647"/>
        <w:gridCol w:w="762"/>
      </w:tblGrid>
      <w:tr w:rsidR="009A2496" w:rsidRPr="009A2496" w:rsidTr="00000F81">
        <w:trPr>
          <w:trHeight w:val="300"/>
        </w:trPr>
        <w:tc>
          <w:tcPr>
            <w:tcW w:w="18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rPr>
                <w:rFonts w:eastAsia="Times New Roman" w:cs="Arial"/>
                <w:b/>
                <w:lang w:eastAsia="es-CO"/>
              </w:rPr>
            </w:pPr>
            <w:r w:rsidRPr="009A2496">
              <w:rPr>
                <w:rFonts w:eastAsia="Times New Roman" w:cs="Arial"/>
                <w:b/>
                <w:lang w:eastAsia="es-CO"/>
              </w:rPr>
              <w:t>LESION FATAL</w:t>
            </w:r>
          </w:p>
        </w:tc>
        <w:tc>
          <w:tcPr>
            <w:tcW w:w="44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2011</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TASA</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2012</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TASA</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2013</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TASA</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2014</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TASA</w:t>
            </w:r>
          </w:p>
        </w:tc>
      </w:tr>
      <w:tr w:rsidR="009A2496" w:rsidRPr="009A2496" w:rsidTr="00000F81">
        <w:trPr>
          <w:trHeight w:val="300"/>
        </w:trPr>
        <w:tc>
          <w:tcPr>
            <w:tcW w:w="18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rPr>
                <w:rFonts w:eastAsia="Times New Roman" w:cs="Arial"/>
                <w:lang w:eastAsia="es-CO"/>
              </w:rPr>
            </w:pPr>
            <w:r w:rsidRPr="009A2496">
              <w:rPr>
                <w:rFonts w:eastAsia="Times New Roman" w:cs="Arial"/>
                <w:lang w:eastAsia="es-CO"/>
              </w:rPr>
              <w:t>Otras Muertes No Intencionales</w:t>
            </w:r>
          </w:p>
        </w:tc>
        <w:tc>
          <w:tcPr>
            <w:tcW w:w="44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lang w:eastAsia="es-CO"/>
              </w:rPr>
            </w:pPr>
            <w:r w:rsidRPr="009A2496">
              <w:rPr>
                <w:rFonts w:eastAsia="Times New Roman" w:cs="Arial"/>
                <w:lang w:eastAsia="es-CO"/>
              </w:rPr>
              <w:t>8</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lang w:eastAsia="es-CO"/>
              </w:rPr>
            </w:pPr>
            <w:r w:rsidRPr="009A2496">
              <w:rPr>
                <w:rFonts w:eastAsia="Times New Roman" w:cs="Arial"/>
                <w:lang w:eastAsia="es-CO"/>
              </w:rPr>
              <w:t>6</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lang w:eastAsia="es-CO"/>
              </w:rPr>
            </w:pPr>
            <w:r w:rsidRPr="009A2496">
              <w:rPr>
                <w:rFonts w:eastAsia="Times New Roman" w:cs="Arial"/>
                <w:lang w:eastAsia="es-CO"/>
              </w:rPr>
              <w:t>5</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lang w:eastAsia="es-CO"/>
              </w:rPr>
            </w:pPr>
            <w:r w:rsidRPr="009A2496">
              <w:rPr>
                <w:rFonts w:eastAsia="Times New Roman" w:cs="Arial"/>
                <w:lang w:eastAsia="es-CO"/>
              </w:rPr>
              <w:t>4</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lang w:eastAsia="es-CO"/>
              </w:rPr>
            </w:pPr>
            <w:r w:rsidRPr="009A2496">
              <w:rPr>
                <w:rFonts w:eastAsia="Times New Roman" w:cs="Arial"/>
                <w:lang w:eastAsia="es-CO"/>
              </w:rPr>
              <w:t>11</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lang w:eastAsia="es-CO"/>
              </w:rPr>
            </w:pPr>
            <w:r w:rsidRPr="009A2496">
              <w:rPr>
                <w:rFonts w:eastAsia="Times New Roman" w:cs="Arial"/>
                <w:lang w:eastAsia="es-CO"/>
              </w:rPr>
              <w:t>9</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lang w:eastAsia="es-CO"/>
              </w:rPr>
            </w:pPr>
            <w:r w:rsidRPr="009A2496">
              <w:rPr>
                <w:rFonts w:eastAsia="Times New Roman" w:cs="Arial"/>
                <w:lang w:eastAsia="es-CO"/>
              </w:rPr>
              <w:t>8</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lang w:eastAsia="es-CO"/>
              </w:rPr>
            </w:pPr>
            <w:r w:rsidRPr="009A2496">
              <w:rPr>
                <w:rFonts w:eastAsia="Times New Roman" w:cs="Arial"/>
                <w:lang w:eastAsia="es-CO"/>
              </w:rPr>
              <w:t>6</w:t>
            </w:r>
          </w:p>
        </w:tc>
      </w:tr>
    </w:tbl>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El 63% de los casos presentados de otras muertes no intencionales son hombres, el mecanismo de este tipo de muertes es la asfixia con los 56%, ocurridas principalmente en la casa.</w:t>
      </w:r>
    </w:p>
    <w:p w:rsidR="009A2496" w:rsidRPr="009A2496" w:rsidRDefault="009A2496" w:rsidP="00A92D87">
      <w:pPr>
        <w:numPr>
          <w:ilvl w:val="0"/>
          <w:numId w:val="20"/>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A2496" w:rsidRPr="009A2496" w:rsidRDefault="009A2496" w:rsidP="00A92D87">
      <w:pPr>
        <w:suppressAutoHyphens/>
        <w:spacing w:after="0" w:line="240" w:lineRule="auto"/>
        <w:ind w:left="1080"/>
        <w:contextualSpacing/>
        <w:rPr>
          <w:rFonts w:eastAsia="Times New Roman" w:cs="Times New Roman"/>
          <w:lang w:val="es-ES" w:eastAsia="ar-SA"/>
        </w:rPr>
      </w:pPr>
    </w:p>
    <w:p w:rsidR="009A2496" w:rsidRPr="009A2496" w:rsidRDefault="009A2496" w:rsidP="00A92D87">
      <w:pPr>
        <w:numPr>
          <w:ilvl w:val="0"/>
          <w:numId w:val="2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Desde la Secretaria de salud, se viene trabajando en acciones como IAMI, técnicas de lactancia dirigida a madres lactantes, los decretos de prohibición en expendio, distribución y consumo de pólvora y lo de riesgo en el ambiente laboral, por parte de la Secretaria de Gobierno en lo del Decreto 0240 del CECON, donde son medidas de conducción a pers</w:t>
      </w:r>
      <w:r w:rsidR="00CD7219">
        <w:rPr>
          <w:rFonts w:eastAsia="Calibri" w:cs="Times New Roman"/>
        </w:rPr>
        <w:t>onas en alto grado de alicoramié</w:t>
      </w:r>
      <w:r w:rsidRPr="009A2496">
        <w:rPr>
          <w:rFonts w:eastAsia="Calibri" w:cs="Times New Roman"/>
        </w:rPr>
        <w:t>nto y exaltación; el Decreto 0400, donde se protege a los menores que están en la vía publica después de las 10 de la noche.</w:t>
      </w:r>
    </w:p>
    <w:p w:rsidR="009A2496" w:rsidRPr="009A2496" w:rsidRDefault="009A2496" w:rsidP="00A92D87">
      <w:pPr>
        <w:numPr>
          <w:ilvl w:val="0"/>
          <w:numId w:val="2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2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Resultados al término de la gestión  (2012 -2014)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En término de otras muertes no intencionales en menores de 17 años se presenta una disminución de 3 puntos en la tasa para el año 2014.</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2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una descripción más exacta del problema.</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obliga a ser claros y exactos en materia de priorizar acciones preventivas y correctivas.</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identificar factores de riesgo.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lastRenderedPageBreak/>
        <w:t>Nos permite tomar decisiones en base a la evidencia.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2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Es importante no descuidar las broncas aspiraciones, tanto en menores como en adultos en estos últimos por el consumo excesivo de alcohol.</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20"/>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Tomar la información de Observatorio del Delito como herramienta fundamental al momento de implementar planes y/o acciones dentro del Municipio.</w:t>
      </w:r>
    </w:p>
    <w:p w:rsidR="009A2496" w:rsidRPr="009A2496" w:rsidRDefault="009A2496"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9A2496">
        <w:rPr>
          <w:rFonts w:eastAsia="Calibri" w:cs="Times New Roman"/>
          <w:b/>
          <w:i/>
          <w:iCs/>
        </w:rPr>
        <w:t>DESCRIPCIÓN DEL INDICADOR No. 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579"/>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muertes por accidentes de tránsito en niños, niñas y adolescentes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OBSERVATORIO DEL DELITO MUNICIPIO DE PASTO</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bl>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21"/>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9A2496" w:rsidRPr="009A2496" w:rsidTr="00000F81">
        <w:tc>
          <w:tcPr>
            <w:tcW w:w="219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Indicador</w:t>
            </w:r>
          </w:p>
        </w:tc>
        <w:tc>
          <w:tcPr>
            <w:tcW w:w="1765"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2011</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2012</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2013</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2014</w:t>
            </w:r>
          </w:p>
        </w:tc>
      </w:tr>
      <w:tr w:rsidR="009A2496" w:rsidRPr="009A2496" w:rsidTr="00000F81">
        <w:tc>
          <w:tcPr>
            <w:tcW w:w="2196" w:type="dxa"/>
            <w:shd w:val="clear" w:color="auto" w:fill="auto"/>
          </w:tcPr>
          <w:p w:rsidR="009A2496" w:rsidRPr="009A2496" w:rsidRDefault="009A2496" w:rsidP="00A92D87">
            <w:pPr>
              <w:spacing w:after="0" w:line="240" w:lineRule="auto"/>
              <w:rPr>
                <w:rFonts w:eastAsia="Calibri" w:cs="Times New Roman"/>
                <w:lang w:eastAsia="es-CO"/>
              </w:rPr>
            </w:pPr>
            <w:r w:rsidRPr="009A2496">
              <w:rPr>
                <w:rFonts w:eastAsia="Calibri" w:cs="Times New Roman"/>
                <w:lang w:eastAsia="es-CO"/>
              </w:rPr>
              <w:t>Tasa de muertes por accidentes de tránsito en niños, niñas y adolescentes</w:t>
            </w:r>
          </w:p>
        </w:tc>
        <w:tc>
          <w:tcPr>
            <w:tcW w:w="1765"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2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5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4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2 x 100000 Hbts</w:t>
            </w:r>
          </w:p>
        </w:tc>
      </w:tr>
      <w:tr w:rsidR="009A2496" w:rsidRPr="009A2496" w:rsidTr="00000F81">
        <w:tc>
          <w:tcPr>
            <w:tcW w:w="9259" w:type="dxa"/>
            <w:gridSpan w:val="5"/>
            <w:shd w:val="clear" w:color="auto" w:fill="auto"/>
          </w:tcPr>
          <w:p w:rsidR="009A2496" w:rsidRPr="009A2496" w:rsidRDefault="009A2496" w:rsidP="00A92D87">
            <w:pPr>
              <w:spacing w:after="0" w:line="240" w:lineRule="auto"/>
              <w:rPr>
                <w:rFonts w:eastAsia="Calibri" w:cs="Times New Roman"/>
                <w:b/>
                <w:lang w:eastAsia="es-CO"/>
              </w:rPr>
            </w:pPr>
            <w:r w:rsidRPr="009A2496">
              <w:rPr>
                <w:rFonts w:eastAsia="Calibri" w:cs="Times New Roman"/>
                <w:b/>
                <w:lang w:eastAsia="es-CO"/>
              </w:rPr>
              <w:t>Fuente y año:  OBSERVATORIO DEL DELITO</w:t>
            </w:r>
          </w:p>
        </w:tc>
      </w:tr>
    </w:tbl>
    <w:p w:rsidR="00DF63E8" w:rsidRDefault="00DF63E8" w:rsidP="00A92D87">
      <w:pPr>
        <w:spacing w:after="200" w:line="240" w:lineRule="auto"/>
        <w:rPr>
          <w:rFonts w:eastAsia="Calibri" w:cs="Times New Roman"/>
        </w:rPr>
      </w:pPr>
    </w:p>
    <w:p w:rsidR="00DF63E8" w:rsidRDefault="00DF63E8">
      <w:pPr>
        <w:rPr>
          <w:rFonts w:eastAsia="Calibri" w:cs="Times New Roman"/>
        </w:rPr>
      </w:pPr>
      <w:r>
        <w:rPr>
          <w:rFonts w:eastAsia="Calibri" w:cs="Times New Roman"/>
        </w:rPr>
        <w:br w:type="page"/>
      </w:r>
    </w:p>
    <w:p w:rsidR="009A2496" w:rsidRPr="009A2496" w:rsidRDefault="009A2496" w:rsidP="00A92D87">
      <w:pPr>
        <w:spacing w:after="200" w:line="240" w:lineRule="auto"/>
        <w:rPr>
          <w:rFonts w:eastAsia="Calibri" w:cs="Times New Roman"/>
        </w:rPr>
      </w:pPr>
    </w:p>
    <w:p w:rsidR="009A2496" w:rsidRPr="009A2496" w:rsidRDefault="009A2496" w:rsidP="00A92D87">
      <w:pPr>
        <w:spacing w:after="200" w:line="240" w:lineRule="auto"/>
        <w:rPr>
          <w:rFonts w:eastAsia="Calibri" w:cs="Times New Roman"/>
          <w:b/>
        </w:rPr>
      </w:pPr>
      <w:r w:rsidRPr="009A2496">
        <w:rPr>
          <w:rFonts w:eastAsia="Calibri" w:cs="Times New Roman"/>
          <w:b/>
        </w:rPr>
        <w:t xml:space="preserve">Gráfico: </w:t>
      </w:r>
    </w:p>
    <w:p w:rsidR="009A2496" w:rsidRPr="009A2496" w:rsidRDefault="009A2496" w:rsidP="00A92D87">
      <w:pPr>
        <w:spacing w:after="200" w:line="240" w:lineRule="auto"/>
        <w:rPr>
          <w:rFonts w:eastAsia="Calibri" w:cs="Times New Roman"/>
          <w:b/>
        </w:rPr>
      </w:pPr>
      <w:r w:rsidRPr="009A2496">
        <w:rPr>
          <w:rFonts w:eastAsia="Calibri" w:cs="Times New Roman"/>
          <w:noProof/>
          <w:lang w:val="es-ES" w:eastAsia="es-ES"/>
        </w:rPr>
        <w:drawing>
          <wp:inline distT="0" distB="0" distL="0" distR="0">
            <wp:extent cx="5521960" cy="2133600"/>
            <wp:effectExtent l="0" t="0" r="2540" b="0"/>
            <wp:docPr id="22"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A2496" w:rsidRPr="009A2496" w:rsidRDefault="009A2496" w:rsidP="00A92D87">
      <w:pPr>
        <w:numPr>
          <w:ilvl w:val="0"/>
          <w:numId w:val="21"/>
        </w:numPr>
        <w:spacing w:after="0" w:line="240" w:lineRule="auto"/>
        <w:ind w:left="360"/>
        <w:contextualSpacing/>
        <w:jc w:val="both"/>
        <w:rPr>
          <w:rFonts w:eastAsia="Times New Roman" w:cs="Times New Roman"/>
          <w:b/>
          <w:lang w:val="es-ES" w:eastAsia="ar-SA"/>
        </w:rPr>
      </w:pPr>
      <w:r w:rsidRPr="009A2496">
        <w:rPr>
          <w:rFonts w:eastAsia="Times New Roman" w:cs="Times New Roman"/>
          <w:b/>
          <w:lang w:val="es-ES" w:eastAsia="ar-SA"/>
        </w:rPr>
        <w:t>Situación detectada</w:t>
      </w:r>
    </w:p>
    <w:tbl>
      <w:tblPr>
        <w:tblW w:w="5317" w:type="pct"/>
        <w:tblCellMar>
          <w:left w:w="70" w:type="dxa"/>
          <w:right w:w="70" w:type="dxa"/>
        </w:tblCellMar>
        <w:tblLook w:val="04A0"/>
      </w:tblPr>
      <w:tblGrid>
        <w:gridCol w:w="3575"/>
        <w:gridCol w:w="685"/>
        <w:gridCol w:w="808"/>
        <w:gridCol w:w="685"/>
        <w:gridCol w:w="808"/>
        <w:gridCol w:w="685"/>
        <w:gridCol w:w="808"/>
        <w:gridCol w:w="685"/>
        <w:gridCol w:w="808"/>
      </w:tblGrid>
      <w:tr w:rsidR="009A2496" w:rsidRPr="009A2496" w:rsidTr="00000F81">
        <w:trPr>
          <w:trHeight w:val="300"/>
        </w:trPr>
        <w:tc>
          <w:tcPr>
            <w:tcW w:w="18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rPr>
                <w:rFonts w:eastAsia="Times New Roman" w:cs="Arial"/>
                <w:b/>
                <w:lang w:eastAsia="es-CO"/>
              </w:rPr>
            </w:pPr>
            <w:r w:rsidRPr="009A2496">
              <w:rPr>
                <w:rFonts w:eastAsia="Times New Roman" w:cs="Arial"/>
                <w:b/>
                <w:lang w:eastAsia="es-CO"/>
              </w:rPr>
              <w:t>LESION FATAL</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2011</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TASA</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2012</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TASA</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2013</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TASA</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2014</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0" w:line="240" w:lineRule="auto"/>
              <w:jc w:val="center"/>
              <w:rPr>
                <w:rFonts w:eastAsia="Times New Roman" w:cs="Arial"/>
                <w:b/>
                <w:lang w:eastAsia="es-CO"/>
              </w:rPr>
            </w:pPr>
            <w:r w:rsidRPr="009A2496">
              <w:rPr>
                <w:rFonts w:eastAsia="Times New Roman" w:cs="Arial"/>
                <w:b/>
                <w:lang w:eastAsia="es-CO"/>
              </w:rPr>
              <w:t>TASA</w:t>
            </w:r>
          </w:p>
        </w:tc>
      </w:tr>
      <w:tr w:rsidR="009A2496" w:rsidRPr="009A2496" w:rsidTr="00000F81">
        <w:trPr>
          <w:trHeight w:val="281"/>
        </w:trPr>
        <w:tc>
          <w:tcPr>
            <w:tcW w:w="18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A2496" w:rsidRPr="009A2496" w:rsidRDefault="009A2496" w:rsidP="00A92D87">
            <w:pPr>
              <w:spacing w:after="200" w:line="240" w:lineRule="auto"/>
              <w:rPr>
                <w:rFonts w:eastAsia="Calibri" w:cs="Arial"/>
              </w:rPr>
            </w:pPr>
            <w:r w:rsidRPr="009A2496">
              <w:rPr>
                <w:rFonts w:eastAsia="Calibri" w:cs="Arial"/>
              </w:rPr>
              <w:t>TRANSITO</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200" w:line="240" w:lineRule="auto"/>
              <w:jc w:val="center"/>
              <w:rPr>
                <w:rFonts w:eastAsia="Calibri" w:cs="Arial"/>
              </w:rPr>
            </w:pPr>
            <w:r w:rsidRPr="009A2496">
              <w:rPr>
                <w:rFonts w:eastAsia="Calibri" w:cs="Arial"/>
              </w:rPr>
              <w:t>3</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200" w:line="240" w:lineRule="auto"/>
              <w:jc w:val="center"/>
              <w:rPr>
                <w:rFonts w:eastAsia="Calibri" w:cs="Arial"/>
              </w:rPr>
            </w:pPr>
            <w:r w:rsidRPr="009A2496">
              <w:rPr>
                <w:rFonts w:eastAsia="Calibri" w:cs="Arial"/>
              </w:rPr>
              <w:t>2</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200" w:line="240" w:lineRule="auto"/>
              <w:jc w:val="center"/>
              <w:rPr>
                <w:rFonts w:eastAsia="Calibri" w:cs="Arial"/>
              </w:rPr>
            </w:pPr>
            <w:r w:rsidRPr="009A2496">
              <w:rPr>
                <w:rFonts w:eastAsia="Calibri" w:cs="Arial"/>
              </w:rPr>
              <w:t>6</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200" w:line="240" w:lineRule="auto"/>
              <w:jc w:val="center"/>
              <w:rPr>
                <w:rFonts w:eastAsia="Calibri" w:cs="Arial"/>
              </w:rPr>
            </w:pPr>
            <w:r w:rsidRPr="009A2496">
              <w:rPr>
                <w:rFonts w:eastAsia="Calibri" w:cs="Arial"/>
              </w:rPr>
              <w:t>5</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200" w:line="240" w:lineRule="auto"/>
              <w:jc w:val="center"/>
              <w:rPr>
                <w:rFonts w:eastAsia="Calibri" w:cs="Arial"/>
              </w:rPr>
            </w:pPr>
            <w:r w:rsidRPr="009A2496">
              <w:rPr>
                <w:rFonts w:eastAsia="Calibri" w:cs="Arial"/>
              </w:rPr>
              <w:t>5</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200" w:line="240" w:lineRule="auto"/>
              <w:jc w:val="center"/>
              <w:rPr>
                <w:rFonts w:eastAsia="Calibri" w:cs="Arial"/>
              </w:rPr>
            </w:pPr>
            <w:r w:rsidRPr="009A2496">
              <w:rPr>
                <w:rFonts w:eastAsia="Calibri" w:cs="Arial"/>
              </w:rPr>
              <w:t>4</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200" w:line="240" w:lineRule="auto"/>
              <w:jc w:val="center"/>
              <w:rPr>
                <w:rFonts w:eastAsia="Calibri" w:cs="Arial"/>
              </w:rPr>
            </w:pPr>
            <w:r w:rsidRPr="009A2496">
              <w:rPr>
                <w:rFonts w:eastAsia="Calibri" w:cs="Arial"/>
              </w:rPr>
              <w:t>2</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A2496" w:rsidRPr="009A2496" w:rsidRDefault="009A2496" w:rsidP="00A92D87">
            <w:pPr>
              <w:spacing w:after="200" w:line="240" w:lineRule="auto"/>
              <w:jc w:val="center"/>
              <w:rPr>
                <w:rFonts w:eastAsia="Calibri" w:cs="Arial"/>
              </w:rPr>
            </w:pPr>
            <w:r w:rsidRPr="009A2496">
              <w:rPr>
                <w:rFonts w:eastAsia="Calibri" w:cs="Arial"/>
              </w:rPr>
              <w:t>2</w:t>
            </w:r>
          </w:p>
        </w:tc>
      </w:tr>
    </w:tbl>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 xml:space="preserve">El 76% de los casos presentados de muertes por accidentes de tránsito son hombres, en el 43% de las muertes están involucradas las motocicletas y el 36% son peatones, se presentan generalmente los fines de semana. </w:t>
      </w:r>
    </w:p>
    <w:p w:rsidR="009A2496" w:rsidRPr="009A2496" w:rsidRDefault="009A2496" w:rsidP="00A92D87">
      <w:pPr>
        <w:numPr>
          <w:ilvl w:val="0"/>
          <w:numId w:val="2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A2496" w:rsidRPr="009A2496" w:rsidRDefault="009A2496" w:rsidP="00A92D87">
      <w:pPr>
        <w:suppressAutoHyphens/>
        <w:spacing w:after="0" w:line="240" w:lineRule="auto"/>
        <w:ind w:left="1080"/>
        <w:contextualSpacing/>
        <w:rPr>
          <w:rFonts w:eastAsia="Times New Roman" w:cs="Times New Roman"/>
          <w:lang w:val="es-ES" w:eastAsia="ar-SA"/>
        </w:rPr>
      </w:pPr>
    </w:p>
    <w:p w:rsidR="009A2496" w:rsidRPr="009A2496" w:rsidRDefault="009A2496" w:rsidP="00A92D87">
      <w:pPr>
        <w:numPr>
          <w:ilvl w:val="0"/>
          <w:numId w:val="2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pacing w:after="200" w:line="240" w:lineRule="auto"/>
        <w:ind w:left="360"/>
        <w:jc w:val="both"/>
        <w:rPr>
          <w:rFonts w:eastAsia="Calibri" w:cs="Times New Roman"/>
          <w:b/>
        </w:rPr>
      </w:pPr>
      <w:r w:rsidRPr="009A2496">
        <w:rPr>
          <w:rFonts w:eastAsia="Calibri" w:cs="Times New Roman"/>
        </w:rPr>
        <w:t>Campañas de prevención y control por parte de la Secretaria de Tránsito y transporte y Policía de carreteras en la parte rural del Municipio.</w:t>
      </w:r>
    </w:p>
    <w:p w:rsidR="009A2496" w:rsidRPr="009A2496" w:rsidRDefault="009A2496" w:rsidP="00A92D87">
      <w:pPr>
        <w:numPr>
          <w:ilvl w:val="0"/>
          <w:numId w:val="2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2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Resultados al término de la gestión  (2012 -2014)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lastRenderedPageBreak/>
        <w:t>En término de resultados en menores de 17 años el año 2014, es el que presenta mayor reducción tanto en el número de casos como en tasa por 100.000 habitantes.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2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una descripción más exacta del problema.</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obliga a ser claros y exactos en materia de priorizar acciones preventivas y correctivas.</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identificar factores de riesgo.</w:t>
      </w:r>
    </w:p>
    <w:p w:rsid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permite tomar decisiones en base a la evidencia.</w:t>
      </w:r>
    </w:p>
    <w:p w:rsidR="00DF63E8" w:rsidRPr="009A2496" w:rsidRDefault="00DF63E8" w:rsidP="00DF63E8">
      <w:pPr>
        <w:spacing w:after="0" w:line="240" w:lineRule="auto"/>
        <w:ind w:left="1440"/>
        <w:contextualSpacing/>
        <w:rPr>
          <w:rFonts w:eastAsia="Times New Roman" w:cs="Times New Roman"/>
          <w:lang w:val="es-ES" w:eastAsia="ar-SA"/>
        </w:rPr>
      </w:pPr>
    </w:p>
    <w:p w:rsidR="009A2496" w:rsidRPr="009A2496" w:rsidRDefault="009A2496" w:rsidP="00A92D87">
      <w:pPr>
        <w:numPr>
          <w:ilvl w:val="0"/>
          <w:numId w:val="2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Tener en cuenta los peatones y los motociclistas, ya que son los más afectados en este tipo de muertes.</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21"/>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Tomar la información de Observatorio del Delito como herramienta fundamental al momento de implementar planes y/o acciones dentro del Municipio.</w:t>
      </w:r>
    </w:p>
    <w:p w:rsidR="00DF63E8" w:rsidRPr="00DF63E8" w:rsidRDefault="00DF63E8" w:rsidP="00250676">
      <w:pPr>
        <w:pStyle w:val="Ttulo2"/>
        <w:rPr>
          <w:rFonts w:asciiTheme="minorHAnsi" w:hAnsiTheme="minorHAnsi"/>
          <w:b/>
          <w:color w:val="auto"/>
          <w:sz w:val="22"/>
          <w:szCs w:val="22"/>
        </w:rPr>
      </w:pPr>
      <w:bookmarkStart w:id="19" w:name="_Toc437376008"/>
    </w:p>
    <w:p w:rsidR="00DF63E8" w:rsidRDefault="00A85AD9" w:rsidP="00DF63E8">
      <w:pPr>
        <w:pStyle w:val="Ttulo2"/>
        <w:ind w:firstLine="360"/>
        <w:rPr>
          <w:rFonts w:asciiTheme="minorHAnsi" w:hAnsiTheme="minorHAnsi"/>
          <w:b/>
          <w:color w:val="auto"/>
          <w:sz w:val="22"/>
          <w:szCs w:val="22"/>
        </w:rPr>
      </w:pPr>
      <w:r w:rsidRPr="00DF63E8">
        <w:rPr>
          <w:rFonts w:asciiTheme="minorHAnsi" w:hAnsiTheme="minorHAnsi"/>
          <w:b/>
          <w:color w:val="auto"/>
          <w:sz w:val="22"/>
          <w:szCs w:val="22"/>
        </w:rPr>
        <w:t xml:space="preserve">6.1.2 </w:t>
      </w:r>
      <w:r w:rsidR="009A2496" w:rsidRPr="00DF63E8">
        <w:rPr>
          <w:rFonts w:asciiTheme="minorHAnsi" w:hAnsiTheme="minorHAnsi"/>
          <w:b/>
          <w:color w:val="auto"/>
          <w:sz w:val="22"/>
          <w:szCs w:val="22"/>
        </w:rPr>
        <w:t>CATEGORIA DE DERECHOS AL DESARROLLO</w:t>
      </w:r>
      <w:bookmarkEnd w:id="19"/>
    </w:p>
    <w:p w:rsidR="00DF63E8" w:rsidRPr="00DF63E8" w:rsidRDefault="00DF63E8" w:rsidP="00DF63E8">
      <w:pPr>
        <w:pStyle w:val="Ttulo2"/>
        <w:rPr>
          <w:rFonts w:cs="Arial"/>
          <w:b/>
          <w:bCs/>
          <w:color w:val="auto"/>
          <w:sz w:val="22"/>
          <w:szCs w:val="22"/>
        </w:rPr>
      </w:pPr>
    </w:p>
    <w:p w:rsidR="009A2496" w:rsidRPr="00DF63E8" w:rsidRDefault="009A2496" w:rsidP="00DF63E8">
      <w:pPr>
        <w:pStyle w:val="Ttulo2"/>
        <w:ind w:firstLine="360"/>
        <w:rPr>
          <w:rFonts w:cs="Arial"/>
          <w:b/>
          <w:bCs/>
          <w:color w:val="auto"/>
          <w:sz w:val="22"/>
          <w:szCs w:val="22"/>
        </w:rPr>
      </w:pPr>
      <w:r w:rsidRPr="00DF63E8">
        <w:rPr>
          <w:rFonts w:cs="Arial"/>
          <w:b/>
          <w:bCs/>
          <w:color w:val="auto"/>
          <w:sz w:val="22"/>
          <w:szCs w:val="22"/>
        </w:rPr>
        <w:t>CDI NIDOS NUTRIR:</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Los Centros de Recuperación Nutricional denominados Nidos Nutrir, son una modalidad semi – internado que permiten atender a niños y niñas en su primera infancia, en donde se minimiza la vulneración de derechos a través de la recuperación nutricional y la habilitación de la familia en el desarrollo humano del niño.</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Los Nidos Nutrir se ha convertido en una experiencia exitosa, por cuanto su analogía es objetivamente verificable, dado que los nidos se han convertido en lugar que ofrecen factores de protección a través de la atención integral que brindan las Docentes, Psicólogos, Trabajadora Social, Nutricionista, Auxiliar de enfermería, Técnico en alimentos, Administrador de empresas involucrados en el desarrollo de los componentes pedagógico, nutricional, familiar, comunitario y administrativo.</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 xml:space="preserve">Además de acuerdo a la pertinencia del contexto se desarrolla el modelo de “detección, prevención y tratamiento de la Violencia Intrafamiliar” en su componente de Educación, con el fin de promocionar comportamientos pro sociales, disminuir comportamientos riesgos y desarrollar una sexualidad sana en niños y niñas de  tres a cinco años y sus familias y se ha implementado la estrategia “APÓYAME EN MI DESARROLLO”,  el cual se focaliza en fortalecer cada una de las áreas del desarrollo evolutivo del niño de uno a cinco años de acuerdo a la  </w:t>
      </w:r>
      <w:r w:rsidRPr="009A2496">
        <w:rPr>
          <w:rFonts w:cs="Arial"/>
          <w:bCs/>
        </w:rPr>
        <w:lastRenderedPageBreak/>
        <w:t>edad  de los niños  y niñas, discriminándola de la siguiente manera, NIDO “A” que corresponde  a la edad de 1 a 2 años, NIDO “B”  corresponde a la edad de 2 a 3 años, y NIDO “C”, corresponde a la edad de 3 a 5 años.</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Este proyecto se encuentra inmerso en el PLAN DE DESARROLLO “TRANSFORMACION PRODUCTIVA 2012- 2015”, teniendo como meta del cuatrienio la atención de 1.200 niños y niñas.</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Atención integral. Generamos una atención integral, teniendo en cuenta la estrategia de “Cero a Siempre” liderada por Presidencia de la Republica, a través de la articulación con los diferentes programas ofrecidos la Secretaria de Bienestar Social así:</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Beneficiarios. Desde el mes de mayo del año 2012 hasta diciembre de 2015 se han atendido 1424 niños y niñas.</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Vinculación al sistema educativo. Se ha logrado vincular en los últimos cuatro años 460 niños y niñas graduados de los CDI nidos nutrir a las diferentes instituciones educativas del municipio de Pasto.</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 xml:space="preserve">Convenios. Se ha logrado firmar un convenio con el ICBF para que los nidos transiten a Centros de Desarrollo Infantil CDI, estrategia de Cero a Siempre, en donde se inyecto más recursos a nivel nacional, se mejoró la minuta, se aumentó el talento humano profesional, altamente calificado, como Licenciadas en Preescolar, Licenciado en Educación Física, Recreación y Deporte, artes, Sicólogas y Manipuladoras de Alimentos para la atención adecuada de los niños y niñas.   </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 xml:space="preserve">En convenio con la Universidad Cooperativa se logró obtener gratuitamente los certificados médicos y odontológicos del 100% de los niños y niñas. </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Convenio con la Fundación Rayuela, con la que se trabajó el proyecto Leamos de la Mano por Los Caminos del Sur Primera Infancia, articulados con el Ministerio de Cultura, donde prima el acompañamiento afectivo de cuatro docentes que se trasladan a cada nido nutrir, para promover el hábito de la lectura de manera didáctica, la construcción del Rincón de la Lectura, así como la visita de los niños y niñas a la biblioteca de la misma.</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 xml:space="preserve">Con la Fundación ÉXITO se logró obtener una dotación para material didáctico, mobiliario, 4 T.V., 4 DVD y 4 grabadoras, por valor de DIECISIETE MILLONES DE PESOS MDA/CTE ($ 17.000.000).                               </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 xml:space="preserve">En gestiones adelantadas en la Cruz Roja se logró la atención al 100% de los niños y niñas por parte de un médico general, quien realizo la respectiva valoración, entrega de medicamentos y mercados para las familias.                          </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Participación en diferentes programas y proyectos. Se participó en la semana de la cultura, día de la familia, día del niño.</w:t>
      </w:r>
    </w:p>
    <w:p w:rsidR="009A2496" w:rsidRPr="009A2496" w:rsidRDefault="009A2496" w:rsidP="00DF63E8">
      <w:pPr>
        <w:autoSpaceDE w:val="0"/>
        <w:autoSpaceDN w:val="0"/>
        <w:adjustRightInd w:val="0"/>
        <w:spacing w:after="200" w:line="240" w:lineRule="auto"/>
        <w:ind w:firstLine="360"/>
        <w:jc w:val="both"/>
        <w:rPr>
          <w:rFonts w:cs="Arial"/>
          <w:bCs/>
        </w:rPr>
      </w:pPr>
      <w:r w:rsidRPr="009A2496">
        <w:rPr>
          <w:rFonts w:cs="Arial"/>
          <w:bCs/>
        </w:rPr>
        <w:t xml:space="preserve">Se organizó el primer encuentro de danzas primera infancia del municipio de Pasto. </w:t>
      </w:r>
    </w:p>
    <w:p w:rsidR="009A2496" w:rsidRPr="009A2496" w:rsidRDefault="009A2496" w:rsidP="00DF63E8">
      <w:pPr>
        <w:autoSpaceDE w:val="0"/>
        <w:autoSpaceDN w:val="0"/>
        <w:adjustRightInd w:val="0"/>
        <w:spacing w:after="200" w:line="240" w:lineRule="auto"/>
        <w:ind w:firstLine="360"/>
        <w:jc w:val="both"/>
        <w:rPr>
          <w:rFonts w:cs="Arial"/>
          <w:bCs/>
        </w:rPr>
      </w:pPr>
      <w:r w:rsidRPr="009A2496">
        <w:rPr>
          <w:rFonts w:cs="Arial"/>
          <w:bCs/>
        </w:rPr>
        <w:lastRenderedPageBreak/>
        <w:t>En los últimos cuatro años se ha logrado que el 98% de los niños y niñas suban de talla.</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 xml:space="preserve">Vinculación de 20 niños y niñas con habilidades especiales. Desde el año 2013 se vinculó a 20 niños y niñas con habilidades especiales a los CDI nidos nutrir provenientes de un proyecto creado por la Secretaria de Bienestar Social llamado “Ángeles de Dios”, siendo este un pilotaje a nivel nacional, que tiene en cuenta la inclusión planteada por la estrategia de Cero a Siempre. </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 xml:space="preserve">Ampliación de cobertura. Desde el año 2012 la Alcaldía de Pasto por medio de un convenio con la Fundación María de Nazaret realiza aportes para la atención de 40 niños y niñas. </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En el año 2013 se logró ampliación de cobertura de 330 cupos para Pasto esto se dio ya que a raíz del convenio la Alcaldía realiza la financiación del transporte para los niños y niñas que lo requieran.</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En este año 2015 se logró que el jardín piloto se convirtiera en CDI nido nutrir ampliando cobertura de 80 niños y niñas.</w:t>
      </w:r>
    </w:p>
    <w:p w:rsidR="009A2496" w:rsidRPr="009A2496" w:rsidRDefault="009A2496" w:rsidP="00DF63E8">
      <w:pPr>
        <w:autoSpaceDE w:val="0"/>
        <w:autoSpaceDN w:val="0"/>
        <w:adjustRightInd w:val="0"/>
        <w:spacing w:after="200" w:line="240" w:lineRule="auto"/>
        <w:ind w:left="360"/>
        <w:jc w:val="both"/>
        <w:rPr>
          <w:rFonts w:cs="Arial"/>
          <w:bCs/>
        </w:rPr>
      </w:pPr>
      <w:r w:rsidRPr="009A2496">
        <w:rPr>
          <w:rFonts w:cs="Arial"/>
          <w:bCs/>
        </w:rPr>
        <w:t>Generación de empleo. Con la creación del convenio y así lograr la atención integral de los niños y niñas beneficiarios del proyecto se ve la necesidad de contratar más profesionales y personal de apoyo con esto se genera más trabajo en el municipio ya que hay más recursos.</w:t>
      </w:r>
    </w:p>
    <w:p w:rsidR="009A2496" w:rsidRPr="009A2496" w:rsidRDefault="009A2496" w:rsidP="00DF63E8">
      <w:pPr>
        <w:autoSpaceDE w:val="0"/>
        <w:autoSpaceDN w:val="0"/>
        <w:adjustRightInd w:val="0"/>
        <w:spacing w:after="200" w:line="240" w:lineRule="auto"/>
        <w:ind w:firstLine="360"/>
        <w:jc w:val="both"/>
        <w:rPr>
          <w:rFonts w:cs="Arial"/>
          <w:bCs/>
        </w:rPr>
      </w:pPr>
      <w:r w:rsidRPr="009A2496">
        <w:rPr>
          <w:rFonts w:cs="Arial"/>
          <w:bCs/>
        </w:rPr>
        <w:t>Avances Plan de Desarrollo:</w:t>
      </w:r>
    </w:p>
    <w:p w:rsidR="009A2496" w:rsidRPr="009A2496" w:rsidRDefault="009A2496" w:rsidP="00DF63E8">
      <w:pPr>
        <w:keepNext/>
        <w:spacing w:after="0" w:line="240" w:lineRule="auto"/>
        <w:ind w:firstLine="360"/>
        <w:outlineLvl w:val="0"/>
        <w:rPr>
          <w:rFonts w:eastAsia="Times New Roman" w:cs="Arial"/>
          <w:b/>
          <w:bCs/>
          <w:kern w:val="32"/>
          <w:lang w:val="es-ES" w:eastAsia="es-ES"/>
        </w:rPr>
      </w:pPr>
      <w:bookmarkStart w:id="20" w:name="_Toc437370395"/>
      <w:bookmarkStart w:id="21" w:name="_Toc437376009"/>
      <w:r w:rsidRPr="009A2496">
        <w:rPr>
          <w:rFonts w:eastAsia="Times New Roman" w:cs="Arial"/>
          <w:b/>
          <w:bCs/>
          <w:kern w:val="32"/>
          <w:lang w:val="es-ES" w:eastAsia="es-ES"/>
        </w:rPr>
        <w:t>Indicadores Plan de Desarrollo Municipal</w:t>
      </w:r>
      <w:bookmarkEnd w:id="20"/>
      <w:bookmarkEnd w:id="21"/>
    </w:p>
    <w:p w:rsidR="009A2496" w:rsidRPr="009A2496" w:rsidRDefault="009A2496" w:rsidP="00A92D87">
      <w:pPr>
        <w:keepNext/>
        <w:spacing w:after="0" w:line="240" w:lineRule="auto"/>
        <w:outlineLvl w:val="0"/>
        <w:rPr>
          <w:rFonts w:eastAsia="Times New Roman" w:cs="Arial"/>
          <w:b/>
          <w:bCs/>
          <w:kern w:val="32"/>
          <w:lang w:val="es-ES" w:eastAsia="es-E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417"/>
        <w:gridCol w:w="1843"/>
        <w:gridCol w:w="2268"/>
      </w:tblGrid>
      <w:tr w:rsidR="009A2496" w:rsidRPr="009A2496" w:rsidTr="00000F81">
        <w:tc>
          <w:tcPr>
            <w:tcW w:w="4503"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22" w:name="_Toc437370396"/>
            <w:bookmarkStart w:id="23" w:name="_Toc437376010"/>
            <w:r w:rsidRPr="009A2496">
              <w:rPr>
                <w:rFonts w:eastAsia="Times New Roman" w:cs="Arial"/>
                <w:b/>
                <w:bCs/>
                <w:kern w:val="32"/>
                <w:lang w:val="es-ES" w:eastAsia="es-ES"/>
              </w:rPr>
              <w:t>INDICADOR</w:t>
            </w:r>
            <w:bookmarkEnd w:id="22"/>
            <w:bookmarkEnd w:id="23"/>
          </w:p>
        </w:tc>
        <w:tc>
          <w:tcPr>
            <w:tcW w:w="1417"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24" w:name="_Toc437370397"/>
            <w:bookmarkStart w:id="25" w:name="_Toc437376011"/>
            <w:r w:rsidRPr="009A2496">
              <w:rPr>
                <w:rFonts w:eastAsia="Times New Roman" w:cs="Arial"/>
                <w:b/>
                <w:bCs/>
                <w:kern w:val="32"/>
                <w:lang w:val="es-ES" w:eastAsia="es-ES"/>
              </w:rPr>
              <w:t>META CUATRENIO</w:t>
            </w:r>
            <w:bookmarkEnd w:id="24"/>
            <w:bookmarkEnd w:id="25"/>
          </w:p>
        </w:tc>
        <w:tc>
          <w:tcPr>
            <w:tcW w:w="1843"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26" w:name="_Toc437370398"/>
            <w:bookmarkStart w:id="27" w:name="_Toc437376012"/>
            <w:r w:rsidRPr="009A2496">
              <w:rPr>
                <w:rFonts w:eastAsia="Times New Roman" w:cs="Arial"/>
                <w:b/>
                <w:bCs/>
                <w:kern w:val="32"/>
                <w:lang w:val="es-ES" w:eastAsia="es-ES"/>
              </w:rPr>
              <w:t>CUMPLIMIENTO</w:t>
            </w:r>
            <w:bookmarkEnd w:id="26"/>
            <w:bookmarkEnd w:id="27"/>
          </w:p>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28" w:name="_Toc437370399"/>
            <w:bookmarkStart w:id="29" w:name="_Toc437376013"/>
            <w:r w:rsidRPr="009A2496">
              <w:rPr>
                <w:rFonts w:eastAsia="Times New Roman" w:cs="Arial"/>
                <w:b/>
                <w:bCs/>
                <w:kern w:val="32"/>
                <w:lang w:val="es-ES" w:eastAsia="es-ES"/>
              </w:rPr>
              <w:t>(Abril de 2015)</w:t>
            </w:r>
            <w:bookmarkEnd w:id="28"/>
            <w:bookmarkEnd w:id="29"/>
          </w:p>
        </w:tc>
        <w:tc>
          <w:tcPr>
            <w:tcW w:w="2268"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30" w:name="_Toc437370400"/>
            <w:bookmarkStart w:id="31" w:name="_Toc437376014"/>
            <w:r w:rsidRPr="009A2496">
              <w:rPr>
                <w:rFonts w:eastAsia="Times New Roman" w:cs="Arial"/>
                <w:b/>
                <w:bCs/>
                <w:kern w:val="32"/>
                <w:lang w:val="es-ES" w:eastAsia="es-ES"/>
              </w:rPr>
              <w:t>% DE CUMPLIMIENTO</w:t>
            </w:r>
            <w:bookmarkEnd w:id="30"/>
            <w:bookmarkEnd w:id="31"/>
          </w:p>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32" w:name="_Toc437370401"/>
            <w:bookmarkStart w:id="33" w:name="_Toc437376015"/>
            <w:r w:rsidRPr="009A2496">
              <w:rPr>
                <w:rFonts w:eastAsia="Times New Roman" w:cs="Arial"/>
                <w:b/>
                <w:bCs/>
                <w:kern w:val="32"/>
                <w:lang w:val="es-ES" w:eastAsia="es-ES"/>
              </w:rPr>
              <w:t>(Abril de 22015)</w:t>
            </w:r>
            <w:bookmarkEnd w:id="32"/>
            <w:bookmarkEnd w:id="33"/>
          </w:p>
        </w:tc>
      </w:tr>
      <w:tr w:rsidR="009A2496" w:rsidRPr="009A2496" w:rsidTr="00000F81">
        <w:tc>
          <w:tcPr>
            <w:tcW w:w="4503" w:type="dxa"/>
            <w:shd w:val="clear" w:color="auto" w:fill="auto"/>
          </w:tcPr>
          <w:p w:rsidR="009A2496" w:rsidRPr="009A2496" w:rsidRDefault="009A2496" w:rsidP="00A92D87">
            <w:pPr>
              <w:keepNext/>
              <w:spacing w:after="0" w:line="240" w:lineRule="auto"/>
              <w:jc w:val="both"/>
              <w:outlineLvl w:val="0"/>
              <w:rPr>
                <w:rFonts w:eastAsia="Times New Roman" w:cs="Arial"/>
                <w:bCs/>
                <w:kern w:val="32"/>
                <w:lang w:val="es-ES" w:eastAsia="es-ES"/>
              </w:rPr>
            </w:pPr>
            <w:bookmarkStart w:id="34" w:name="_Toc437370402"/>
            <w:bookmarkStart w:id="35" w:name="_Toc437376016"/>
            <w:r w:rsidRPr="009A2496">
              <w:rPr>
                <w:rFonts w:eastAsia="Times New Roman" w:cs="Arial"/>
                <w:bCs/>
                <w:kern w:val="32"/>
                <w:lang w:val="es-ES" w:eastAsia="es-ES"/>
              </w:rPr>
              <w:t>Niños y niñas menores de cinco años atendidos integralmente en los aspectos nutricional, pedagógico y psicosocial.</w:t>
            </w:r>
            <w:bookmarkEnd w:id="34"/>
            <w:bookmarkEnd w:id="35"/>
          </w:p>
          <w:p w:rsidR="009A2496" w:rsidRPr="009A2496" w:rsidRDefault="009A2496" w:rsidP="00A92D87">
            <w:pPr>
              <w:keepNext/>
              <w:spacing w:after="0" w:line="240" w:lineRule="auto"/>
              <w:jc w:val="both"/>
              <w:outlineLvl w:val="0"/>
              <w:rPr>
                <w:rFonts w:eastAsia="Times New Roman" w:cs="Arial"/>
                <w:bCs/>
                <w:kern w:val="32"/>
                <w:lang w:val="es-ES" w:eastAsia="es-ES"/>
              </w:rPr>
            </w:pPr>
          </w:p>
        </w:tc>
        <w:tc>
          <w:tcPr>
            <w:tcW w:w="1417"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36" w:name="_Toc437370403"/>
            <w:bookmarkStart w:id="37" w:name="_Toc437376017"/>
            <w:r w:rsidRPr="009A2496">
              <w:rPr>
                <w:rFonts w:eastAsia="Times New Roman" w:cs="Arial"/>
                <w:bCs/>
                <w:kern w:val="32"/>
                <w:lang w:val="es-ES" w:eastAsia="es-ES"/>
              </w:rPr>
              <w:t>1.200</w:t>
            </w:r>
            <w:bookmarkEnd w:id="36"/>
            <w:bookmarkEnd w:id="37"/>
          </w:p>
        </w:tc>
        <w:tc>
          <w:tcPr>
            <w:tcW w:w="1843"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38" w:name="_Toc437370404"/>
            <w:bookmarkStart w:id="39" w:name="_Toc437376018"/>
            <w:r w:rsidRPr="009A2496">
              <w:rPr>
                <w:rFonts w:eastAsia="Times New Roman" w:cs="Arial"/>
                <w:bCs/>
                <w:kern w:val="32"/>
                <w:lang w:val="es-ES" w:eastAsia="es-ES"/>
              </w:rPr>
              <w:t>1.424</w:t>
            </w:r>
            <w:bookmarkEnd w:id="38"/>
            <w:bookmarkEnd w:id="39"/>
          </w:p>
        </w:tc>
        <w:tc>
          <w:tcPr>
            <w:tcW w:w="2268"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40" w:name="_Toc437370405"/>
            <w:bookmarkStart w:id="41" w:name="_Toc437376019"/>
            <w:r w:rsidRPr="009A2496">
              <w:rPr>
                <w:rFonts w:eastAsia="Times New Roman" w:cs="Arial"/>
                <w:bCs/>
                <w:kern w:val="32"/>
                <w:lang w:val="es-ES" w:eastAsia="es-ES"/>
              </w:rPr>
              <w:t>118%</w:t>
            </w:r>
            <w:bookmarkEnd w:id="40"/>
            <w:bookmarkEnd w:id="41"/>
          </w:p>
        </w:tc>
      </w:tr>
      <w:tr w:rsidR="009A2496" w:rsidRPr="009A2496" w:rsidTr="00000F81">
        <w:tc>
          <w:tcPr>
            <w:tcW w:w="4503" w:type="dxa"/>
            <w:shd w:val="clear" w:color="auto" w:fill="auto"/>
          </w:tcPr>
          <w:p w:rsidR="009A2496" w:rsidRPr="009A2496" w:rsidRDefault="009A2496" w:rsidP="00A92D87">
            <w:pPr>
              <w:keepNext/>
              <w:spacing w:after="0" w:line="240" w:lineRule="auto"/>
              <w:jc w:val="both"/>
              <w:outlineLvl w:val="0"/>
              <w:rPr>
                <w:rFonts w:eastAsia="Times New Roman" w:cs="Arial"/>
                <w:bCs/>
                <w:kern w:val="32"/>
                <w:lang w:val="es-ES" w:eastAsia="es-ES"/>
              </w:rPr>
            </w:pPr>
            <w:bookmarkStart w:id="42" w:name="_Toc437370406"/>
            <w:bookmarkStart w:id="43" w:name="_Toc437376020"/>
            <w:r w:rsidRPr="009A2496">
              <w:rPr>
                <w:rFonts w:eastAsia="Times New Roman" w:cs="Arial"/>
                <w:bCs/>
                <w:kern w:val="32"/>
                <w:lang w:val="es-ES" w:eastAsia="es-ES"/>
              </w:rPr>
              <w:t>Grupos familiares de los niños y niñas menores de cinco años, vinculados a los programas de atención integral, con asistencia psicosocial.</w:t>
            </w:r>
            <w:bookmarkEnd w:id="42"/>
            <w:bookmarkEnd w:id="43"/>
          </w:p>
          <w:p w:rsidR="009A2496" w:rsidRPr="009A2496" w:rsidRDefault="009A2496" w:rsidP="00A92D87">
            <w:pPr>
              <w:keepNext/>
              <w:spacing w:after="0" w:line="240" w:lineRule="auto"/>
              <w:jc w:val="both"/>
              <w:outlineLvl w:val="0"/>
              <w:rPr>
                <w:rFonts w:eastAsia="Times New Roman" w:cs="Arial"/>
                <w:bCs/>
                <w:kern w:val="32"/>
                <w:lang w:val="es-ES" w:eastAsia="es-ES"/>
              </w:rPr>
            </w:pPr>
          </w:p>
        </w:tc>
        <w:tc>
          <w:tcPr>
            <w:tcW w:w="1417"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44" w:name="_Toc437370407"/>
            <w:bookmarkStart w:id="45" w:name="_Toc437376021"/>
            <w:r w:rsidRPr="009A2496">
              <w:rPr>
                <w:rFonts w:eastAsia="Times New Roman" w:cs="Arial"/>
                <w:bCs/>
                <w:kern w:val="32"/>
                <w:lang w:val="es-ES" w:eastAsia="es-ES"/>
              </w:rPr>
              <w:t>100%</w:t>
            </w:r>
            <w:bookmarkEnd w:id="44"/>
            <w:bookmarkEnd w:id="45"/>
          </w:p>
        </w:tc>
        <w:tc>
          <w:tcPr>
            <w:tcW w:w="1843"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46" w:name="_Toc437370408"/>
            <w:bookmarkStart w:id="47" w:name="_Toc437376022"/>
            <w:r w:rsidRPr="009A2496">
              <w:rPr>
                <w:rFonts w:eastAsia="Times New Roman" w:cs="Arial"/>
                <w:bCs/>
                <w:kern w:val="32"/>
                <w:lang w:val="es-ES" w:eastAsia="es-ES"/>
              </w:rPr>
              <w:t>100%</w:t>
            </w:r>
            <w:bookmarkEnd w:id="46"/>
            <w:bookmarkEnd w:id="47"/>
          </w:p>
        </w:tc>
        <w:tc>
          <w:tcPr>
            <w:tcW w:w="2268"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48" w:name="_Toc437370409"/>
            <w:bookmarkStart w:id="49" w:name="_Toc437376023"/>
            <w:r w:rsidRPr="009A2496">
              <w:rPr>
                <w:rFonts w:eastAsia="Times New Roman" w:cs="Arial"/>
                <w:bCs/>
                <w:kern w:val="32"/>
                <w:lang w:val="es-ES" w:eastAsia="es-ES"/>
              </w:rPr>
              <w:t>100%</w:t>
            </w:r>
            <w:bookmarkEnd w:id="48"/>
            <w:bookmarkEnd w:id="49"/>
          </w:p>
        </w:tc>
      </w:tr>
      <w:tr w:rsidR="009A2496" w:rsidRPr="009A2496" w:rsidTr="00000F81">
        <w:tc>
          <w:tcPr>
            <w:tcW w:w="5920" w:type="dxa"/>
            <w:gridSpan w:val="2"/>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p>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50" w:name="_Toc437370410"/>
            <w:bookmarkStart w:id="51" w:name="_Toc437376024"/>
            <w:r w:rsidRPr="009A2496">
              <w:rPr>
                <w:rFonts w:eastAsia="Times New Roman" w:cs="Arial"/>
                <w:b/>
                <w:bCs/>
                <w:kern w:val="32"/>
                <w:lang w:val="es-ES" w:eastAsia="es-ES"/>
              </w:rPr>
              <w:t>% DE CUMPLMIENTO DEL PROGRAMA</w:t>
            </w:r>
            <w:bookmarkEnd w:id="50"/>
            <w:bookmarkEnd w:id="51"/>
          </w:p>
          <w:p w:rsidR="009A2496" w:rsidRPr="009A2496" w:rsidRDefault="009A2496" w:rsidP="00A92D87">
            <w:pPr>
              <w:keepNext/>
              <w:spacing w:after="0" w:line="240" w:lineRule="auto"/>
              <w:jc w:val="center"/>
              <w:outlineLvl w:val="0"/>
              <w:rPr>
                <w:rFonts w:eastAsia="Times New Roman" w:cs="Arial"/>
                <w:b/>
                <w:bCs/>
                <w:kern w:val="32"/>
                <w:lang w:val="es-ES" w:eastAsia="es-ES"/>
              </w:rPr>
            </w:pPr>
          </w:p>
        </w:tc>
        <w:tc>
          <w:tcPr>
            <w:tcW w:w="4111" w:type="dxa"/>
            <w:gridSpan w:val="2"/>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p>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52" w:name="_Toc437370411"/>
            <w:bookmarkStart w:id="53" w:name="_Toc437376025"/>
            <w:r w:rsidRPr="009A2496">
              <w:rPr>
                <w:rFonts w:eastAsia="Times New Roman" w:cs="Arial"/>
                <w:b/>
                <w:bCs/>
                <w:kern w:val="32"/>
                <w:lang w:val="es-ES" w:eastAsia="es-ES"/>
              </w:rPr>
              <w:t>100%</w:t>
            </w:r>
            <w:bookmarkEnd w:id="52"/>
            <w:bookmarkEnd w:id="53"/>
          </w:p>
        </w:tc>
      </w:tr>
    </w:tbl>
    <w:p w:rsidR="00DF63E8" w:rsidRDefault="00DF63E8" w:rsidP="00A92D87">
      <w:pPr>
        <w:keepNext/>
        <w:spacing w:after="0" w:line="240" w:lineRule="auto"/>
        <w:outlineLvl w:val="0"/>
        <w:rPr>
          <w:rFonts w:eastAsia="Times New Roman" w:cs="Arial"/>
          <w:bCs/>
          <w:kern w:val="32"/>
          <w:lang w:val="es-ES" w:eastAsia="es-ES"/>
        </w:rPr>
      </w:pPr>
    </w:p>
    <w:p w:rsidR="00DF63E8" w:rsidRDefault="00DF63E8">
      <w:pPr>
        <w:rPr>
          <w:rFonts w:eastAsia="Times New Roman" w:cs="Arial"/>
          <w:bCs/>
          <w:kern w:val="32"/>
          <w:lang w:val="es-ES" w:eastAsia="es-ES"/>
        </w:rPr>
      </w:pPr>
      <w:r>
        <w:rPr>
          <w:rFonts w:eastAsia="Times New Roman" w:cs="Arial"/>
          <w:bCs/>
          <w:kern w:val="32"/>
          <w:lang w:val="es-ES" w:eastAsia="es-ES"/>
        </w:rPr>
        <w:br w:type="page"/>
      </w:r>
    </w:p>
    <w:p w:rsidR="009A2496" w:rsidRPr="009A2496" w:rsidRDefault="009A2496" w:rsidP="00A92D87">
      <w:pPr>
        <w:keepNext/>
        <w:spacing w:after="0" w:line="240" w:lineRule="auto"/>
        <w:outlineLvl w:val="0"/>
        <w:rPr>
          <w:rFonts w:eastAsia="Times New Roman" w:cs="Arial"/>
          <w:bCs/>
          <w:kern w:val="32"/>
          <w:lang w:val="es-ES" w:eastAsia="es-ES"/>
        </w:rPr>
      </w:pPr>
    </w:p>
    <w:p w:rsidR="009A2496" w:rsidRPr="009A2496" w:rsidRDefault="009A2496" w:rsidP="00DF63E8">
      <w:pPr>
        <w:autoSpaceDE w:val="0"/>
        <w:autoSpaceDN w:val="0"/>
        <w:adjustRightInd w:val="0"/>
        <w:spacing w:after="0" w:line="240" w:lineRule="auto"/>
        <w:ind w:firstLine="708"/>
        <w:rPr>
          <w:rFonts w:eastAsia="Times New Roman" w:cs="Arial"/>
          <w:b/>
          <w:lang w:val="es-ES" w:eastAsia="es-ES"/>
        </w:rPr>
      </w:pPr>
      <w:r w:rsidRPr="009A2496">
        <w:rPr>
          <w:rFonts w:eastAsia="Times New Roman" w:cs="Arial"/>
          <w:b/>
          <w:lang w:val="es-ES" w:eastAsia="es-ES"/>
        </w:rPr>
        <w:t>Indicadores de acuerdo con la naturaleza del proyecto:</w:t>
      </w:r>
    </w:p>
    <w:p w:rsidR="009A2496" w:rsidRPr="009A2496" w:rsidRDefault="009A2496" w:rsidP="00A92D87">
      <w:pPr>
        <w:autoSpaceDE w:val="0"/>
        <w:autoSpaceDN w:val="0"/>
        <w:adjustRightInd w:val="0"/>
        <w:spacing w:after="0" w:line="240" w:lineRule="auto"/>
        <w:rPr>
          <w:rFonts w:eastAsia="Times New Roman" w:cs="Arial"/>
          <w:b/>
          <w:lang w:val="es-ES" w:eastAsia="es-ES"/>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3"/>
        <w:gridCol w:w="868"/>
        <w:gridCol w:w="993"/>
        <w:gridCol w:w="992"/>
        <w:gridCol w:w="992"/>
      </w:tblGrid>
      <w:tr w:rsidR="009A2496" w:rsidRPr="009A2496" w:rsidTr="00000F81">
        <w:trPr>
          <w:trHeight w:val="315"/>
        </w:trPr>
        <w:tc>
          <w:tcPr>
            <w:tcW w:w="4343"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54" w:name="_Toc437370412"/>
            <w:bookmarkStart w:id="55" w:name="_Toc437376026"/>
            <w:r w:rsidRPr="009A2496">
              <w:rPr>
                <w:rFonts w:eastAsia="Times New Roman" w:cs="Arial"/>
                <w:b/>
                <w:bCs/>
                <w:kern w:val="32"/>
                <w:lang w:val="es-ES" w:eastAsia="es-ES"/>
              </w:rPr>
              <w:t>INDICADOR</w:t>
            </w:r>
            <w:bookmarkEnd w:id="54"/>
            <w:bookmarkEnd w:id="55"/>
          </w:p>
        </w:tc>
        <w:tc>
          <w:tcPr>
            <w:tcW w:w="868"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56" w:name="_Toc437370413"/>
            <w:bookmarkStart w:id="57" w:name="_Toc437376027"/>
            <w:r w:rsidRPr="009A2496">
              <w:rPr>
                <w:rFonts w:eastAsia="Times New Roman" w:cs="Arial"/>
                <w:b/>
                <w:bCs/>
                <w:kern w:val="32"/>
                <w:lang w:val="es-ES" w:eastAsia="es-ES"/>
              </w:rPr>
              <w:t>2012</w:t>
            </w:r>
            <w:bookmarkEnd w:id="56"/>
            <w:bookmarkEnd w:id="57"/>
          </w:p>
        </w:tc>
        <w:tc>
          <w:tcPr>
            <w:tcW w:w="993"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58" w:name="_Toc437370414"/>
            <w:bookmarkStart w:id="59" w:name="_Toc437376028"/>
            <w:r w:rsidRPr="009A2496">
              <w:rPr>
                <w:rFonts w:eastAsia="Times New Roman" w:cs="Arial"/>
                <w:b/>
                <w:bCs/>
                <w:kern w:val="32"/>
                <w:lang w:val="es-ES" w:eastAsia="es-ES"/>
              </w:rPr>
              <w:t>2013</w:t>
            </w:r>
            <w:bookmarkEnd w:id="58"/>
            <w:bookmarkEnd w:id="59"/>
          </w:p>
        </w:tc>
        <w:tc>
          <w:tcPr>
            <w:tcW w:w="992"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60" w:name="_Toc437370415"/>
            <w:bookmarkStart w:id="61" w:name="_Toc437376029"/>
            <w:r w:rsidRPr="009A2496">
              <w:rPr>
                <w:rFonts w:eastAsia="Times New Roman" w:cs="Arial"/>
                <w:b/>
                <w:bCs/>
                <w:kern w:val="32"/>
                <w:lang w:val="es-ES" w:eastAsia="es-ES"/>
              </w:rPr>
              <w:t>2014</w:t>
            </w:r>
            <w:bookmarkEnd w:id="60"/>
            <w:bookmarkEnd w:id="61"/>
          </w:p>
        </w:tc>
        <w:tc>
          <w:tcPr>
            <w:tcW w:w="992"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62" w:name="_Toc437370416"/>
            <w:bookmarkStart w:id="63" w:name="_Toc437376030"/>
            <w:r w:rsidRPr="009A2496">
              <w:rPr>
                <w:rFonts w:eastAsia="Times New Roman" w:cs="Arial"/>
                <w:b/>
                <w:bCs/>
                <w:kern w:val="32"/>
                <w:lang w:val="es-ES" w:eastAsia="es-ES"/>
              </w:rPr>
              <w:t>2015</w:t>
            </w:r>
            <w:bookmarkEnd w:id="62"/>
            <w:bookmarkEnd w:id="63"/>
          </w:p>
        </w:tc>
      </w:tr>
      <w:tr w:rsidR="009A2496" w:rsidRPr="009A2496" w:rsidTr="00000F81">
        <w:tc>
          <w:tcPr>
            <w:tcW w:w="4343" w:type="dxa"/>
            <w:shd w:val="clear" w:color="auto" w:fill="auto"/>
          </w:tcPr>
          <w:p w:rsidR="009A2496" w:rsidRPr="009A2496" w:rsidRDefault="009A2496" w:rsidP="00A92D87">
            <w:pPr>
              <w:keepNext/>
              <w:spacing w:after="0" w:line="240" w:lineRule="auto"/>
              <w:jc w:val="both"/>
              <w:outlineLvl w:val="0"/>
              <w:rPr>
                <w:rFonts w:eastAsia="Times New Roman" w:cs="Arial"/>
                <w:bCs/>
                <w:kern w:val="32"/>
                <w:lang w:val="es-ES" w:eastAsia="es-ES"/>
              </w:rPr>
            </w:pPr>
            <w:bookmarkStart w:id="64" w:name="_Toc437370417"/>
            <w:bookmarkStart w:id="65" w:name="_Toc437376031"/>
            <w:r w:rsidRPr="009A2496">
              <w:rPr>
                <w:rFonts w:eastAsia="Times New Roman" w:cs="Arial"/>
                <w:bCs/>
                <w:kern w:val="32"/>
                <w:lang w:val="es-ES" w:eastAsia="es-ES"/>
              </w:rPr>
              <w:t>Niños y niñas menores de cinco años atendidos integralmente en los aspectos nutricional, pedagógico y psicosocial.</w:t>
            </w:r>
            <w:bookmarkEnd w:id="64"/>
            <w:bookmarkEnd w:id="65"/>
          </w:p>
        </w:tc>
        <w:tc>
          <w:tcPr>
            <w:tcW w:w="868"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66" w:name="_Toc437370418"/>
            <w:bookmarkStart w:id="67" w:name="_Toc437376032"/>
            <w:r w:rsidRPr="009A2496">
              <w:rPr>
                <w:rFonts w:eastAsia="Times New Roman" w:cs="Arial"/>
                <w:bCs/>
                <w:kern w:val="32"/>
                <w:lang w:val="es-ES" w:eastAsia="es-ES"/>
              </w:rPr>
              <w:t>356</w:t>
            </w:r>
            <w:bookmarkEnd w:id="66"/>
            <w:bookmarkEnd w:id="67"/>
          </w:p>
        </w:tc>
        <w:tc>
          <w:tcPr>
            <w:tcW w:w="993"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68" w:name="_Toc437370419"/>
            <w:bookmarkStart w:id="69" w:name="_Toc437376033"/>
            <w:r w:rsidRPr="009A2496">
              <w:rPr>
                <w:rFonts w:eastAsia="Times New Roman" w:cs="Arial"/>
                <w:bCs/>
                <w:kern w:val="32"/>
                <w:lang w:val="es-ES" w:eastAsia="es-ES"/>
              </w:rPr>
              <w:t>356</w:t>
            </w:r>
            <w:bookmarkEnd w:id="68"/>
            <w:bookmarkEnd w:id="69"/>
          </w:p>
        </w:tc>
        <w:tc>
          <w:tcPr>
            <w:tcW w:w="992"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70" w:name="_Toc437370420"/>
            <w:bookmarkStart w:id="71" w:name="_Toc437376034"/>
            <w:r w:rsidRPr="009A2496">
              <w:rPr>
                <w:rFonts w:eastAsia="Times New Roman" w:cs="Arial"/>
                <w:bCs/>
                <w:kern w:val="32"/>
                <w:lang w:val="es-ES" w:eastAsia="es-ES"/>
              </w:rPr>
              <w:t>316</w:t>
            </w:r>
            <w:bookmarkEnd w:id="70"/>
            <w:bookmarkEnd w:id="71"/>
          </w:p>
        </w:tc>
        <w:tc>
          <w:tcPr>
            <w:tcW w:w="992"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72" w:name="_Toc437370421"/>
            <w:bookmarkStart w:id="73" w:name="_Toc437376035"/>
            <w:r w:rsidRPr="009A2496">
              <w:rPr>
                <w:rFonts w:eastAsia="Times New Roman" w:cs="Arial"/>
                <w:bCs/>
                <w:kern w:val="32"/>
                <w:lang w:val="es-ES" w:eastAsia="es-ES"/>
              </w:rPr>
              <w:t>396</w:t>
            </w:r>
            <w:bookmarkEnd w:id="72"/>
            <w:bookmarkEnd w:id="73"/>
          </w:p>
        </w:tc>
      </w:tr>
      <w:tr w:rsidR="009A2496" w:rsidRPr="009A2496" w:rsidTr="00000F81">
        <w:tc>
          <w:tcPr>
            <w:tcW w:w="4343" w:type="dxa"/>
            <w:shd w:val="clear" w:color="auto" w:fill="auto"/>
          </w:tcPr>
          <w:p w:rsidR="009A2496" w:rsidRPr="009A2496" w:rsidRDefault="009A2496" w:rsidP="00A92D87">
            <w:pPr>
              <w:keepNext/>
              <w:spacing w:after="0" w:line="240" w:lineRule="auto"/>
              <w:jc w:val="both"/>
              <w:outlineLvl w:val="0"/>
              <w:rPr>
                <w:rFonts w:eastAsia="Times New Roman" w:cs="Arial"/>
                <w:bCs/>
                <w:kern w:val="32"/>
                <w:lang w:val="es-ES" w:eastAsia="es-ES"/>
              </w:rPr>
            </w:pPr>
            <w:bookmarkStart w:id="74" w:name="_Toc437370422"/>
            <w:bookmarkStart w:id="75" w:name="_Toc437376036"/>
            <w:r w:rsidRPr="009A2496">
              <w:rPr>
                <w:rFonts w:eastAsia="Times New Roman" w:cs="Arial"/>
                <w:bCs/>
                <w:kern w:val="32"/>
                <w:lang w:val="es-ES" w:eastAsia="es-ES"/>
              </w:rPr>
              <w:t>Grupos familiares de los niños y niñas menores de cinco años, vinculados a los programas de atención integral, con asistencia psicosocial.</w:t>
            </w:r>
            <w:bookmarkEnd w:id="74"/>
            <w:bookmarkEnd w:id="75"/>
          </w:p>
        </w:tc>
        <w:tc>
          <w:tcPr>
            <w:tcW w:w="868"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76" w:name="_Toc437370423"/>
            <w:bookmarkStart w:id="77" w:name="_Toc437376037"/>
            <w:r w:rsidRPr="009A2496">
              <w:rPr>
                <w:rFonts w:eastAsia="Times New Roman" w:cs="Arial"/>
                <w:bCs/>
                <w:kern w:val="32"/>
                <w:lang w:val="es-ES" w:eastAsia="es-ES"/>
              </w:rPr>
              <w:t>100%</w:t>
            </w:r>
            <w:bookmarkEnd w:id="76"/>
            <w:bookmarkEnd w:id="77"/>
          </w:p>
        </w:tc>
        <w:tc>
          <w:tcPr>
            <w:tcW w:w="993"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78" w:name="_Toc437370424"/>
            <w:bookmarkStart w:id="79" w:name="_Toc437376038"/>
            <w:r w:rsidRPr="009A2496">
              <w:rPr>
                <w:rFonts w:eastAsia="Times New Roman" w:cs="Arial"/>
                <w:bCs/>
                <w:kern w:val="32"/>
                <w:lang w:val="es-ES" w:eastAsia="es-ES"/>
              </w:rPr>
              <w:t>100%</w:t>
            </w:r>
            <w:bookmarkEnd w:id="78"/>
            <w:bookmarkEnd w:id="79"/>
          </w:p>
        </w:tc>
        <w:tc>
          <w:tcPr>
            <w:tcW w:w="992"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80" w:name="_Toc437370425"/>
            <w:bookmarkStart w:id="81" w:name="_Toc437376039"/>
            <w:r w:rsidRPr="009A2496">
              <w:rPr>
                <w:rFonts w:eastAsia="Times New Roman" w:cs="Arial"/>
                <w:bCs/>
                <w:kern w:val="32"/>
                <w:lang w:val="es-ES" w:eastAsia="es-ES"/>
              </w:rPr>
              <w:t>100%</w:t>
            </w:r>
            <w:bookmarkEnd w:id="80"/>
            <w:bookmarkEnd w:id="81"/>
          </w:p>
        </w:tc>
        <w:tc>
          <w:tcPr>
            <w:tcW w:w="992"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82" w:name="_Toc437370426"/>
            <w:bookmarkStart w:id="83" w:name="_Toc437376040"/>
            <w:r w:rsidRPr="009A2496">
              <w:rPr>
                <w:rFonts w:eastAsia="Times New Roman" w:cs="Arial"/>
                <w:bCs/>
                <w:kern w:val="32"/>
                <w:lang w:val="es-ES" w:eastAsia="es-ES"/>
              </w:rPr>
              <w:t>100%</w:t>
            </w:r>
            <w:bookmarkEnd w:id="82"/>
            <w:bookmarkEnd w:id="83"/>
          </w:p>
        </w:tc>
      </w:tr>
    </w:tbl>
    <w:p w:rsidR="009A2496" w:rsidRPr="009A2496" w:rsidRDefault="009A2496" w:rsidP="00A92D87">
      <w:pPr>
        <w:autoSpaceDE w:val="0"/>
        <w:autoSpaceDN w:val="0"/>
        <w:adjustRightInd w:val="0"/>
        <w:spacing w:after="200" w:line="240" w:lineRule="auto"/>
        <w:jc w:val="both"/>
        <w:rPr>
          <w:rFonts w:cs="Arial"/>
          <w:bCs/>
        </w:rPr>
      </w:pPr>
    </w:p>
    <w:tbl>
      <w:tblPr>
        <w:tblW w:w="8804" w:type="dxa"/>
        <w:tblInd w:w="55" w:type="dxa"/>
        <w:tblCellMar>
          <w:left w:w="70" w:type="dxa"/>
          <w:right w:w="70" w:type="dxa"/>
        </w:tblCellMar>
        <w:tblLook w:val="04A0"/>
      </w:tblPr>
      <w:tblGrid>
        <w:gridCol w:w="2850"/>
        <w:gridCol w:w="3544"/>
        <w:gridCol w:w="2410"/>
      </w:tblGrid>
      <w:tr w:rsidR="009A2496" w:rsidRPr="009A2496" w:rsidTr="00000F81">
        <w:trPr>
          <w:trHeight w:val="930"/>
        </w:trPr>
        <w:tc>
          <w:tcPr>
            <w:tcW w:w="8804" w:type="dxa"/>
            <w:gridSpan w:val="3"/>
            <w:tcBorders>
              <w:top w:val="nil"/>
              <w:left w:val="nil"/>
              <w:bottom w:val="single" w:sz="4" w:space="0" w:color="auto"/>
              <w:right w:val="nil"/>
            </w:tcBorders>
            <w:shd w:val="clear" w:color="auto" w:fill="auto"/>
            <w:vAlign w:val="center"/>
            <w:hideMark/>
          </w:tcPr>
          <w:p w:rsidR="00DF63E8" w:rsidRDefault="009A2496" w:rsidP="00A92D87">
            <w:pPr>
              <w:spacing w:after="0" w:line="240" w:lineRule="auto"/>
              <w:rPr>
                <w:rFonts w:cs="Arial"/>
                <w:bCs/>
              </w:rPr>
            </w:pPr>
            <w:r w:rsidRPr="009A2496">
              <w:rPr>
                <w:rFonts w:cs="Arial"/>
                <w:bCs/>
              </w:rPr>
              <w:t>Dentro del programa de Nutrición y Afecto se maneja los conpes de primera infancia con los cuales se realizó unas inversiones que se encuentran en ejecución como son:</w:t>
            </w:r>
          </w:p>
          <w:p w:rsidR="00DF63E8" w:rsidRDefault="00DF63E8" w:rsidP="00A92D87">
            <w:pPr>
              <w:spacing w:after="0" w:line="240" w:lineRule="auto"/>
              <w:rPr>
                <w:rFonts w:cs="Arial"/>
                <w:bCs/>
              </w:rPr>
            </w:pPr>
          </w:p>
          <w:p w:rsidR="009A2496" w:rsidRPr="009A2496" w:rsidRDefault="009A2496" w:rsidP="00A92D87">
            <w:pPr>
              <w:spacing w:after="0" w:line="240" w:lineRule="auto"/>
              <w:rPr>
                <w:rFonts w:eastAsia="Times New Roman" w:cs="Arial"/>
                <w:b/>
                <w:bCs/>
                <w:color w:val="000000"/>
                <w:lang w:val="es-ES" w:eastAsia="es-ES"/>
              </w:rPr>
            </w:pPr>
            <w:r w:rsidRPr="009A2496">
              <w:rPr>
                <w:rFonts w:eastAsia="Times New Roman" w:cs="Arial"/>
                <w:b/>
                <w:bCs/>
                <w:color w:val="000000"/>
                <w:lang w:val="es-ES" w:eastAsia="es-ES"/>
              </w:rPr>
              <w:t xml:space="preserve">PLAN DE INVERSIÓN CONSTRUCCIÓN CDI NUESTRA SEÑORA DE GUADALUPE </w:t>
            </w:r>
            <w:r w:rsidR="00DF63E8">
              <w:rPr>
                <w:rFonts w:eastAsia="Times New Roman" w:cs="Arial"/>
                <w:b/>
                <w:bCs/>
                <w:color w:val="000000"/>
                <w:lang w:val="es-ES" w:eastAsia="es-ES"/>
              </w:rPr>
              <w:t>–</w:t>
            </w:r>
            <w:r w:rsidRPr="009A2496">
              <w:rPr>
                <w:rFonts w:eastAsia="Times New Roman" w:cs="Arial"/>
                <w:b/>
                <w:bCs/>
                <w:color w:val="000000"/>
                <w:lang w:val="es-ES" w:eastAsia="es-ES"/>
              </w:rPr>
              <w:t xml:space="preserve"> CATAMBUCO</w:t>
            </w:r>
          </w:p>
        </w:tc>
      </w:tr>
      <w:tr w:rsidR="009A2496" w:rsidRPr="009A2496" w:rsidTr="00000F81">
        <w:trPr>
          <w:trHeight w:val="780"/>
        </w:trPr>
        <w:tc>
          <w:tcPr>
            <w:tcW w:w="2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jc w:val="center"/>
              <w:rPr>
                <w:rFonts w:eastAsia="Times New Roman" w:cs="Arial"/>
                <w:b/>
                <w:bCs/>
                <w:color w:val="000000"/>
                <w:lang w:val="es-ES" w:eastAsia="es-ES"/>
              </w:rPr>
            </w:pPr>
            <w:r w:rsidRPr="009A2496">
              <w:rPr>
                <w:rFonts w:eastAsia="Times New Roman" w:cs="Arial"/>
                <w:b/>
                <w:bCs/>
                <w:color w:val="000000"/>
                <w:lang w:val="es-ES" w:eastAsia="es-ES"/>
              </w:rPr>
              <w:t>NOMBRE DEL PROYECTO</w:t>
            </w:r>
          </w:p>
        </w:tc>
        <w:tc>
          <w:tcPr>
            <w:tcW w:w="35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jc w:val="center"/>
              <w:rPr>
                <w:rFonts w:eastAsia="Times New Roman" w:cs="Arial"/>
                <w:b/>
                <w:bCs/>
                <w:color w:val="000000"/>
                <w:lang w:val="es-ES" w:eastAsia="es-ES"/>
              </w:rPr>
            </w:pPr>
            <w:r w:rsidRPr="009A2496">
              <w:rPr>
                <w:rFonts w:eastAsia="Times New Roman" w:cs="Arial"/>
                <w:b/>
                <w:bCs/>
                <w:color w:val="000000"/>
                <w:lang w:val="es-ES" w:eastAsia="es-ES"/>
              </w:rPr>
              <w:t>COMPONENTE</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A2496" w:rsidRPr="009A2496" w:rsidRDefault="009A2496" w:rsidP="00A92D87">
            <w:pPr>
              <w:spacing w:after="0" w:line="240" w:lineRule="auto"/>
              <w:jc w:val="center"/>
              <w:rPr>
                <w:rFonts w:eastAsia="Times New Roman" w:cs="Arial"/>
                <w:b/>
                <w:bCs/>
                <w:color w:val="000000"/>
                <w:lang w:val="es-ES" w:eastAsia="es-ES"/>
              </w:rPr>
            </w:pPr>
            <w:r w:rsidRPr="009A2496">
              <w:rPr>
                <w:rFonts w:eastAsia="Times New Roman" w:cs="Arial"/>
                <w:b/>
                <w:bCs/>
                <w:color w:val="000000"/>
                <w:lang w:val="es-ES" w:eastAsia="es-ES"/>
              </w:rPr>
              <w:t>VALOR DEL</w:t>
            </w:r>
            <w:r w:rsidRPr="009A2496">
              <w:rPr>
                <w:rFonts w:eastAsia="Times New Roman" w:cs="Arial"/>
                <w:b/>
                <w:bCs/>
                <w:color w:val="000000"/>
                <w:lang w:val="es-ES" w:eastAsia="es-ES"/>
              </w:rPr>
              <w:br/>
              <w:t>COMPONENTE DEL  PROYECTO</w:t>
            </w:r>
          </w:p>
        </w:tc>
      </w:tr>
      <w:tr w:rsidR="009A2496" w:rsidRPr="009A2496" w:rsidTr="00000F81">
        <w:trPr>
          <w:trHeight w:val="330"/>
        </w:trPr>
        <w:tc>
          <w:tcPr>
            <w:tcW w:w="2850" w:type="dxa"/>
            <w:vMerge/>
            <w:tcBorders>
              <w:top w:val="nil"/>
              <w:left w:val="single" w:sz="4" w:space="0" w:color="auto"/>
              <w:bottom w:val="single" w:sz="4" w:space="0" w:color="auto"/>
              <w:right w:val="single" w:sz="4" w:space="0" w:color="auto"/>
            </w:tcBorders>
            <w:vAlign w:val="center"/>
            <w:hideMark/>
          </w:tcPr>
          <w:p w:rsidR="009A2496" w:rsidRPr="009A2496" w:rsidRDefault="009A2496" w:rsidP="00A92D87">
            <w:pPr>
              <w:spacing w:after="0" w:line="240" w:lineRule="auto"/>
              <w:rPr>
                <w:rFonts w:eastAsia="Times New Roman" w:cs="Arial"/>
                <w:b/>
                <w:bCs/>
                <w:color w:val="000000"/>
                <w:lang w:val="es-ES" w:eastAsia="es-ES"/>
              </w:rPr>
            </w:pPr>
          </w:p>
        </w:tc>
        <w:tc>
          <w:tcPr>
            <w:tcW w:w="3544" w:type="dxa"/>
            <w:vMerge/>
            <w:tcBorders>
              <w:top w:val="nil"/>
              <w:left w:val="single" w:sz="4" w:space="0" w:color="auto"/>
              <w:bottom w:val="single" w:sz="4" w:space="0" w:color="auto"/>
              <w:right w:val="single" w:sz="4" w:space="0" w:color="auto"/>
            </w:tcBorders>
            <w:vAlign w:val="center"/>
            <w:hideMark/>
          </w:tcPr>
          <w:p w:rsidR="009A2496" w:rsidRPr="009A2496" w:rsidRDefault="009A2496" w:rsidP="00A92D87">
            <w:pPr>
              <w:spacing w:after="0" w:line="240" w:lineRule="auto"/>
              <w:rPr>
                <w:rFonts w:eastAsia="Times New Roman" w:cs="Arial"/>
                <w:b/>
                <w:bCs/>
                <w:color w:val="000000"/>
                <w:lang w:val="es-ES" w:eastAsia="es-ES"/>
              </w:rPr>
            </w:pPr>
          </w:p>
        </w:tc>
        <w:tc>
          <w:tcPr>
            <w:tcW w:w="2410" w:type="dxa"/>
            <w:vMerge/>
            <w:tcBorders>
              <w:top w:val="nil"/>
              <w:left w:val="single" w:sz="4" w:space="0" w:color="auto"/>
              <w:bottom w:val="single" w:sz="4" w:space="0" w:color="auto"/>
              <w:right w:val="single" w:sz="4" w:space="0" w:color="auto"/>
            </w:tcBorders>
            <w:vAlign w:val="center"/>
            <w:hideMark/>
          </w:tcPr>
          <w:p w:rsidR="009A2496" w:rsidRPr="009A2496" w:rsidRDefault="009A2496" w:rsidP="00A92D87">
            <w:pPr>
              <w:spacing w:after="0" w:line="240" w:lineRule="auto"/>
              <w:rPr>
                <w:rFonts w:eastAsia="Times New Roman" w:cs="Arial"/>
                <w:b/>
                <w:bCs/>
                <w:color w:val="000000"/>
                <w:lang w:val="es-ES" w:eastAsia="es-ES"/>
              </w:rPr>
            </w:pPr>
          </w:p>
        </w:tc>
      </w:tr>
      <w:tr w:rsidR="009A2496" w:rsidRPr="009A2496" w:rsidTr="00000F81">
        <w:trPr>
          <w:trHeight w:val="1440"/>
        </w:trPr>
        <w:tc>
          <w:tcPr>
            <w:tcW w:w="2850" w:type="dxa"/>
            <w:vMerge w:val="restart"/>
            <w:tcBorders>
              <w:top w:val="nil"/>
              <w:left w:val="single" w:sz="4" w:space="0" w:color="auto"/>
              <w:bottom w:val="single" w:sz="4" w:space="0" w:color="auto"/>
              <w:right w:val="single" w:sz="4" w:space="0" w:color="auto"/>
            </w:tcBorders>
            <w:shd w:val="clear" w:color="auto" w:fill="auto"/>
            <w:vAlign w:val="center"/>
            <w:hideMark/>
          </w:tcPr>
          <w:p w:rsidR="009A2496" w:rsidRPr="009A2496" w:rsidRDefault="009A2496" w:rsidP="00A92D87">
            <w:pPr>
              <w:spacing w:after="0" w:line="240" w:lineRule="auto"/>
              <w:jc w:val="center"/>
              <w:rPr>
                <w:rFonts w:eastAsia="Times New Roman" w:cs="Arial"/>
                <w:color w:val="000000"/>
                <w:lang w:val="es-ES" w:eastAsia="es-ES"/>
              </w:rPr>
            </w:pPr>
            <w:r w:rsidRPr="009A2496">
              <w:rPr>
                <w:rFonts w:eastAsia="Times New Roman" w:cs="Arial"/>
                <w:color w:val="000000"/>
                <w:lang w:val="es-ES" w:eastAsia="es-ES"/>
              </w:rPr>
              <w:t xml:space="preserve">Construcción del CDI Nuestra Señora de Guadalupe, corregimiento de Catambuco del Municipio de Pasto </w:t>
            </w:r>
          </w:p>
        </w:tc>
        <w:tc>
          <w:tcPr>
            <w:tcW w:w="3544" w:type="dxa"/>
            <w:tcBorders>
              <w:top w:val="nil"/>
              <w:left w:val="nil"/>
              <w:bottom w:val="single" w:sz="4" w:space="0" w:color="auto"/>
              <w:right w:val="single" w:sz="4" w:space="0" w:color="auto"/>
            </w:tcBorders>
            <w:shd w:val="clear" w:color="auto" w:fill="auto"/>
            <w:vAlign w:val="center"/>
            <w:hideMark/>
          </w:tcPr>
          <w:p w:rsidR="009A2496" w:rsidRPr="009A2496" w:rsidRDefault="009A2496" w:rsidP="00A92D87">
            <w:pPr>
              <w:spacing w:after="0" w:line="240" w:lineRule="auto"/>
              <w:rPr>
                <w:rFonts w:eastAsia="Times New Roman" w:cs="Arial"/>
                <w:color w:val="000000"/>
                <w:lang w:val="es-ES" w:eastAsia="es-ES"/>
              </w:rPr>
            </w:pPr>
            <w:r w:rsidRPr="009A2496">
              <w:rPr>
                <w:rFonts w:eastAsia="Times New Roman" w:cs="Arial"/>
                <w:color w:val="000000"/>
                <w:lang w:val="es-ES" w:eastAsia="es-ES"/>
              </w:rPr>
              <w:t xml:space="preserve">Construcción del CDI Nuestra Señora de Guadalupe, corregimiento de Catambuco del Municipio de Pasto </w:t>
            </w:r>
          </w:p>
        </w:tc>
        <w:tc>
          <w:tcPr>
            <w:tcW w:w="2410" w:type="dxa"/>
            <w:tcBorders>
              <w:top w:val="nil"/>
              <w:left w:val="nil"/>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jc w:val="both"/>
              <w:rPr>
                <w:rFonts w:eastAsia="Times New Roman" w:cs="Arial"/>
                <w:color w:val="000000"/>
                <w:lang w:val="es-ES" w:eastAsia="es-ES"/>
              </w:rPr>
            </w:pPr>
            <w:r w:rsidRPr="009A2496">
              <w:rPr>
                <w:rFonts w:eastAsia="Times New Roman" w:cs="Arial"/>
                <w:color w:val="000000"/>
                <w:lang w:val="es-ES" w:eastAsia="es-ES"/>
              </w:rPr>
              <w:t xml:space="preserve">$ 972.631.586,00 </w:t>
            </w:r>
          </w:p>
        </w:tc>
      </w:tr>
      <w:tr w:rsidR="009A2496" w:rsidRPr="009A2496" w:rsidTr="00000F81">
        <w:trPr>
          <w:trHeight w:val="1800"/>
        </w:trPr>
        <w:tc>
          <w:tcPr>
            <w:tcW w:w="2850" w:type="dxa"/>
            <w:vMerge/>
            <w:tcBorders>
              <w:top w:val="nil"/>
              <w:left w:val="single" w:sz="4" w:space="0" w:color="auto"/>
              <w:bottom w:val="single" w:sz="4" w:space="0" w:color="auto"/>
              <w:right w:val="single" w:sz="4" w:space="0" w:color="auto"/>
            </w:tcBorders>
            <w:vAlign w:val="center"/>
            <w:hideMark/>
          </w:tcPr>
          <w:p w:rsidR="009A2496" w:rsidRPr="009A2496" w:rsidRDefault="009A2496" w:rsidP="00A92D87">
            <w:pPr>
              <w:spacing w:after="0" w:line="240" w:lineRule="auto"/>
              <w:rPr>
                <w:rFonts w:eastAsia="Times New Roman" w:cs="Arial"/>
                <w:color w:val="000000"/>
                <w:lang w:val="es-ES" w:eastAsia="es-ES"/>
              </w:rPr>
            </w:pPr>
          </w:p>
        </w:tc>
        <w:tc>
          <w:tcPr>
            <w:tcW w:w="3544" w:type="dxa"/>
            <w:tcBorders>
              <w:top w:val="nil"/>
              <w:left w:val="nil"/>
              <w:bottom w:val="single" w:sz="4" w:space="0" w:color="auto"/>
              <w:right w:val="single" w:sz="4" w:space="0" w:color="auto"/>
            </w:tcBorders>
            <w:shd w:val="clear" w:color="auto" w:fill="auto"/>
            <w:vAlign w:val="center"/>
            <w:hideMark/>
          </w:tcPr>
          <w:p w:rsidR="009A2496" w:rsidRPr="009A2496" w:rsidRDefault="009A2496" w:rsidP="00A92D87">
            <w:pPr>
              <w:spacing w:after="0" w:line="240" w:lineRule="auto"/>
              <w:rPr>
                <w:rFonts w:eastAsia="Times New Roman" w:cs="Arial"/>
                <w:color w:val="000000"/>
                <w:lang w:val="es-ES" w:eastAsia="es-ES"/>
              </w:rPr>
            </w:pPr>
            <w:r w:rsidRPr="009A2496">
              <w:rPr>
                <w:rFonts w:eastAsia="Times New Roman" w:cs="Arial"/>
                <w:color w:val="000000"/>
                <w:lang w:val="es-ES" w:eastAsia="es-ES"/>
              </w:rPr>
              <w:t xml:space="preserve">Interventoria para la construcción del CDI Nuestra Señora de Guadalupe, corregimiento de Catambuco del Municipio de Pasto </w:t>
            </w:r>
          </w:p>
        </w:tc>
        <w:tc>
          <w:tcPr>
            <w:tcW w:w="2410" w:type="dxa"/>
            <w:tcBorders>
              <w:top w:val="nil"/>
              <w:left w:val="nil"/>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rPr>
                <w:rFonts w:eastAsia="Times New Roman" w:cs="Arial"/>
                <w:color w:val="000000"/>
                <w:lang w:val="es-ES" w:eastAsia="es-ES"/>
              </w:rPr>
            </w:pPr>
            <w:r w:rsidRPr="009A2496">
              <w:rPr>
                <w:rFonts w:eastAsia="Times New Roman" w:cs="Arial"/>
                <w:color w:val="000000"/>
                <w:lang w:val="es-ES" w:eastAsia="es-ES"/>
              </w:rPr>
              <w:t xml:space="preserve">$ 68.084.211,00 </w:t>
            </w:r>
          </w:p>
        </w:tc>
      </w:tr>
      <w:tr w:rsidR="009A2496" w:rsidRPr="009A2496" w:rsidTr="00000F81">
        <w:trPr>
          <w:trHeight w:val="330"/>
        </w:trPr>
        <w:tc>
          <w:tcPr>
            <w:tcW w:w="6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jc w:val="right"/>
              <w:rPr>
                <w:rFonts w:eastAsia="Times New Roman" w:cs="Arial"/>
                <w:b/>
                <w:color w:val="000000"/>
                <w:lang w:val="es-ES" w:eastAsia="es-ES"/>
              </w:rPr>
            </w:pPr>
            <w:r w:rsidRPr="009A2496">
              <w:rPr>
                <w:rFonts w:eastAsia="Times New Roman" w:cs="Arial"/>
                <w:b/>
                <w:color w:val="000000"/>
                <w:lang w:val="es-ES" w:eastAsia="es-ES"/>
              </w:rPr>
              <w:t>TOTAL</w:t>
            </w:r>
          </w:p>
        </w:tc>
        <w:tc>
          <w:tcPr>
            <w:tcW w:w="2410" w:type="dxa"/>
            <w:tcBorders>
              <w:top w:val="nil"/>
              <w:left w:val="nil"/>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jc w:val="center"/>
              <w:rPr>
                <w:rFonts w:eastAsia="Times New Roman" w:cs="Arial"/>
                <w:b/>
                <w:color w:val="000000"/>
                <w:lang w:val="es-ES" w:eastAsia="es-ES"/>
              </w:rPr>
            </w:pPr>
            <w:r w:rsidRPr="009A2496">
              <w:rPr>
                <w:rFonts w:eastAsia="Times New Roman" w:cs="Arial"/>
                <w:b/>
                <w:color w:val="000000"/>
                <w:lang w:val="es-ES" w:eastAsia="es-ES"/>
              </w:rPr>
              <w:t xml:space="preserve">$ 1.040.715.797,00 </w:t>
            </w:r>
          </w:p>
        </w:tc>
      </w:tr>
    </w:tbl>
    <w:p w:rsidR="009A2496" w:rsidRPr="009A2496" w:rsidRDefault="009A2496" w:rsidP="00A92D87">
      <w:pPr>
        <w:tabs>
          <w:tab w:val="left" w:pos="1227"/>
        </w:tabs>
        <w:spacing w:after="200" w:line="240" w:lineRule="auto"/>
        <w:rPr>
          <w:lang w:val="es-ES"/>
        </w:rPr>
      </w:pPr>
    </w:p>
    <w:p w:rsidR="009A2496" w:rsidRPr="009A2496" w:rsidRDefault="009A2496" w:rsidP="00DF63E8">
      <w:pPr>
        <w:spacing w:after="0" w:line="240" w:lineRule="auto"/>
        <w:jc w:val="both"/>
        <w:rPr>
          <w:rFonts w:eastAsia="Calibri" w:cs="Arial"/>
          <w:color w:val="000000" w:themeColor="text1"/>
          <w:lang w:val="es-MX"/>
        </w:rPr>
      </w:pPr>
      <w:r w:rsidRPr="009A2496">
        <w:rPr>
          <w:rFonts w:eastAsia="Calibri" w:cs="Arial"/>
          <w:color w:val="000000" w:themeColor="text1"/>
          <w:lang w:val="es-MX"/>
        </w:rPr>
        <w:t>La obra inicio el 20 de agosto de 2015 en este momento está en proceso de construcción, la fecha probable de finalización de la obra es el 15 de marzo de 2016.</w:t>
      </w:r>
    </w:p>
    <w:p w:rsidR="009A2496" w:rsidRPr="009A2496" w:rsidRDefault="009A2496" w:rsidP="00A92D87">
      <w:pPr>
        <w:spacing w:after="200" w:line="240" w:lineRule="auto"/>
        <w:ind w:left="720"/>
        <w:contextualSpacing/>
        <w:rPr>
          <w:color w:val="000000" w:themeColor="text1"/>
          <w:lang w:val="es-MX"/>
        </w:rPr>
      </w:pPr>
    </w:p>
    <w:p w:rsidR="009A2496" w:rsidRPr="009A2496" w:rsidRDefault="009A2496" w:rsidP="00A92D87">
      <w:pPr>
        <w:tabs>
          <w:tab w:val="left" w:pos="1227"/>
        </w:tabs>
        <w:spacing w:after="200" w:line="240" w:lineRule="auto"/>
        <w:contextualSpacing/>
        <w:rPr>
          <w:rFonts w:cs="Arial"/>
          <w:lang w:val="es-ES"/>
        </w:rPr>
      </w:pPr>
      <w:r w:rsidRPr="009A2496">
        <w:rPr>
          <w:rFonts w:cs="Arial"/>
          <w:lang w:val="es-ES"/>
        </w:rPr>
        <w:t>Adecuación estructural Nido Nutrir La Palma:</w:t>
      </w:r>
    </w:p>
    <w:p w:rsidR="009A2496" w:rsidRPr="009A2496" w:rsidRDefault="009A2496" w:rsidP="00A92D87">
      <w:pPr>
        <w:tabs>
          <w:tab w:val="left" w:pos="1227"/>
        </w:tabs>
        <w:spacing w:after="200" w:line="240" w:lineRule="auto"/>
        <w:ind w:left="720"/>
        <w:contextualSpacing/>
        <w:rPr>
          <w:rFonts w:cs="Arial"/>
          <w:lang w:val="es-ES"/>
        </w:rPr>
      </w:pPr>
    </w:p>
    <w:tbl>
      <w:tblPr>
        <w:tblW w:w="5332" w:type="dxa"/>
        <w:tblCellMar>
          <w:left w:w="70" w:type="dxa"/>
          <w:right w:w="70" w:type="dxa"/>
        </w:tblCellMar>
        <w:tblLook w:val="04A0"/>
      </w:tblPr>
      <w:tblGrid>
        <w:gridCol w:w="1640"/>
        <w:gridCol w:w="1100"/>
        <w:gridCol w:w="2620"/>
      </w:tblGrid>
      <w:tr w:rsidR="009A2496" w:rsidRPr="009A2496" w:rsidTr="00000F81">
        <w:trPr>
          <w:trHeight w:val="300"/>
        </w:trPr>
        <w:tc>
          <w:tcPr>
            <w:tcW w:w="1612" w:type="dxa"/>
            <w:tcBorders>
              <w:top w:val="single" w:sz="4" w:space="0" w:color="auto"/>
              <w:left w:val="single" w:sz="4" w:space="0" w:color="auto"/>
              <w:bottom w:val="single" w:sz="4" w:space="0" w:color="auto"/>
              <w:right w:val="nil"/>
            </w:tcBorders>
            <w:shd w:val="clear" w:color="auto" w:fill="auto"/>
            <w:noWrap/>
            <w:vAlign w:val="center"/>
            <w:hideMark/>
          </w:tcPr>
          <w:p w:rsidR="009A2496" w:rsidRPr="009A2496" w:rsidRDefault="009A2496" w:rsidP="00A92D87">
            <w:pPr>
              <w:spacing w:after="0" w:line="240" w:lineRule="auto"/>
              <w:rPr>
                <w:rFonts w:eastAsia="Times New Roman" w:cs="Arial"/>
                <w:b/>
                <w:bCs/>
                <w:lang w:val="es-ES" w:eastAsia="es-ES"/>
              </w:rPr>
            </w:pPr>
            <w:r w:rsidRPr="009A2496">
              <w:rPr>
                <w:rFonts w:eastAsia="Times New Roman" w:cs="Arial"/>
                <w:b/>
                <w:bCs/>
                <w:lang w:val="es-ES" w:eastAsia="es-ES"/>
              </w:rPr>
              <w:t>COSTO OBRA</w:t>
            </w:r>
          </w:p>
        </w:tc>
        <w:tc>
          <w:tcPr>
            <w:tcW w:w="1100" w:type="dxa"/>
            <w:tcBorders>
              <w:top w:val="single" w:sz="4" w:space="0" w:color="auto"/>
              <w:left w:val="nil"/>
              <w:bottom w:val="single" w:sz="4" w:space="0" w:color="auto"/>
              <w:right w:val="nil"/>
            </w:tcBorders>
            <w:shd w:val="clear" w:color="auto" w:fill="auto"/>
            <w:noWrap/>
            <w:vAlign w:val="center"/>
            <w:hideMark/>
          </w:tcPr>
          <w:p w:rsidR="009A2496" w:rsidRPr="009A2496" w:rsidRDefault="009A2496" w:rsidP="00A92D87">
            <w:pPr>
              <w:spacing w:after="0" w:line="240" w:lineRule="auto"/>
              <w:rPr>
                <w:rFonts w:eastAsia="Times New Roman" w:cs="Arial"/>
                <w:lang w:val="es-ES" w:eastAsia="es-ES"/>
              </w:rPr>
            </w:pPr>
            <w:r w:rsidRPr="009A2496">
              <w:rPr>
                <w:rFonts w:eastAsia="Times New Roman" w:cs="Arial"/>
                <w:lang w:val="es-ES" w:eastAsia="es-ES"/>
              </w:rPr>
              <w:t> </w:t>
            </w:r>
          </w:p>
        </w:tc>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rPr>
                <w:rFonts w:eastAsia="Times New Roman" w:cs="Arial"/>
                <w:bCs/>
                <w:lang w:val="es-ES" w:eastAsia="es-ES"/>
              </w:rPr>
            </w:pPr>
            <w:r w:rsidRPr="009A2496">
              <w:rPr>
                <w:rFonts w:eastAsia="Times New Roman" w:cs="Arial"/>
                <w:bCs/>
                <w:lang w:val="es-ES" w:eastAsia="es-ES"/>
              </w:rPr>
              <w:t xml:space="preserve">         $ 222.645.942,37 </w:t>
            </w:r>
          </w:p>
        </w:tc>
      </w:tr>
      <w:tr w:rsidR="009A2496" w:rsidRPr="009A2496" w:rsidTr="00000F81">
        <w:trPr>
          <w:trHeight w:val="300"/>
        </w:trPr>
        <w:tc>
          <w:tcPr>
            <w:tcW w:w="1612" w:type="dxa"/>
            <w:tcBorders>
              <w:top w:val="nil"/>
              <w:left w:val="single" w:sz="4" w:space="0" w:color="auto"/>
              <w:bottom w:val="single" w:sz="4" w:space="0" w:color="auto"/>
              <w:right w:val="nil"/>
            </w:tcBorders>
            <w:shd w:val="clear" w:color="auto" w:fill="auto"/>
            <w:noWrap/>
            <w:vAlign w:val="center"/>
            <w:hideMark/>
          </w:tcPr>
          <w:p w:rsidR="009A2496" w:rsidRPr="009A2496" w:rsidRDefault="009A2496" w:rsidP="00A92D87">
            <w:pPr>
              <w:spacing w:after="0" w:line="240" w:lineRule="auto"/>
              <w:rPr>
                <w:rFonts w:eastAsia="Times New Roman" w:cs="Arial"/>
                <w:b/>
                <w:bCs/>
                <w:lang w:val="es-ES" w:eastAsia="es-ES"/>
              </w:rPr>
            </w:pPr>
            <w:r w:rsidRPr="009A2496">
              <w:rPr>
                <w:rFonts w:eastAsia="Times New Roman" w:cs="Arial"/>
                <w:b/>
                <w:bCs/>
                <w:lang w:val="es-ES" w:eastAsia="es-ES"/>
              </w:rPr>
              <w:t>INTERVENTORIA</w:t>
            </w:r>
          </w:p>
        </w:tc>
        <w:tc>
          <w:tcPr>
            <w:tcW w:w="1100" w:type="dxa"/>
            <w:tcBorders>
              <w:top w:val="nil"/>
              <w:left w:val="nil"/>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jc w:val="right"/>
              <w:rPr>
                <w:rFonts w:eastAsia="Times New Roman" w:cs="Arial"/>
                <w:lang w:val="es-ES" w:eastAsia="es-ES"/>
              </w:rPr>
            </w:pPr>
            <w:r w:rsidRPr="009A2496">
              <w:rPr>
                <w:rFonts w:eastAsia="Times New Roman" w:cs="Arial"/>
                <w:lang w:val="es-ES" w:eastAsia="es-ES"/>
              </w:rPr>
              <w:t>7,00%</w:t>
            </w:r>
          </w:p>
        </w:tc>
        <w:tc>
          <w:tcPr>
            <w:tcW w:w="2620" w:type="dxa"/>
            <w:tcBorders>
              <w:top w:val="nil"/>
              <w:left w:val="nil"/>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rPr>
                <w:rFonts w:eastAsia="Times New Roman" w:cs="Arial"/>
                <w:bCs/>
                <w:lang w:val="es-ES" w:eastAsia="es-ES"/>
              </w:rPr>
            </w:pPr>
            <w:r w:rsidRPr="009A2496">
              <w:rPr>
                <w:rFonts w:eastAsia="Times New Roman" w:cs="Arial"/>
                <w:bCs/>
                <w:lang w:val="es-ES" w:eastAsia="es-ES"/>
              </w:rPr>
              <w:t xml:space="preserve">         $ 15.585.215,97 </w:t>
            </w:r>
          </w:p>
        </w:tc>
      </w:tr>
      <w:tr w:rsidR="009A2496" w:rsidRPr="009A2496" w:rsidTr="00000F81">
        <w:trPr>
          <w:trHeight w:val="300"/>
        </w:trPr>
        <w:tc>
          <w:tcPr>
            <w:tcW w:w="2712" w:type="dxa"/>
            <w:gridSpan w:val="2"/>
            <w:tcBorders>
              <w:top w:val="single" w:sz="4" w:space="0" w:color="auto"/>
              <w:left w:val="single" w:sz="4" w:space="0" w:color="auto"/>
              <w:bottom w:val="single" w:sz="4" w:space="0" w:color="auto"/>
              <w:right w:val="nil"/>
            </w:tcBorders>
            <w:shd w:val="clear" w:color="auto" w:fill="auto"/>
            <w:noWrap/>
            <w:vAlign w:val="center"/>
            <w:hideMark/>
          </w:tcPr>
          <w:p w:rsidR="009A2496" w:rsidRPr="009A2496" w:rsidRDefault="009A2496" w:rsidP="00A92D87">
            <w:pPr>
              <w:spacing w:after="0" w:line="240" w:lineRule="auto"/>
              <w:rPr>
                <w:rFonts w:eastAsia="Times New Roman" w:cs="Arial"/>
                <w:b/>
                <w:bCs/>
                <w:lang w:val="es-ES" w:eastAsia="es-ES"/>
              </w:rPr>
            </w:pPr>
            <w:r w:rsidRPr="009A2496">
              <w:rPr>
                <w:rFonts w:eastAsia="Times New Roman" w:cs="Arial"/>
                <w:b/>
                <w:bCs/>
                <w:lang w:val="es-ES" w:eastAsia="es-ES"/>
              </w:rPr>
              <w:lastRenderedPageBreak/>
              <w:t>COSTO TOTAL PROYECTO</w:t>
            </w:r>
          </w:p>
        </w:tc>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rPr>
                <w:rFonts w:eastAsia="Times New Roman" w:cs="Arial"/>
                <w:bCs/>
                <w:lang w:val="es-ES" w:eastAsia="es-ES"/>
              </w:rPr>
            </w:pPr>
            <w:r w:rsidRPr="009A2496">
              <w:rPr>
                <w:rFonts w:eastAsia="Times New Roman" w:cs="Arial"/>
                <w:bCs/>
                <w:lang w:val="es-ES" w:eastAsia="es-ES"/>
              </w:rPr>
              <w:t xml:space="preserve">         $ 238.231.158,34 </w:t>
            </w:r>
          </w:p>
        </w:tc>
      </w:tr>
    </w:tbl>
    <w:p w:rsidR="009A2496" w:rsidRPr="009A2496" w:rsidRDefault="009A2496" w:rsidP="00A92D87">
      <w:pPr>
        <w:spacing w:after="200" w:line="240" w:lineRule="auto"/>
        <w:contextualSpacing/>
        <w:rPr>
          <w:rFonts w:cs="Arial"/>
          <w:lang w:val="es-ES"/>
        </w:rPr>
      </w:pPr>
    </w:p>
    <w:p w:rsidR="009A2496" w:rsidRPr="009A2496" w:rsidRDefault="009A2496" w:rsidP="00A92D87">
      <w:pPr>
        <w:spacing w:after="200" w:line="240" w:lineRule="auto"/>
        <w:contextualSpacing/>
        <w:rPr>
          <w:rFonts w:cs="Arial"/>
          <w:lang w:val="es-ES"/>
        </w:rPr>
      </w:pPr>
      <w:r w:rsidRPr="009A2496">
        <w:rPr>
          <w:rFonts w:cs="Arial"/>
          <w:lang w:val="es-ES"/>
        </w:rPr>
        <w:t>Construcción  Nido Nutrir Juanoy:</w:t>
      </w:r>
    </w:p>
    <w:p w:rsidR="009A2496" w:rsidRPr="009A2496" w:rsidRDefault="009A2496" w:rsidP="00A92D87">
      <w:pPr>
        <w:spacing w:after="200" w:line="240" w:lineRule="auto"/>
        <w:contextualSpacing/>
        <w:rPr>
          <w:rFonts w:cs="Arial"/>
          <w:lang w:val="es-ES"/>
        </w:rPr>
      </w:pPr>
    </w:p>
    <w:tbl>
      <w:tblPr>
        <w:tblW w:w="5206" w:type="dxa"/>
        <w:tblInd w:w="55" w:type="dxa"/>
        <w:tblCellMar>
          <w:left w:w="70" w:type="dxa"/>
          <w:right w:w="70" w:type="dxa"/>
        </w:tblCellMar>
        <w:tblLook w:val="04A0"/>
      </w:tblPr>
      <w:tblGrid>
        <w:gridCol w:w="1640"/>
        <w:gridCol w:w="1200"/>
        <w:gridCol w:w="2406"/>
      </w:tblGrid>
      <w:tr w:rsidR="009A2496" w:rsidRPr="009A2496" w:rsidTr="00000F81">
        <w:trPr>
          <w:trHeight w:val="300"/>
        </w:trPr>
        <w:tc>
          <w:tcPr>
            <w:tcW w:w="1600" w:type="dxa"/>
            <w:tcBorders>
              <w:top w:val="single" w:sz="4" w:space="0" w:color="auto"/>
              <w:left w:val="single" w:sz="4" w:space="0" w:color="auto"/>
              <w:bottom w:val="single" w:sz="4" w:space="0" w:color="auto"/>
              <w:right w:val="nil"/>
            </w:tcBorders>
            <w:shd w:val="clear" w:color="auto" w:fill="auto"/>
            <w:noWrap/>
            <w:vAlign w:val="center"/>
            <w:hideMark/>
          </w:tcPr>
          <w:p w:rsidR="009A2496" w:rsidRPr="009A2496" w:rsidRDefault="009A2496" w:rsidP="00A92D87">
            <w:pPr>
              <w:spacing w:after="0" w:line="240" w:lineRule="auto"/>
              <w:rPr>
                <w:rFonts w:eastAsia="Times New Roman" w:cs="Arial"/>
                <w:b/>
                <w:bCs/>
                <w:lang w:val="es-ES" w:eastAsia="es-ES"/>
              </w:rPr>
            </w:pPr>
            <w:r w:rsidRPr="009A2496">
              <w:rPr>
                <w:rFonts w:eastAsia="Times New Roman" w:cs="Arial"/>
                <w:b/>
                <w:bCs/>
                <w:lang w:val="es-ES" w:eastAsia="es-ES"/>
              </w:rPr>
              <w:t>COSTO OBRA</w:t>
            </w:r>
          </w:p>
        </w:tc>
        <w:tc>
          <w:tcPr>
            <w:tcW w:w="1200" w:type="dxa"/>
            <w:tcBorders>
              <w:top w:val="single" w:sz="4" w:space="0" w:color="auto"/>
              <w:left w:val="nil"/>
              <w:bottom w:val="single" w:sz="4" w:space="0" w:color="auto"/>
              <w:right w:val="nil"/>
            </w:tcBorders>
            <w:shd w:val="clear" w:color="auto" w:fill="auto"/>
            <w:noWrap/>
            <w:vAlign w:val="center"/>
            <w:hideMark/>
          </w:tcPr>
          <w:p w:rsidR="009A2496" w:rsidRPr="009A2496" w:rsidRDefault="009A2496" w:rsidP="00A92D87">
            <w:pPr>
              <w:spacing w:after="0" w:line="240" w:lineRule="auto"/>
              <w:rPr>
                <w:rFonts w:eastAsia="Times New Roman" w:cs="Arial"/>
                <w:lang w:val="es-ES" w:eastAsia="es-ES"/>
              </w:rPr>
            </w:pPr>
            <w:r w:rsidRPr="009A2496">
              <w:rPr>
                <w:rFonts w:eastAsia="Times New Roman" w:cs="Arial"/>
                <w:lang w:val="es-ES" w:eastAsia="es-ES"/>
              </w:rPr>
              <w:t> </w:t>
            </w:r>
          </w:p>
        </w:tc>
        <w:tc>
          <w:tcPr>
            <w:tcW w:w="2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496" w:rsidRPr="009A2496" w:rsidRDefault="009A2496" w:rsidP="00A92D87">
            <w:pPr>
              <w:spacing w:after="0" w:line="240" w:lineRule="auto"/>
              <w:rPr>
                <w:rFonts w:eastAsia="Times New Roman" w:cs="Arial"/>
                <w:bCs/>
                <w:lang w:val="es-ES" w:eastAsia="es-ES"/>
              </w:rPr>
            </w:pPr>
            <w:r w:rsidRPr="009A2496">
              <w:rPr>
                <w:rFonts w:eastAsia="Times New Roman" w:cs="Arial"/>
                <w:bCs/>
                <w:lang w:val="es-ES" w:eastAsia="es-ES"/>
              </w:rPr>
              <w:t xml:space="preserve">$ 441.175.379,34 </w:t>
            </w:r>
          </w:p>
        </w:tc>
      </w:tr>
      <w:tr w:rsidR="009A2496" w:rsidRPr="009A2496" w:rsidTr="00000F81">
        <w:trPr>
          <w:trHeight w:val="300"/>
        </w:trPr>
        <w:tc>
          <w:tcPr>
            <w:tcW w:w="1600" w:type="dxa"/>
            <w:tcBorders>
              <w:top w:val="nil"/>
              <w:left w:val="single" w:sz="4" w:space="0" w:color="auto"/>
              <w:bottom w:val="single" w:sz="4" w:space="0" w:color="auto"/>
              <w:right w:val="nil"/>
            </w:tcBorders>
            <w:shd w:val="clear" w:color="auto" w:fill="auto"/>
            <w:noWrap/>
            <w:vAlign w:val="bottom"/>
            <w:hideMark/>
          </w:tcPr>
          <w:p w:rsidR="009A2496" w:rsidRPr="009A2496" w:rsidRDefault="009A2496" w:rsidP="00A92D87">
            <w:pPr>
              <w:spacing w:after="0" w:line="240" w:lineRule="auto"/>
              <w:rPr>
                <w:rFonts w:eastAsia="Times New Roman" w:cs="Arial"/>
                <w:b/>
                <w:bCs/>
                <w:lang w:val="es-ES" w:eastAsia="es-ES"/>
              </w:rPr>
            </w:pPr>
            <w:r w:rsidRPr="009A2496">
              <w:rPr>
                <w:rFonts w:eastAsia="Times New Roman" w:cs="Arial"/>
                <w:b/>
                <w:bCs/>
                <w:lang w:val="es-ES" w:eastAsia="es-ES"/>
              </w:rPr>
              <w:t>INTERVENTORIA</w:t>
            </w:r>
          </w:p>
        </w:tc>
        <w:tc>
          <w:tcPr>
            <w:tcW w:w="1200" w:type="dxa"/>
            <w:tcBorders>
              <w:top w:val="nil"/>
              <w:left w:val="nil"/>
              <w:bottom w:val="single" w:sz="4" w:space="0" w:color="auto"/>
              <w:right w:val="single" w:sz="4" w:space="0" w:color="auto"/>
            </w:tcBorders>
            <w:shd w:val="clear" w:color="auto" w:fill="auto"/>
            <w:noWrap/>
            <w:vAlign w:val="bottom"/>
            <w:hideMark/>
          </w:tcPr>
          <w:p w:rsidR="009A2496" w:rsidRPr="009A2496" w:rsidRDefault="009A2496" w:rsidP="00A92D87">
            <w:pPr>
              <w:spacing w:after="0" w:line="240" w:lineRule="auto"/>
              <w:rPr>
                <w:rFonts w:eastAsia="Times New Roman" w:cs="Arial"/>
                <w:lang w:val="es-ES" w:eastAsia="es-ES"/>
              </w:rPr>
            </w:pPr>
            <w:r w:rsidRPr="009A2496">
              <w:rPr>
                <w:rFonts w:eastAsia="Times New Roman" w:cs="Arial"/>
                <w:lang w:val="es-ES" w:eastAsia="es-ES"/>
              </w:rPr>
              <w:t> </w:t>
            </w:r>
          </w:p>
        </w:tc>
        <w:tc>
          <w:tcPr>
            <w:tcW w:w="2406" w:type="dxa"/>
            <w:tcBorders>
              <w:top w:val="nil"/>
              <w:left w:val="nil"/>
              <w:bottom w:val="single" w:sz="4" w:space="0" w:color="auto"/>
              <w:right w:val="single" w:sz="4" w:space="0" w:color="auto"/>
            </w:tcBorders>
            <w:shd w:val="clear" w:color="auto" w:fill="auto"/>
            <w:noWrap/>
            <w:vAlign w:val="bottom"/>
            <w:hideMark/>
          </w:tcPr>
          <w:p w:rsidR="009A2496" w:rsidRPr="009A2496" w:rsidRDefault="009A2496" w:rsidP="00A92D87">
            <w:pPr>
              <w:spacing w:after="0" w:line="240" w:lineRule="auto"/>
              <w:rPr>
                <w:rFonts w:eastAsia="Times New Roman" w:cs="Arial"/>
                <w:color w:val="000000"/>
                <w:lang w:val="es-ES" w:eastAsia="es-ES"/>
              </w:rPr>
            </w:pPr>
            <w:r w:rsidRPr="009A2496">
              <w:rPr>
                <w:rFonts w:eastAsia="Times New Roman" w:cs="Arial"/>
                <w:color w:val="000000"/>
                <w:lang w:val="es-ES" w:eastAsia="es-ES"/>
              </w:rPr>
              <w:t xml:space="preserve">$ 30.882.276,55 </w:t>
            </w:r>
          </w:p>
        </w:tc>
      </w:tr>
      <w:tr w:rsidR="009A2496" w:rsidRPr="009A2496" w:rsidTr="00000F81">
        <w:trPr>
          <w:trHeight w:val="300"/>
        </w:trPr>
        <w:tc>
          <w:tcPr>
            <w:tcW w:w="2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2496" w:rsidRPr="009A2496" w:rsidRDefault="009A2496" w:rsidP="00A92D87">
            <w:pPr>
              <w:spacing w:after="0" w:line="240" w:lineRule="auto"/>
              <w:rPr>
                <w:rFonts w:eastAsia="Times New Roman" w:cs="Arial"/>
                <w:b/>
                <w:bCs/>
                <w:lang w:val="es-ES" w:eastAsia="es-ES"/>
              </w:rPr>
            </w:pPr>
            <w:r w:rsidRPr="009A2496">
              <w:rPr>
                <w:rFonts w:eastAsia="Times New Roman" w:cs="Arial"/>
                <w:b/>
                <w:bCs/>
                <w:lang w:val="es-ES" w:eastAsia="es-ES"/>
              </w:rPr>
              <w:t>TOTAL PRESUPUESTO</w:t>
            </w:r>
          </w:p>
        </w:tc>
        <w:tc>
          <w:tcPr>
            <w:tcW w:w="2406" w:type="dxa"/>
            <w:tcBorders>
              <w:top w:val="nil"/>
              <w:left w:val="nil"/>
              <w:bottom w:val="single" w:sz="4" w:space="0" w:color="auto"/>
              <w:right w:val="single" w:sz="4" w:space="0" w:color="auto"/>
            </w:tcBorders>
            <w:shd w:val="clear" w:color="auto" w:fill="auto"/>
            <w:noWrap/>
            <w:vAlign w:val="bottom"/>
            <w:hideMark/>
          </w:tcPr>
          <w:p w:rsidR="009A2496" w:rsidRPr="009A2496" w:rsidRDefault="009A2496" w:rsidP="00A92D87">
            <w:pPr>
              <w:spacing w:after="0" w:line="240" w:lineRule="auto"/>
              <w:rPr>
                <w:rFonts w:eastAsia="Times New Roman" w:cs="Arial"/>
                <w:color w:val="000000"/>
                <w:lang w:val="es-ES" w:eastAsia="es-ES"/>
              </w:rPr>
            </w:pPr>
            <w:r w:rsidRPr="009A2496">
              <w:rPr>
                <w:rFonts w:eastAsia="Times New Roman" w:cs="Arial"/>
                <w:color w:val="000000"/>
                <w:lang w:val="es-ES" w:eastAsia="es-ES"/>
              </w:rPr>
              <w:t>$ 472.057.655,90</w:t>
            </w:r>
          </w:p>
        </w:tc>
      </w:tr>
    </w:tbl>
    <w:p w:rsidR="009A2496" w:rsidRPr="009A2496" w:rsidRDefault="009A2496" w:rsidP="00A92D87">
      <w:pPr>
        <w:autoSpaceDE w:val="0"/>
        <w:autoSpaceDN w:val="0"/>
        <w:adjustRightInd w:val="0"/>
        <w:spacing w:after="200" w:line="240" w:lineRule="auto"/>
        <w:jc w:val="both"/>
        <w:rPr>
          <w:rFonts w:cs="Arial"/>
          <w:b/>
          <w:bCs/>
        </w:rPr>
      </w:pPr>
    </w:p>
    <w:p w:rsidR="009A2496" w:rsidRPr="009A2496" w:rsidRDefault="009A2496" w:rsidP="00DF63E8">
      <w:pPr>
        <w:autoSpaceDE w:val="0"/>
        <w:autoSpaceDN w:val="0"/>
        <w:adjustRightInd w:val="0"/>
        <w:spacing w:after="200" w:line="240" w:lineRule="auto"/>
        <w:jc w:val="both"/>
        <w:rPr>
          <w:rFonts w:cs="Arial"/>
          <w:b/>
          <w:bCs/>
        </w:rPr>
      </w:pPr>
      <w:r w:rsidRPr="009A2496">
        <w:rPr>
          <w:rFonts w:cs="Arial"/>
          <w:b/>
          <w:bCs/>
        </w:rPr>
        <w:t>ACOMPAÑAMIENTO INTEGRAL MADRES GESTANTES Y LACTANTES “ABRAZO DE AMOR”</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 xml:space="preserve">El proyecto de Madres Gestantes y Lactantes ““Abrazo de Amor”” implementado por Secretaria de Bienestar Social, es producto de un esfuerzo de la Administración Municipal, Liderada por el Alcalde Harold Guerrero y la Gestora Social Patricia Mazuera, en alianza estratégica con Fundación Éxito. El propósito de esta iniciativa es brindar una atención integral madres adolescentes en estado de gestación o lactancia para contribuir al mejoramiento de su calidad de vida, así como de su núcleo familiar. </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Este proyecto se encuentra inmerso en el PLAN DE DESARROLLO “TRANSFORMACION PRODUCTIVA 2012- 2015”, teniendo como meta del cuatrienio la atención de 200 madres adolescentes gestantes y lactantes.</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La focalización de las beneficiaria se hace teniendo en cuenta las condiciones socioeconómicas y psicosociales, priorizando la población con mayores niveles de vulnerabilidad y riesgo para las madres y sus bebés nacidos o por nacer. Así mismo, el programa procura tener presencia en todas las comunas del municipio y los corregimientos donde existen mayores necesidades.</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Para el desarrollo de este proyecto y dado el carácter multifactorial del embarazo en la adolescencia, el documento estratégico de referencia es el CONPES 147 que se basa en la teoría de los determinantes sociales, la cual refiere al conjunto de variables individuales, sociales y estructurales que, relacionadas entre sí, condicionan el proceso vital y explican el conjunto de fenómenos asociados a la salud sexual y reproductiva de adolescentes y jóvenes. Si bien este documento hace referencia a la prevención del embarazo adolescente, en el marco de este proyecto es fundamental que evitemos la llegada de un embarazo en edades tempranas por ser considerado un problema social y de salud pública de alcance mundial, que afecta en mayor medida a la población vulnerable.</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Uno de los fines más importantes de ““Abrazo de Amor”” es fortalecer la reconstrucción del proyecto de vida individual y familiar de las adolescentes beneficiarias a partir de su maternidad, mediante el acompañamiento y seguimiento permanente del área psicosocial, nutricional y de salud. Para esto contamos con un equipo interdisciplinario compuesto por: sicóloga, trabajadora social, auxiliar de enfermería, nutricionista y pedagogas. Así mismo, buscamos el apoyo de profesionales de salud a través de distintas gestiones ante universidades y entidades públicas y privadas</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lastRenderedPageBreak/>
        <w:t xml:space="preserve">El componente nutricional es fundamental para el proyecto ya que buscamos prevenir el bajo peso al nacer, así como la desnutrición global y aguda en la primera infancia. Los niveles nutricionales de los niños y niñas que nacen bajo la protección del programa evidencian el impacto positivo que tiene la intervención en la gestión, y que en el proyecto está determinado por  la entrega de un paquete alimentario que cumple el 80% de los requerimientos nutricionales de una madre gestante, Lo mismo se replica en el caso de las madres lactantes. Esta atención es posible gracias a un convenio suscrito entre la Alcaldía de Pasto y la Fundación Éxito y al seguimiento que se realiza a gestantes y bebés mediante los tableros de gestión. </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En la actualidad, el proyecto brinda atención desde el segundo mes de gestación hasta que el niño o niña cumple dos (2) años, momento en el cual transita al proyecto de educación inicial de la Alcaldía de Pasto, Centros de Desarrollo Infantil Nidos Nutrir, donde cuentan atención integral según los lineamientos de ICBF y la estrategia nacional “De Cero a 5iempre” con componentes psicosocial, pedagógico, nutricional, y transporte.</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Durante el proyecto el compromiso con las madres adolescentes gestantes y lactantes ha sido orientar a las adolescentes en el conocimiento de sus derechos sexuales y reproductivos; la sensibilización en a la equidad de género, la prevención del segundo embarazo (alianzas interinstitucionales con PROFAMILIA), la participación en la ciudad como experiencia exitosa contada por las participantes (Participación SOMOS MAS), el empoderamiento a nivel individual, de pareja y familiar; así mismo la formación académica como herramienta para mejorar la calidad de vida y fortalecer el autoestima de la mujer como pilar fundamental para enfrentar las adversidades de la vida cotidiana de manera positiva.</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 xml:space="preserve">El proyecto también ha logrado crear los espacios oportunos para que las adolescentes y sus parejas puedan hacer un análisis reflexivo y crítico de su realidad, adquieran mayores conocimientos y modifiquen sus actitudes para que asumir su sexualidad en forma sana y responsable. A su vez las adolescentes que ya tienen vida sexual activa gozan de acceso real a los anticonceptivos adecuados para su edad, que son definidos según normas y que les son entregados en la consulta de Atención Integral del Adolescente, que le ofrecen la privacidad que ellas demandan, así como la asistencia médica adecuada. </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Por otro lado, el proyecto mejora la comunicación de las beneficiarias con sus familias, siendo fundamental una buena comunicación en la relación de pareja, entre padres e hijos y la comunidad. Sí mismo, la comunicación es determinante en el ejercicio de la maternidad al ser una herramienta para guiar, informar y dar los elementos necesarios para el desarrollo intelectual y cognitivo de los niños y niñas y la toma de decisiones.</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El proyecto ofrece a las adolescentes capacitaciones  grupales  y asesorías psicológicas individuales que permiten hacer un manejo oportuno de todos los procesos vitales y de su salud física y mental. También activa rutas de atención en casos de beneficiarias víctimas de incesto y abuso sexual.</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Otro factor de éxito ha sido el acompañamiento nutricional y la entrega de un mercado mensual para las adolescentes y sus hijos, siendo prioridad la nutrición de la menor y su bebe.</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lastRenderedPageBreak/>
        <w:t>Es propicio indicar, que el seguimiento permanente a cada una de las madres gestantes y lactantes se convierte en un instrumento de diagnóstico y de acercamiento directo a la realidad de las adolescentes, quienes han encontrado en el proyecto un espacio que se caracteriza por brindarles la confianza y la seguridad necesaria para plantear sus inquietudes, con la certeza de que la personas lo dirigen, lo hacen de una forma profesional y ética. Por todo lo anterior, se considera que el proyecto ha sido exitoso, impactando positivamente la vida de la adolescente, su hijo y la familia.</w:t>
      </w:r>
    </w:p>
    <w:p w:rsidR="009A2496" w:rsidRPr="009A2496" w:rsidRDefault="009A2496" w:rsidP="00A92D87">
      <w:pPr>
        <w:autoSpaceDE w:val="0"/>
        <w:autoSpaceDN w:val="0"/>
        <w:adjustRightInd w:val="0"/>
        <w:spacing w:after="200" w:line="240" w:lineRule="auto"/>
        <w:jc w:val="both"/>
        <w:rPr>
          <w:rFonts w:cs="Arial"/>
          <w:bCs/>
        </w:rPr>
      </w:pPr>
      <w:r w:rsidRPr="009A2496">
        <w:rPr>
          <w:rFonts w:cs="Arial"/>
          <w:bCs/>
        </w:rPr>
        <w:t>En el año 2014 se obtuvo un premio a nivel nacional como el mejor proyecto en contra de la desnutrición infantil atención integral en los 1000 primeros días.</w:t>
      </w:r>
    </w:p>
    <w:p w:rsidR="009A2496" w:rsidRPr="009A2496" w:rsidRDefault="009A2496" w:rsidP="00A92D87">
      <w:pPr>
        <w:keepNext/>
        <w:spacing w:after="0" w:line="240" w:lineRule="auto"/>
        <w:outlineLvl w:val="0"/>
        <w:rPr>
          <w:rFonts w:eastAsia="Times New Roman" w:cs="Arial"/>
          <w:b/>
          <w:bCs/>
          <w:kern w:val="32"/>
          <w:lang w:val="es-ES" w:eastAsia="es-ES"/>
        </w:rPr>
      </w:pPr>
      <w:bookmarkStart w:id="84" w:name="_Toc437370427"/>
      <w:bookmarkStart w:id="85" w:name="_Toc437376041"/>
      <w:r w:rsidRPr="009A2496">
        <w:rPr>
          <w:rFonts w:eastAsia="Times New Roman" w:cs="Arial"/>
          <w:b/>
          <w:bCs/>
          <w:kern w:val="32"/>
          <w:lang w:val="es-ES" w:eastAsia="es-ES"/>
        </w:rPr>
        <w:t>Indicadores Plan de Desarrollo Municipal</w:t>
      </w:r>
      <w:bookmarkEnd w:id="84"/>
      <w:bookmarkEnd w:id="85"/>
    </w:p>
    <w:p w:rsidR="009A2496" w:rsidRPr="009A2496" w:rsidRDefault="009A2496" w:rsidP="00A92D87">
      <w:pPr>
        <w:keepNext/>
        <w:spacing w:after="0" w:line="240" w:lineRule="auto"/>
        <w:outlineLvl w:val="0"/>
        <w:rPr>
          <w:rFonts w:eastAsia="Times New Roman" w:cs="Arial"/>
          <w:b/>
          <w:bCs/>
          <w:kern w:val="32"/>
          <w:lang w:val="es-ES" w:eastAsia="es-E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417"/>
        <w:gridCol w:w="1843"/>
        <w:gridCol w:w="2268"/>
      </w:tblGrid>
      <w:tr w:rsidR="009A2496" w:rsidRPr="009A2496" w:rsidTr="00000F81">
        <w:tc>
          <w:tcPr>
            <w:tcW w:w="4503"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86" w:name="_Toc437370428"/>
            <w:bookmarkStart w:id="87" w:name="_Toc437376042"/>
            <w:r w:rsidRPr="009A2496">
              <w:rPr>
                <w:rFonts w:eastAsia="Times New Roman" w:cs="Arial"/>
                <w:b/>
                <w:bCs/>
                <w:kern w:val="32"/>
                <w:lang w:val="es-ES" w:eastAsia="es-ES"/>
              </w:rPr>
              <w:t>INDICADOR</w:t>
            </w:r>
            <w:bookmarkEnd w:id="86"/>
            <w:bookmarkEnd w:id="87"/>
          </w:p>
        </w:tc>
        <w:tc>
          <w:tcPr>
            <w:tcW w:w="1417"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88" w:name="_Toc437370429"/>
            <w:bookmarkStart w:id="89" w:name="_Toc437376043"/>
            <w:r w:rsidRPr="009A2496">
              <w:rPr>
                <w:rFonts w:eastAsia="Times New Roman" w:cs="Arial"/>
                <w:b/>
                <w:bCs/>
                <w:kern w:val="32"/>
                <w:lang w:val="es-ES" w:eastAsia="es-ES"/>
              </w:rPr>
              <w:t>META CUATRENIO</w:t>
            </w:r>
            <w:bookmarkEnd w:id="88"/>
            <w:bookmarkEnd w:id="89"/>
          </w:p>
        </w:tc>
        <w:tc>
          <w:tcPr>
            <w:tcW w:w="1843"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90" w:name="_Toc437370430"/>
            <w:bookmarkStart w:id="91" w:name="_Toc437376044"/>
            <w:r w:rsidRPr="009A2496">
              <w:rPr>
                <w:rFonts w:eastAsia="Times New Roman" w:cs="Arial"/>
                <w:b/>
                <w:bCs/>
                <w:kern w:val="32"/>
                <w:lang w:val="es-ES" w:eastAsia="es-ES"/>
              </w:rPr>
              <w:t>CUMPLIMIENTO</w:t>
            </w:r>
            <w:bookmarkEnd w:id="90"/>
            <w:bookmarkEnd w:id="91"/>
          </w:p>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92" w:name="_Toc437370431"/>
            <w:bookmarkStart w:id="93" w:name="_Toc437376045"/>
            <w:r w:rsidRPr="009A2496">
              <w:rPr>
                <w:rFonts w:eastAsia="Times New Roman" w:cs="Arial"/>
                <w:b/>
                <w:bCs/>
                <w:kern w:val="32"/>
                <w:lang w:val="es-ES" w:eastAsia="es-ES"/>
              </w:rPr>
              <w:t>(Diciembre de 2015)</w:t>
            </w:r>
            <w:bookmarkEnd w:id="92"/>
            <w:bookmarkEnd w:id="93"/>
          </w:p>
        </w:tc>
        <w:tc>
          <w:tcPr>
            <w:tcW w:w="2268" w:type="dxa"/>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94" w:name="_Toc437370432"/>
            <w:bookmarkStart w:id="95" w:name="_Toc437376046"/>
            <w:r w:rsidRPr="009A2496">
              <w:rPr>
                <w:rFonts w:eastAsia="Times New Roman" w:cs="Arial"/>
                <w:b/>
                <w:bCs/>
                <w:kern w:val="32"/>
                <w:lang w:val="es-ES" w:eastAsia="es-ES"/>
              </w:rPr>
              <w:t>% DE CUMPLIMIENTO</w:t>
            </w:r>
            <w:bookmarkEnd w:id="94"/>
            <w:bookmarkEnd w:id="95"/>
          </w:p>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96" w:name="_Toc437370433"/>
            <w:bookmarkStart w:id="97" w:name="_Toc437376047"/>
            <w:r w:rsidRPr="009A2496">
              <w:rPr>
                <w:rFonts w:eastAsia="Times New Roman" w:cs="Arial"/>
                <w:b/>
                <w:bCs/>
                <w:kern w:val="32"/>
                <w:lang w:val="es-ES" w:eastAsia="es-ES"/>
              </w:rPr>
              <w:t>(Diciembre de 2015)</w:t>
            </w:r>
            <w:bookmarkEnd w:id="96"/>
            <w:bookmarkEnd w:id="97"/>
          </w:p>
        </w:tc>
      </w:tr>
      <w:tr w:rsidR="009A2496" w:rsidRPr="009A2496" w:rsidTr="00000F81">
        <w:tc>
          <w:tcPr>
            <w:tcW w:w="4503" w:type="dxa"/>
            <w:shd w:val="clear" w:color="auto" w:fill="auto"/>
          </w:tcPr>
          <w:p w:rsidR="009A2496" w:rsidRPr="009A2496" w:rsidRDefault="009A2496" w:rsidP="00A92D87">
            <w:pPr>
              <w:keepNext/>
              <w:spacing w:after="0" w:line="240" w:lineRule="auto"/>
              <w:outlineLvl w:val="0"/>
              <w:rPr>
                <w:rFonts w:eastAsia="Times New Roman" w:cs="Arial"/>
                <w:bCs/>
                <w:kern w:val="32"/>
                <w:lang w:val="es-ES" w:eastAsia="es-ES"/>
              </w:rPr>
            </w:pPr>
            <w:bookmarkStart w:id="98" w:name="_Toc437370434"/>
            <w:bookmarkStart w:id="99" w:name="_Toc437376048"/>
            <w:r w:rsidRPr="009A2496">
              <w:rPr>
                <w:rFonts w:eastAsia="Times New Roman" w:cs="Arial"/>
                <w:bCs/>
                <w:kern w:val="32"/>
                <w:lang w:val="es-ES" w:eastAsia="es-ES"/>
              </w:rPr>
              <w:t>Madres adolescentes gestantes y lactantes con apoyo psicosocial y nutricional</w:t>
            </w:r>
            <w:bookmarkEnd w:id="98"/>
            <w:bookmarkEnd w:id="99"/>
          </w:p>
        </w:tc>
        <w:tc>
          <w:tcPr>
            <w:tcW w:w="1417"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100" w:name="_Toc437370435"/>
            <w:bookmarkStart w:id="101" w:name="_Toc437376049"/>
            <w:r w:rsidRPr="009A2496">
              <w:rPr>
                <w:rFonts w:eastAsia="Times New Roman" w:cs="Arial"/>
                <w:bCs/>
                <w:kern w:val="32"/>
                <w:lang w:val="es-ES" w:eastAsia="es-ES"/>
              </w:rPr>
              <w:t>200</w:t>
            </w:r>
            <w:bookmarkEnd w:id="100"/>
            <w:bookmarkEnd w:id="101"/>
          </w:p>
        </w:tc>
        <w:tc>
          <w:tcPr>
            <w:tcW w:w="1843"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102" w:name="_Toc437370436"/>
            <w:bookmarkStart w:id="103" w:name="_Toc437376050"/>
            <w:r w:rsidRPr="009A2496">
              <w:rPr>
                <w:rFonts w:eastAsia="Times New Roman" w:cs="Arial"/>
                <w:bCs/>
                <w:kern w:val="32"/>
                <w:lang w:val="es-ES" w:eastAsia="es-ES"/>
              </w:rPr>
              <w:t>286</w:t>
            </w:r>
            <w:bookmarkEnd w:id="102"/>
            <w:bookmarkEnd w:id="103"/>
          </w:p>
        </w:tc>
        <w:tc>
          <w:tcPr>
            <w:tcW w:w="2268" w:type="dxa"/>
            <w:shd w:val="clear" w:color="auto" w:fill="auto"/>
          </w:tcPr>
          <w:p w:rsidR="009A2496" w:rsidRPr="009A2496" w:rsidRDefault="009A2496" w:rsidP="00A92D87">
            <w:pPr>
              <w:keepNext/>
              <w:spacing w:after="0" w:line="240" w:lineRule="auto"/>
              <w:jc w:val="center"/>
              <w:outlineLvl w:val="0"/>
              <w:rPr>
                <w:rFonts w:eastAsia="Times New Roman" w:cs="Arial"/>
                <w:bCs/>
                <w:kern w:val="32"/>
                <w:lang w:val="es-ES" w:eastAsia="es-ES"/>
              </w:rPr>
            </w:pPr>
            <w:bookmarkStart w:id="104" w:name="_Toc437370437"/>
            <w:bookmarkStart w:id="105" w:name="_Toc437376051"/>
            <w:r w:rsidRPr="009A2496">
              <w:rPr>
                <w:rFonts w:eastAsia="Times New Roman" w:cs="Arial"/>
                <w:bCs/>
                <w:kern w:val="32"/>
                <w:lang w:val="es-ES" w:eastAsia="es-ES"/>
              </w:rPr>
              <w:t>143%</w:t>
            </w:r>
            <w:bookmarkEnd w:id="104"/>
            <w:bookmarkEnd w:id="105"/>
          </w:p>
        </w:tc>
      </w:tr>
      <w:tr w:rsidR="009A2496" w:rsidRPr="009A2496" w:rsidTr="00000F81">
        <w:tc>
          <w:tcPr>
            <w:tcW w:w="5920" w:type="dxa"/>
            <w:gridSpan w:val="2"/>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106" w:name="_Toc437370438"/>
            <w:bookmarkStart w:id="107" w:name="_Toc437376052"/>
            <w:r w:rsidRPr="009A2496">
              <w:rPr>
                <w:rFonts w:eastAsia="Times New Roman" w:cs="Arial"/>
                <w:b/>
                <w:bCs/>
                <w:kern w:val="32"/>
                <w:lang w:val="es-ES" w:eastAsia="es-ES"/>
              </w:rPr>
              <w:t>% DE CUMPLMIENTO DEL PROGRAMA</w:t>
            </w:r>
            <w:bookmarkEnd w:id="106"/>
            <w:bookmarkEnd w:id="107"/>
          </w:p>
        </w:tc>
        <w:tc>
          <w:tcPr>
            <w:tcW w:w="4111" w:type="dxa"/>
            <w:gridSpan w:val="2"/>
            <w:shd w:val="clear" w:color="auto" w:fill="auto"/>
          </w:tcPr>
          <w:p w:rsidR="009A2496" w:rsidRPr="009A2496" w:rsidRDefault="009A2496" w:rsidP="00A92D87">
            <w:pPr>
              <w:keepNext/>
              <w:spacing w:after="0" w:line="240" w:lineRule="auto"/>
              <w:jc w:val="center"/>
              <w:outlineLvl w:val="0"/>
              <w:rPr>
                <w:rFonts w:eastAsia="Times New Roman" w:cs="Arial"/>
                <w:b/>
                <w:bCs/>
                <w:kern w:val="32"/>
                <w:lang w:val="es-ES" w:eastAsia="es-ES"/>
              </w:rPr>
            </w:pPr>
            <w:bookmarkStart w:id="108" w:name="_Toc437370439"/>
            <w:bookmarkStart w:id="109" w:name="_Toc437376053"/>
            <w:r w:rsidRPr="009A2496">
              <w:rPr>
                <w:rFonts w:eastAsia="Times New Roman" w:cs="Arial"/>
                <w:b/>
                <w:bCs/>
                <w:kern w:val="32"/>
                <w:lang w:val="es-ES" w:eastAsia="es-ES"/>
              </w:rPr>
              <w:t>133%</w:t>
            </w:r>
            <w:bookmarkEnd w:id="108"/>
            <w:bookmarkEnd w:id="109"/>
          </w:p>
        </w:tc>
      </w:tr>
    </w:tbl>
    <w:p w:rsidR="009A2496" w:rsidRPr="009A2496" w:rsidRDefault="009A2496" w:rsidP="00A92D87">
      <w:pPr>
        <w:keepNext/>
        <w:spacing w:after="0" w:line="240" w:lineRule="auto"/>
        <w:outlineLvl w:val="0"/>
        <w:rPr>
          <w:rFonts w:eastAsia="Times New Roman" w:cs="Arial"/>
          <w:bCs/>
          <w:kern w:val="32"/>
          <w:lang w:val="es-ES" w:eastAsia="es-ES"/>
        </w:rPr>
      </w:pPr>
    </w:p>
    <w:p w:rsidR="009A2496" w:rsidRPr="009A2496" w:rsidRDefault="009A2496"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9A2496">
        <w:rPr>
          <w:b/>
          <w:i/>
          <w:iCs/>
        </w:rPr>
        <w:t>DESCRIPCIÓN DEL INDICADOR No. 50</w:t>
      </w:r>
    </w:p>
    <w:tbl>
      <w:tblPr>
        <w:tblStyle w:val="Tabladecuadrcula2-nfasis51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cnfStyle w:val="100000000000"/>
          <w:trHeight w:val="579"/>
          <w:jc w:val="center"/>
        </w:trPr>
        <w:tc>
          <w:tcPr>
            <w:cnfStyle w:val="001000000000"/>
            <w:tcW w:w="8828" w:type="dxa"/>
            <w:tcBorders>
              <w:top w:val="none" w:sz="0" w:space="0" w:color="auto"/>
              <w:bottom w:val="none" w:sz="0" w:space="0" w:color="auto"/>
            </w:tcBorders>
          </w:tcPr>
          <w:p w:rsidR="009A2496" w:rsidRPr="009A2496" w:rsidRDefault="009A2496" w:rsidP="00A92D87">
            <w:r w:rsidRPr="009A2496">
              <w:t xml:space="preserve">MUNICIPIO: PASTO </w:t>
            </w:r>
          </w:p>
          <w:p w:rsidR="009A2496" w:rsidRPr="009A2496" w:rsidRDefault="009A2496" w:rsidP="00A92D87">
            <w:r w:rsidRPr="009A2496">
              <w:t>ALCALDIA DE PASTO</w:t>
            </w:r>
          </w:p>
        </w:tc>
      </w:tr>
      <w:tr w:rsidR="009A2496" w:rsidRPr="009A2496" w:rsidTr="00000F81">
        <w:trPr>
          <w:cnfStyle w:val="000000100000"/>
          <w:trHeight w:val="579"/>
          <w:jc w:val="center"/>
        </w:trPr>
        <w:tc>
          <w:tcPr>
            <w:cnfStyle w:val="001000000000"/>
            <w:tcW w:w="8828" w:type="dxa"/>
          </w:tcPr>
          <w:p w:rsidR="009A2496" w:rsidRPr="009A2496" w:rsidRDefault="009A2496" w:rsidP="00A92D87">
            <w:r w:rsidRPr="009A2496">
              <w:t xml:space="preserve">Nombre del indicador: </w:t>
            </w:r>
          </w:p>
          <w:p w:rsidR="009A2496" w:rsidRPr="009A2496" w:rsidRDefault="009A2496" w:rsidP="00A92D87">
            <w:r w:rsidRPr="009A2496">
              <w:t>Cobertura escolar bruta en preescolar</w:t>
            </w:r>
          </w:p>
        </w:tc>
      </w:tr>
      <w:tr w:rsidR="009A2496" w:rsidRPr="009A2496" w:rsidTr="00000F81">
        <w:trPr>
          <w:trHeight w:val="332"/>
          <w:jc w:val="center"/>
        </w:trPr>
        <w:tc>
          <w:tcPr>
            <w:cnfStyle w:val="001000000000"/>
            <w:tcW w:w="8828" w:type="dxa"/>
          </w:tcPr>
          <w:p w:rsidR="009A2496" w:rsidRPr="009A2496" w:rsidRDefault="009A2496" w:rsidP="00A92D87">
            <w:r w:rsidRPr="009A2496">
              <w:t>Fuente Nacional: Ministerio de Educación Nacional - SIMAT</w:t>
            </w:r>
          </w:p>
          <w:p w:rsidR="009A2496" w:rsidRPr="009A2496" w:rsidRDefault="009A2496" w:rsidP="00A92D87">
            <w:r w:rsidRPr="009A2496">
              <w:t>Otra Fuente: DANE</w:t>
            </w:r>
          </w:p>
        </w:tc>
      </w:tr>
      <w:tr w:rsidR="009A2496" w:rsidRPr="009A2496" w:rsidTr="00000F81">
        <w:trPr>
          <w:cnfStyle w:val="000000100000"/>
          <w:trHeight w:val="458"/>
          <w:jc w:val="center"/>
        </w:trPr>
        <w:tc>
          <w:tcPr>
            <w:cnfStyle w:val="001000000000"/>
            <w:tcW w:w="8828" w:type="dxa"/>
          </w:tcPr>
          <w:p w:rsidR="009A2496" w:rsidRPr="009A2496" w:rsidRDefault="009A2496" w:rsidP="00A92D87">
            <w:r w:rsidRPr="009A2496">
              <w:t>Derechos:  Derecho al Desarrollo</w:t>
            </w:r>
          </w:p>
        </w:tc>
      </w:tr>
      <w:tr w:rsidR="009A2496" w:rsidRPr="009A2496" w:rsidTr="00000F81">
        <w:trPr>
          <w:trHeight w:val="458"/>
          <w:jc w:val="center"/>
        </w:trPr>
        <w:tc>
          <w:tcPr>
            <w:cnfStyle w:val="001000000000"/>
            <w:tcW w:w="8828" w:type="dxa"/>
          </w:tcPr>
          <w:p w:rsidR="009A2496" w:rsidRPr="009A2496" w:rsidRDefault="009A2496" w:rsidP="00A92D87">
            <w:r w:rsidRPr="009A2496">
              <w:t>Temas relacionados: Educación</w:t>
            </w:r>
          </w:p>
        </w:tc>
      </w:tr>
      <w:tr w:rsidR="009A2496" w:rsidRPr="009A2496" w:rsidTr="00000F81">
        <w:trPr>
          <w:cnfStyle w:val="000000100000"/>
          <w:trHeight w:val="458"/>
          <w:jc w:val="center"/>
        </w:trPr>
        <w:tc>
          <w:tcPr>
            <w:cnfStyle w:val="001000000000"/>
            <w:tcW w:w="8828" w:type="dxa"/>
          </w:tcPr>
          <w:p w:rsidR="009A2496" w:rsidRPr="009A2496" w:rsidRDefault="009A2496" w:rsidP="00A92D87">
            <w:r w:rsidRPr="009A2496">
              <w:t>Metodología: Análisis de la información a partir de la cadena de resultados</w:t>
            </w:r>
          </w:p>
        </w:tc>
      </w:tr>
    </w:tbl>
    <w:p w:rsidR="009A2496" w:rsidRPr="009A2496" w:rsidRDefault="009A2496" w:rsidP="00A92D87">
      <w:pPr>
        <w:spacing w:after="0" w:line="240" w:lineRule="auto"/>
        <w:ind w:left="360"/>
        <w:contextualSpacing/>
        <w:rPr>
          <w:rFonts w:eastAsia="Times New Roman" w:cs="Times New Roman"/>
          <w:b/>
          <w:lang w:eastAsia="es-CO"/>
        </w:rPr>
      </w:pPr>
    </w:p>
    <w:p w:rsidR="009A2496" w:rsidRPr="009A2496" w:rsidRDefault="009A2496" w:rsidP="00DF63E8">
      <w:pPr>
        <w:numPr>
          <w:ilvl w:val="0"/>
          <w:numId w:val="41"/>
        </w:numPr>
        <w:spacing w:after="0" w:line="240" w:lineRule="auto"/>
        <w:contextualSpacing/>
        <w:rPr>
          <w:rFonts w:eastAsia="Times New Roman" w:cs="Times New Roman"/>
          <w:b/>
          <w:lang w:eastAsia="es-CO"/>
        </w:rPr>
      </w:pPr>
      <w:r w:rsidRPr="009A2496">
        <w:rPr>
          <w:rFonts w:eastAsia="Times New Roman" w:cs="Times New Roman"/>
          <w:b/>
          <w:lang w:eastAsia="es-CO"/>
        </w:rPr>
        <w:t>Información estadística</w:t>
      </w:r>
    </w:p>
    <w:p w:rsidR="009A2496" w:rsidRPr="009A2496" w:rsidRDefault="009A2496" w:rsidP="00A92D87">
      <w:pPr>
        <w:spacing w:after="0" w:line="240" w:lineRule="auto"/>
        <w:ind w:left="360"/>
        <w:contextualSpacing/>
        <w:rPr>
          <w:rFonts w:eastAsia="Times New Roman" w:cs="Times New Roman"/>
          <w:b/>
          <w:lang w:eastAsia="es-CO"/>
        </w:rPr>
      </w:pPr>
    </w:p>
    <w:p w:rsidR="009A2496" w:rsidRPr="009A2496" w:rsidRDefault="009A2496" w:rsidP="00A92D87">
      <w:pPr>
        <w:spacing w:line="240" w:lineRule="auto"/>
        <w:jc w:val="both"/>
      </w:pPr>
      <w:r w:rsidRPr="009A2496">
        <w:t>Para el cálculo y análisis de la tasa de cobertura bruta, realizados en el estudio, se utilizó como numerador el dato de la matrícula del sistema integral de matrícula - SIMAT y como denominador la población en edad escolar.  La tasa de cobertura bruta resulta de dividir la matricula total, independientemente de la edad de os estudiantes, sobre la población en edad escolar correspondiente a dicho nivel.</w:t>
      </w:r>
    </w:p>
    <w:p w:rsidR="009A2496" w:rsidRPr="009A2496" w:rsidRDefault="009A2496" w:rsidP="00A92D87">
      <w:pPr>
        <w:spacing w:line="240" w:lineRule="auto"/>
        <w:jc w:val="both"/>
      </w:pPr>
    </w:p>
    <w:p w:rsidR="009A2496" w:rsidRPr="009A2496" w:rsidRDefault="009A2496" w:rsidP="00A92D87">
      <w:pPr>
        <w:spacing w:line="240" w:lineRule="auto"/>
        <w:jc w:val="both"/>
        <w:rPr>
          <w:b/>
        </w:rPr>
      </w:pPr>
    </w:p>
    <w:tbl>
      <w:tblPr>
        <w:tblStyle w:val="Tablaconcuadrcula11"/>
        <w:tblW w:w="0" w:type="auto"/>
        <w:tblInd w:w="421" w:type="dxa"/>
        <w:tblLook w:val="04A0"/>
      </w:tblPr>
      <w:tblGrid>
        <w:gridCol w:w="4961"/>
        <w:gridCol w:w="850"/>
        <w:gridCol w:w="851"/>
        <w:gridCol w:w="709"/>
        <w:gridCol w:w="1036"/>
      </w:tblGrid>
      <w:tr w:rsidR="009A2496" w:rsidRPr="009A2496" w:rsidTr="00000F81">
        <w:tc>
          <w:tcPr>
            <w:tcW w:w="4961" w:type="dxa"/>
          </w:tcPr>
          <w:p w:rsidR="009A2496" w:rsidRPr="009A2496" w:rsidRDefault="009A2496" w:rsidP="00A92D87">
            <w:pPr>
              <w:jc w:val="center"/>
              <w:rPr>
                <w:b/>
              </w:rPr>
            </w:pPr>
            <w:r w:rsidRPr="009A2496">
              <w:rPr>
                <w:b/>
              </w:rPr>
              <w:t>Indicador</w:t>
            </w:r>
          </w:p>
        </w:tc>
        <w:tc>
          <w:tcPr>
            <w:tcW w:w="850" w:type="dxa"/>
          </w:tcPr>
          <w:p w:rsidR="009A2496" w:rsidRPr="009A2496" w:rsidRDefault="009A2496" w:rsidP="00A92D87">
            <w:pPr>
              <w:jc w:val="center"/>
              <w:rPr>
                <w:b/>
              </w:rPr>
            </w:pPr>
            <w:r w:rsidRPr="009A2496">
              <w:rPr>
                <w:b/>
              </w:rPr>
              <w:t>2011</w:t>
            </w:r>
          </w:p>
        </w:tc>
        <w:tc>
          <w:tcPr>
            <w:tcW w:w="851" w:type="dxa"/>
          </w:tcPr>
          <w:p w:rsidR="009A2496" w:rsidRPr="009A2496" w:rsidRDefault="009A2496" w:rsidP="00A92D87">
            <w:pPr>
              <w:jc w:val="center"/>
              <w:rPr>
                <w:b/>
              </w:rPr>
            </w:pPr>
            <w:r w:rsidRPr="009A2496">
              <w:rPr>
                <w:b/>
              </w:rPr>
              <w:t>2012</w:t>
            </w:r>
          </w:p>
        </w:tc>
        <w:tc>
          <w:tcPr>
            <w:tcW w:w="709" w:type="dxa"/>
          </w:tcPr>
          <w:p w:rsidR="009A2496" w:rsidRPr="009A2496" w:rsidRDefault="009A2496" w:rsidP="00A92D87">
            <w:pPr>
              <w:jc w:val="center"/>
              <w:rPr>
                <w:b/>
              </w:rPr>
            </w:pPr>
            <w:r w:rsidRPr="009A2496">
              <w:rPr>
                <w:b/>
              </w:rPr>
              <w:t>2013</w:t>
            </w:r>
          </w:p>
        </w:tc>
        <w:tc>
          <w:tcPr>
            <w:tcW w:w="1036" w:type="dxa"/>
          </w:tcPr>
          <w:p w:rsidR="009A2496" w:rsidRPr="009A2496" w:rsidRDefault="009A2496" w:rsidP="00A92D87">
            <w:pPr>
              <w:jc w:val="center"/>
              <w:rPr>
                <w:b/>
              </w:rPr>
            </w:pPr>
            <w:r w:rsidRPr="009A2496">
              <w:rPr>
                <w:b/>
              </w:rPr>
              <w:t>2014</w:t>
            </w:r>
          </w:p>
        </w:tc>
      </w:tr>
      <w:tr w:rsidR="009A2496" w:rsidRPr="009A2496" w:rsidTr="00000F81">
        <w:tc>
          <w:tcPr>
            <w:tcW w:w="4961" w:type="dxa"/>
          </w:tcPr>
          <w:p w:rsidR="009A2496" w:rsidRPr="009A2496" w:rsidRDefault="009A2496" w:rsidP="00A92D87">
            <w:r w:rsidRPr="009A2496">
              <w:t>Cobertura escolar bruta en preescolar.</w:t>
            </w:r>
          </w:p>
          <w:p w:rsidR="009A2496" w:rsidRPr="009A2496" w:rsidRDefault="009A2496" w:rsidP="00A92D87">
            <w:r w:rsidRPr="009A2496">
              <w:t>3-5 Años.</w:t>
            </w:r>
          </w:p>
        </w:tc>
        <w:tc>
          <w:tcPr>
            <w:tcW w:w="850" w:type="dxa"/>
          </w:tcPr>
          <w:p w:rsidR="009A2496" w:rsidRPr="009A2496" w:rsidRDefault="009A2496" w:rsidP="00A92D87">
            <w:pPr>
              <w:jc w:val="center"/>
            </w:pPr>
            <w:r w:rsidRPr="009A2496">
              <w:t>40%</w:t>
            </w:r>
          </w:p>
        </w:tc>
        <w:tc>
          <w:tcPr>
            <w:tcW w:w="851" w:type="dxa"/>
          </w:tcPr>
          <w:p w:rsidR="009A2496" w:rsidRPr="009A2496" w:rsidRDefault="009A2496" w:rsidP="00A92D87">
            <w:pPr>
              <w:jc w:val="center"/>
            </w:pPr>
            <w:r w:rsidRPr="009A2496">
              <w:t>42 %</w:t>
            </w:r>
          </w:p>
        </w:tc>
        <w:tc>
          <w:tcPr>
            <w:tcW w:w="709" w:type="dxa"/>
          </w:tcPr>
          <w:p w:rsidR="009A2496" w:rsidRPr="009A2496" w:rsidRDefault="009A2496" w:rsidP="00A92D87">
            <w:pPr>
              <w:jc w:val="center"/>
            </w:pPr>
            <w:r w:rsidRPr="009A2496">
              <w:t>39%</w:t>
            </w:r>
          </w:p>
        </w:tc>
        <w:tc>
          <w:tcPr>
            <w:tcW w:w="1036" w:type="dxa"/>
          </w:tcPr>
          <w:p w:rsidR="009A2496" w:rsidRPr="009A2496" w:rsidRDefault="009A2496" w:rsidP="00A92D87">
            <w:pPr>
              <w:jc w:val="center"/>
            </w:pPr>
            <w:r w:rsidRPr="009A2496">
              <w:t>38%</w:t>
            </w:r>
          </w:p>
        </w:tc>
      </w:tr>
      <w:tr w:rsidR="009A2496" w:rsidRPr="009A2496" w:rsidTr="00000F81">
        <w:tc>
          <w:tcPr>
            <w:tcW w:w="8407" w:type="dxa"/>
            <w:gridSpan w:val="5"/>
          </w:tcPr>
          <w:p w:rsidR="009A2496" w:rsidRPr="009A2496" w:rsidRDefault="009A2496" w:rsidP="00A92D87">
            <w:pPr>
              <w:rPr>
                <w:b/>
              </w:rPr>
            </w:pPr>
            <w:r w:rsidRPr="009A2496">
              <w:rPr>
                <w:b/>
              </w:rPr>
              <w:t xml:space="preserve">Fuente:  </w:t>
            </w:r>
            <w:r w:rsidRPr="009A2496">
              <w:t xml:space="preserve">Ministerio de Educación Nacional – SIMAT - </w:t>
            </w:r>
            <w:r w:rsidRPr="009A2496">
              <w:rPr>
                <w:b/>
              </w:rPr>
              <w:t>Pasto en Cifras 2011 -2014</w:t>
            </w:r>
          </w:p>
        </w:tc>
      </w:tr>
    </w:tbl>
    <w:p w:rsidR="009A2496" w:rsidRPr="009A2496" w:rsidRDefault="009A2496" w:rsidP="00A92D87">
      <w:pPr>
        <w:spacing w:line="240" w:lineRule="auto"/>
        <w:rPr>
          <w:b/>
        </w:rPr>
      </w:pPr>
      <w:r w:rsidRPr="009A2496">
        <w:rPr>
          <w:noProof/>
          <w:lang w:val="es-ES" w:eastAsia="es-ES"/>
        </w:rPr>
        <w:drawing>
          <wp:inline distT="0" distB="0" distL="0" distR="0">
            <wp:extent cx="4303059" cy="2608730"/>
            <wp:effectExtent l="0" t="0" r="21590" b="2032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A2496" w:rsidRPr="009A2496" w:rsidRDefault="009A2496" w:rsidP="00A92D87">
      <w:pPr>
        <w:spacing w:line="240" w:lineRule="auto"/>
        <w:rPr>
          <w:b/>
        </w:rPr>
      </w:pPr>
    </w:p>
    <w:p w:rsidR="009A2496" w:rsidRPr="009A2496" w:rsidRDefault="009A2496" w:rsidP="00DF63E8">
      <w:pPr>
        <w:numPr>
          <w:ilvl w:val="0"/>
          <w:numId w:val="41"/>
        </w:numPr>
        <w:spacing w:after="0" w:line="240" w:lineRule="auto"/>
        <w:contextualSpacing/>
        <w:jc w:val="both"/>
        <w:rPr>
          <w:rFonts w:eastAsia="Times New Roman" w:cs="Times New Roman"/>
          <w:b/>
          <w:lang w:eastAsia="es-CO"/>
        </w:rPr>
      </w:pPr>
      <w:r w:rsidRPr="009A2496">
        <w:rPr>
          <w:rFonts w:eastAsia="Times New Roman" w:cs="Times New Roman"/>
          <w:b/>
          <w:lang w:eastAsia="es-CO"/>
        </w:rPr>
        <w:t xml:space="preserve">Situación detectada: </w:t>
      </w:r>
    </w:p>
    <w:p w:rsidR="009A2496" w:rsidRPr="009A2496" w:rsidRDefault="009A2496" w:rsidP="00A92D87">
      <w:pPr>
        <w:spacing w:after="0" w:line="240" w:lineRule="auto"/>
        <w:ind w:left="360"/>
        <w:contextualSpacing/>
        <w:jc w:val="both"/>
        <w:rPr>
          <w:rFonts w:eastAsia="Times New Roman" w:cs="Times New Roman"/>
          <w:b/>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La fuente del cálculo se obtiene a partir de los niños y niñas registrados en SIMAT en los grados pre-jardín, jardín, y transición, incluyendo los establecimientos educativos oficiales y no oficiales, sobre la proyección DANE de la población entre 3 y 5 años correspondientes al Censo 2005.</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Se observa una leve tendencia decreciente debido a diferentes situaciones:</w:t>
      </w:r>
    </w:p>
    <w:p w:rsidR="009A2496" w:rsidRPr="009A2496" w:rsidRDefault="009A2496" w:rsidP="00A92D87">
      <w:pPr>
        <w:numPr>
          <w:ilvl w:val="0"/>
          <w:numId w:val="45"/>
        </w:numPr>
        <w:spacing w:after="0" w:line="240" w:lineRule="auto"/>
        <w:contextualSpacing/>
        <w:jc w:val="both"/>
        <w:rPr>
          <w:rFonts w:eastAsia="Times New Roman" w:cs="Times New Roman"/>
          <w:lang w:eastAsia="es-CO"/>
        </w:rPr>
      </w:pPr>
      <w:r w:rsidRPr="009A2496">
        <w:rPr>
          <w:rFonts w:eastAsia="Times New Roman" w:cs="Times New Roman"/>
          <w:lang w:eastAsia="es-CO"/>
        </w:rPr>
        <w:t>La proyección DANE no se sujeta a la realidad.</w:t>
      </w:r>
    </w:p>
    <w:p w:rsidR="009A2496" w:rsidRPr="009A2496" w:rsidRDefault="009A2496" w:rsidP="00A92D87">
      <w:pPr>
        <w:numPr>
          <w:ilvl w:val="0"/>
          <w:numId w:val="45"/>
        </w:numPr>
        <w:spacing w:after="0" w:line="240" w:lineRule="auto"/>
        <w:contextualSpacing/>
        <w:jc w:val="both"/>
        <w:rPr>
          <w:rFonts w:eastAsia="Times New Roman" w:cs="Times New Roman"/>
          <w:lang w:eastAsia="es-CO"/>
        </w:rPr>
      </w:pPr>
      <w:r w:rsidRPr="009A2496">
        <w:rPr>
          <w:rFonts w:eastAsia="Times New Roman" w:cs="Times New Roman"/>
          <w:lang w:eastAsia="es-CO"/>
        </w:rPr>
        <w:t>Las políticas de planificación familiar efectivas e implementadas en el municipio de Pasto que han logrado una reducción en la tasa de natalidad.</w:t>
      </w:r>
    </w:p>
    <w:p w:rsidR="009A2496" w:rsidRPr="009A2496" w:rsidRDefault="009A2496" w:rsidP="00A92D87">
      <w:pPr>
        <w:numPr>
          <w:ilvl w:val="0"/>
          <w:numId w:val="45"/>
        </w:numPr>
        <w:spacing w:after="0" w:line="240" w:lineRule="auto"/>
        <w:contextualSpacing/>
        <w:jc w:val="both"/>
        <w:rPr>
          <w:rFonts w:eastAsia="Times New Roman" w:cs="Times New Roman"/>
          <w:lang w:eastAsia="es-CO"/>
        </w:rPr>
      </w:pPr>
      <w:r w:rsidRPr="009A2496">
        <w:rPr>
          <w:rFonts w:eastAsia="Times New Roman" w:cs="Times New Roman"/>
          <w:lang w:eastAsia="es-CO"/>
        </w:rPr>
        <w:t>Los niños entre 3 y 4 años se están atendiendo directamente en los Centros de Desarrollo Integral – CDI por parte del ICBF, por lo cual su registró no está dado en el SIMAT lo que afecta directamente el resultado y la tendencia del indicador.</w:t>
      </w:r>
    </w:p>
    <w:p w:rsidR="009A2496" w:rsidRPr="009A2496" w:rsidRDefault="009A2496" w:rsidP="00A92D87">
      <w:pPr>
        <w:spacing w:line="240" w:lineRule="auto"/>
        <w:ind w:left="360"/>
        <w:jc w:val="both"/>
      </w:pPr>
    </w:p>
    <w:p w:rsidR="009A2496" w:rsidRPr="009A2496" w:rsidRDefault="009A2496" w:rsidP="00A92D87">
      <w:pPr>
        <w:spacing w:line="240" w:lineRule="auto"/>
        <w:ind w:left="360"/>
        <w:jc w:val="both"/>
      </w:pPr>
      <w:r w:rsidRPr="009A2496">
        <w:t xml:space="preserve">Si bien es cierto que los establecimientos educativos oficiales prestan el servicio educativo a los niños que cumplen con la edad permitida para ingresar al grado de transición, los cuales se registran en el SIMAT.  En cuanto los grados de pre jardín y jardín son atendidos por el sector no oficial, los cuales también tienen registro en SIMAT, sin desconocer la atención del ICBF en </w:t>
      </w:r>
      <w:r w:rsidRPr="009A2496">
        <w:lastRenderedPageBreak/>
        <w:t>la atención de los niños y niñas de 3 y 4 años, los cuales son atendidos en los CDI y no so son registrados en el Sistema integrado de Matricula.  De lo anterior concluimos que el indicador no refleja el resultado real de los niños y niñas verdaderamente atendidos en este nivel.</w:t>
      </w:r>
    </w:p>
    <w:p w:rsidR="009A2496" w:rsidRPr="009A2496" w:rsidRDefault="009A2496" w:rsidP="00A92D87">
      <w:pPr>
        <w:spacing w:line="240" w:lineRule="auto"/>
        <w:ind w:left="360"/>
        <w:jc w:val="both"/>
      </w:pPr>
      <w:r w:rsidRPr="009A2496">
        <w:t>Dada la política de inclusión según el Decreto 366 del 2009, se refleja un leve incremento en niños y niñas matriculados con diversidad funcional en el sistema educativo del municipio de Pasto.</w:t>
      </w:r>
    </w:p>
    <w:p w:rsidR="009A2496" w:rsidRPr="009A2496" w:rsidRDefault="009A2496" w:rsidP="00A92D87">
      <w:pPr>
        <w:spacing w:line="240" w:lineRule="auto"/>
        <w:ind w:left="360"/>
        <w:jc w:val="both"/>
      </w:pPr>
      <w:r w:rsidRPr="009A2496">
        <w:t>Dentro del análisis se puede determinar que el municipio de Pasto presenta un alto factor de riesgo por cuanto es un municipio receptor y expulsor de familias en situación de desplazamiento por motivos del conflicto armado.</w:t>
      </w:r>
    </w:p>
    <w:p w:rsidR="009A2496" w:rsidRPr="009A2496" w:rsidRDefault="009A2496" w:rsidP="00DF63E8">
      <w:pPr>
        <w:numPr>
          <w:ilvl w:val="0"/>
          <w:numId w:val="41"/>
        </w:numPr>
        <w:spacing w:after="0" w:line="240" w:lineRule="auto"/>
        <w:contextualSpacing/>
        <w:rPr>
          <w:rFonts w:eastAsia="Times New Roman" w:cs="Times New Roman"/>
          <w:b/>
          <w:lang w:eastAsia="es-CO"/>
        </w:rPr>
      </w:pPr>
      <w:r w:rsidRPr="009A2496">
        <w:rPr>
          <w:rFonts w:eastAsia="Times New Roman" w:cs="Times New Roman"/>
          <w:b/>
          <w:lang w:eastAsia="es-CO"/>
        </w:rPr>
        <w:t xml:space="preserve">Insumos: </w:t>
      </w:r>
    </w:p>
    <w:p w:rsidR="009A2496" w:rsidRPr="009A2496" w:rsidRDefault="009A2496" w:rsidP="00A92D87">
      <w:pPr>
        <w:spacing w:after="0" w:line="240" w:lineRule="auto"/>
        <w:ind w:left="360"/>
        <w:contextualSpacing/>
        <w:rPr>
          <w:rFonts w:eastAsia="Times New Roman" w:cs="Times New Roman"/>
          <w:b/>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 xml:space="preserve">El municipio de Pasto cuenta con 51 establecimientos educativos oficiales en los cuales se presta el servicio educativo en los grados de transición; localizados 26 en la zona rural garantizando el derecho a la educación a esta población.  </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Con el objetivo de promover y mantener la matrícula del grado de transición, la SEM Pasto ha desarrollado las siguientes inversiones:</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 xml:space="preserve">La entidad Territorial garantiza el servicio de restaurante escolar al 100% de este grupo objetivo articulado con la Secretaría de Bienestar Social en Establecimientos Educativos Oficiales; de la misma forma el municipio aporta cerca del 80% en el servicio de transporte escolar en las zonas rurales y de difícil acceso. </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Con respecto a insumos para mejorar la calidad educativa de este grupo de estudiantes, la entidad territorial desarrolla programas de cualificación a los docentes de estos grados con énfasis en el sector rural en cuanto al modelo preescolar escolarizado y no escolarizado; así mismo se han realizado gestiones para la inversión a través del MEN para la dotación de bibliotecas escolares como fortalecimiento del plan nacional de lectura y escritura.</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Como una de las acciones importantes, vale la pena resaltar, que en el 2013, se realizó dotación de material didáctico a la IEM CIUDADELA DE LA PAZ con una inversión de $19.443.352.</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 xml:space="preserve">En el proceso de planeación de la SEMPASTO, al comparar la oferta educativa con respecto a la demanda, determina una insuficiencia de infraestructura para poder garantizar el acceso y la permanencia de los estudiantes, dando como resultado la contratación tanto de administración del servicio educativo como la modalidad de prestación de servicio educativo.  </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line="240" w:lineRule="auto"/>
        <w:ind w:firstLine="360"/>
        <w:jc w:val="both"/>
        <w:rPr>
          <w:b/>
        </w:rPr>
      </w:pPr>
      <w:r w:rsidRPr="009A2496">
        <w:rPr>
          <w:b/>
        </w:rPr>
        <w:t>4.</w:t>
      </w:r>
      <w:r w:rsidRPr="009A2496">
        <w:rPr>
          <w:b/>
        </w:rPr>
        <w:tab/>
        <w:t>Programas, Proyectos y Acciones para mejorar la situación del indicador (2012 -2015):</w:t>
      </w:r>
    </w:p>
    <w:p w:rsidR="009A2496" w:rsidRPr="009A2496" w:rsidRDefault="009A2496" w:rsidP="006C3CF7">
      <w:pPr>
        <w:autoSpaceDE w:val="0"/>
        <w:autoSpaceDN w:val="0"/>
        <w:adjustRightInd w:val="0"/>
        <w:spacing w:after="0" w:line="240" w:lineRule="auto"/>
        <w:ind w:firstLine="360"/>
        <w:jc w:val="both"/>
      </w:pPr>
      <w:r w:rsidRPr="009A2496">
        <w:t>La SEMPASTO viene implementando los siguientes Programas y proyectos:</w:t>
      </w:r>
    </w:p>
    <w:p w:rsidR="009A2496" w:rsidRPr="009A2496" w:rsidRDefault="009A2496" w:rsidP="00A92D87">
      <w:pPr>
        <w:autoSpaceDE w:val="0"/>
        <w:autoSpaceDN w:val="0"/>
        <w:adjustRightInd w:val="0"/>
        <w:spacing w:after="0" w:line="240" w:lineRule="auto"/>
        <w:jc w:val="both"/>
      </w:pPr>
    </w:p>
    <w:p w:rsidR="009A2496" w:rsidRPr="009A2496" w:rsidRDefault="009A2496" w:rsidP="00A92D87">
      <w:pPr>
        <w:numPr>
          <w:ilvl w:val="0"/>
          <w:numId w:val="46"/>
        </w:numPr>
        <w:autoSpaceDE w:val="0"/>
        <w:autoSpaceDN w:val="0"/>
        <w:adjustRightInd w:val="0"/>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ARTICULACIÓN CON PROGRAMAS DE ATENCIÓN A LA PRIMERA INFANCIA </w:t>
      </w:r>
    </w:p>
    <w:p w:rsidR="009A2496" w:rsidRPr="009A2496" w:rsidRDefault="009A2496" w:rsidP="00A92D87">
      <w:pPr>
        <w:autoSpaceDE w:val="0"/>
        <w:autoSpaceDN w:val="0"/>
        <w:adjustRightInd w:val="0"/>
        <w:spacing w:after="0" w:line="240" w:lineRule="auto"/>
        <w:ind w:left="720"/>
        <w:contextualSpacing/>
        <w:jc w:val="both"/>
        <w:rPr>
          <w:rFonts w:eastAsia="Times New Roman" w:cs="Times New Roman"/>
          <w:lang w:eastAsia="es-CO"/>
        </w:rPr>
      </w:pPr>
    </w:p>
    <w:p w:rsidR="009A2496" w:rsidRPr="009A2496" w:rsidRDefault="009A2496" w:rsidP="006C3CF7">
      <w:pPr>
        <w:autoSpaceDE w:val="0"/>
        <w:autoSpaceDN w:val="0"/>
        <w:adjustRightInd w:val="0"/>
        <w:spacing w:after="0" w:line="240" w:lineRule="auto"/>
        <w:ind w:left="360"/>
        <w:jc w:val="both"/>
        <w:rPr>
          <w:rFonts w:cs="GoudySansITCbyBT-Light"/>
          <w:color w:val="000000"/>
        </w:rPr>
      </w:pPr>
      <w:r w:rsidRPr="009A2496">
        <w:rPr>
          <w:rFonts w:cs="GoudySansITCbyBT-Light"/>
          <w:color w:val="000000"/>
        </w:rPr>
        <w:t>Una de las ganancias de esta política es la inclusión de la atención integral y la educación inicial, planteado en el Artículo 29 del Código de Infancia y Adolescencia (Ley1098 de 2006) “…desde la primera infancia los niños y las niñas son sujetos titulares de derechos…son derechos impostergables de la primera infancia, la atención en salud y nutrición, el esquema completo de vacunación, la protección contra los peligros físicos y la educación inicial…”. Igualmente está política de educación inicial tiene una base jurídica con la Ley General de Educación (Ley 115 de 1994), además del Plan Decenal de Educación 2006-2016.</w:t>
      </w:r>
    </w:p>
    <w:p w:rsidR="009A2496" w:rsidRPr="009A2496" w:rsidRDefault="009A2496" w:rsidP="00A92D87">
      <w:pPr>
        <w:autoSpaceDE w:val="0"/>
        <w:autoSpaceDN w:val="0"/>
        <w:adjustRightInd w:val="0"/>
        <w:spacing w:after="0" w:line="240" w:lineRule="auto"/>
        <w:jc w:val="both"/>
        <w:rPr>
          <w:rFonts w:cs="GoudySansITCbyBT-Light"/>
          <w:color w:val="000000"/>
        </w:rPr>
      </w:pPr>
    </w:p>
    <w:p w:rsidR="009A2496" w:rsidRPr="009A2496" w:rsidRDefault="009A2496" w:rsidP="006C3CF7">
      <w:pPr>
        <w:autoSpaceDE w:val="0"/>
        <w:autoSpaceDN w:val="0"/>
        <w:adjustRightInd w:val="0"/>
        <w:spacing w:after="0" w:line="240" w:lineRule="auto"/>
        <w:ind w:left="360"/>
        <w:jc w:val="both"/>
        <w:rPr>
          <w:rFonts w:cs="GoudySansITCbyBT-Light"/>
          <w:color w:val="000000"/>
        </w:rPr>
      </w:pPr>
      <w:r w:rsidRPr="009A2496">
        <w:rPr>
          <w:rFonts w:cs="GoudySansITCbyBT-Light"/>
          <w:color w:val="000000"/>
        </w:rPr>
        <w:t>La educación inicial mencionada en la política pública, es uno de los componentes más importantes de la atención planteada; además que, se incluye el adjetivo de calidad.  Por lo tanto, en el Plan Educativo se plantea la articulación con estos programas que permitan un adecuado tránsito a la educación regular, garantizando el acceso y la permanencia de los niños y niñas al sistema educativo, cuando cumplan los 5 años. La Secretaria de Educación Municipal viene adelantando acciones con el fin de lograr esta articulación con programas de otras instituciones que atienden de forma integral a esta población para vincularlos directamente a los establecimientos educativos oficiales del municipio. La articulación conlleva a que se realice acompañamiento, especialmente, en el componente pedagógico para garantizar que en el momento del ingreso de los estudiantes, al cumplir los cinco años, estén en condiciones de equidad con los niños que ya vienen en la educación preescolar.</w:t>
      </w:r>
    </w:p>
    <w:p w:rsidR="009A2496" w:rsidRPr="009A2496" w:rsidRDefault="009A2496" w:rsidP="00A92D87">
      <w:pPr>
        <w:autoSpaceDE w:val="0"/>
        <w:autoSpaceDN w:val="0"/>
        <w:adjustRightInd w:val="0"/>
        <w:spacing w:after="0" w:line="240" w:lineRule="auto"/>
        <w:jc w:val="both"/>
        <w:rPr>
          <w:rFonts w:cs="GoudySansITCbyBT-Light"/>
          <w:color w:val="000000"/>
        </w:rPr>
      </w:pPr>
    </w:p>
    <w:p w:rsidR="009A2496" w:rsidRPr="009A2496" w:rsidRDefault="009A2496" w:rsidP="006C3CF7">
      <w:pPr>
        <w:autoSpaceDE w:val="0"/>
        <w:autoSpaceDN w:val="0"/>
        <w:adjustRightInd w:val="0"/>
        <w:spacing w:after="0" w:line="240" w:lineRule="auto"/>
        <w:ind w:left="360"/>
        <w:jc w:val="both"/>
        <w:rPr>
          <w:rFonts w:cs="GoudySansITCbyBT-Light"/>
          <w:color w:val="000000"/>
        </w:rPr>
      </w:pPr>
      <w:r w:rsidRPr="009A2496">
        <w:rPr>
          <w:rFonts w:cs="GoudySansITCbyBT-Light"/>
          <w:color w:val="000000"/>
        </w:rPr>
        <w:t>El acompañamiento a esos programas garantiza que las dinámicas de los ambientes de la educación inicial se trabajen bajo los lineamientos curriculares de transición, donde se busca que el niño y la niña se preparen para la básica primaria.</w:t>
      </w:r>
    </w:p>
    <w:p w:rsidR="009A2496" w:rsidRPr="009A2496" w:rsidRDefault="009A2496" w:rsidP="00A92D87">
      <w:pPr>
        <w:autoSpaceDE w:val="0"/>
        <w:autoSpaceDN w:val="0"/>
        <w:adjustRightInd w:val="0"/>
        <w:spacing w:after="0" w:line="240" w:lineRule="auto"/>
        <w:jc w:val="both"/>
        <w:rPr>
          <w:rFonts w:cs="GoudySansITCbyBT-Light"/>
          <w:color w:val="000000"/>
        </w:rPr>
      </w:pPr>
    </w:p>
    <w:p w:rsidR="009A2496" w:rsidRPr="009A2496" w:rsidRDefault="009A2496" w:rsidP="00A92D87">
      <w:pPr>
        <w:numPr>
          <w:ilvl w:val="0"/>
          <w:numId w:val="46"/>
        </w:numPr>
        <w:autoSpaceDE w:val="0"/>
        <w:autoSpaceDN w:val="0"/>
        <w:adjustRightInd w:val="0"/>
        <w:spacing w:after="0" w:line="240" w:lineRule="auto"/>
        <w:contextualSpacing/>
        <w:jc w:val="both"/>
        <w:rPr>
          <w:rFonts w:eastAsia="Times New Roman" w:cs="GoudySansITCbyBT-Light"/>
          <w:color w:val="000000"/>
          <w:lang w:eastAsia="es-CO"/>
        </w:rPr>
      </w:pPr>
      <w:r w:rsidRPr="009A2496">
        <w:rPr>
          <w:rFonts w:eastAsia="Times New Roman" w:cs="GoudySansITCbyBT-Light"/>
          <w:color w:val="000000"/>
          <w:lang w:eastAsia="es-CO"/>
        </w:rPr>
        <w:t>FORTALECIMIENTO DE MODELOS FLEXIBLES – PREESCOLAR ESCOLARIZADO Y NO ESCOLARIZADO</w:t>
      </w:r>
    </w:p>
    <w:p w:rsidR="009A2496" w:rsidRPr="009A2496" w:rsidRDefault="009A2496" w:rsidP="00A92D87">
      <w:pPr>
        <w:autoSpaceDE w:val="0"/>
        <w:autoSpaceDN w:val="0"/>
        <w:adjustRightInd w:val="0"/>
        <w:spacing w:after="0" w:line="240" w:lineRule="auto"/>
        <w:ind w:left="720"/>
        <w:contextualSpacing/>
        <w:jc w:val="both"/>
        <w:rPr>
          <w:rFonts w:eastAsia="Times New Roman" w:cs="GoudySansITCbyBT-Light"/>
          <w:color w:val="000000"/>
          <w:lang w:eastAsia="es-CO"/>
        </w:rPr>
      </w:pPr>
    </w:p>
    <w:p w:rsidR="009A2496" w:rsidRPr="009A2496" w:rsidRDefault="009A2496" w:rsidP="006C3CF7">
      <w:pPr>
        <w:autoSpaceDE w:val="0"/>
        <w:autoSpaceDN w:val="0"/>
        <w:adjustRightInd w:val="0"/>
        <w:spacing w:after="0" w:line="240" w:lineRule="auto"/>
        <w:ind w:left="360"/>
        <w:jc w:val="both"/>
        <w:rPr>
          <w:rFonts w:cs="GoudySansITCbyBT-Light"/>
          <w:color w:val="000000"/>
        </w:rPr>
      </w:pPr>
      <w:r w:rsidRPr="009A2496">
        <w:rPr>
          <w:rFonts w:cs="GoudySansITCbyBT-Light"/>
          <w:color w:val="000000"/>
        </w:rPr>
        <w:t>La Secretaria de Educación de Pasto presta este servicio con asesoría y apoyo permanente para garantizar una educación de calidad, para lograr esta meta se propone implementar una estructura curricular y de promoción flexible, que permita generar en el estudiante un ambiente de autonomía y desarrollo de sus propios tiempos y ritmos de aprendizaje; contextualizar y garantizar la permanecía de los estudiantes.</w:t>
      </w:r>
    </w:p>
    <w:p w:rsidR="009A2496" w:rsidRPr="009A2496" w:rsidRDefault="009A2496" w:rsidP="00A92D87">
      <w:pPr>
        <w:autoSpaceDE w:val="0"/>
        <w:autoSpaceDN w:val="0"/>
        <w:adjustRightInd w:val="0"/>
        <w:spacing w:after="0" w:line="240" w:lineRule="auto"/>
        <w:jc w:val="both"/>
        <w:rPr>
          <w:rFonts w:cs="GoudySansITCbyBT-Light"/>
        </w:rPr>
      </w:pPr>
    </w:p>
    <w:p w:rsidR="009A2496" w:rsidRPr="009A2496" w:rsidRDefault="009A2496"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9A2496">
        <w:rPr>
          <w:rFonts w:eastAsia="Times New Roman" w:cs="GoudySansITCbyBT-Light"/>
          <w:lang w:eastAsia="es-CO"/>
        </w:rPr>
        <w:t>ALIMENTACIÓN ESCOLAR</w:t>
      </w:r>
    </w:p>
    <w:p w:rsidR="009A2496" w:rsidRPr="009A2496" w:rsidRDefault="009A2496" w:rsidP="00A92D87">
      <w:pPr>
        <w:autoSpaceDE w:val="0"/>
        <w:autoSpaceDN w:val="0"/>
        <w:adjustRightInd w:val="0"/>
        <w:spacing w:after="0" w:line="240" w:lineRule="auto"/>
        <w:ind w:left="720"/>
        <w:contextualSpacing/>
        <w:jc w:val="both"/>
        <w:rPr>
          <w:rFonts w:eastAsia="Times New Roman" w:cs="GoudySansITCbyBT-Light"/>
          <w:lang w:eastAsia="es-CO"/>
        </w:rPr>
      </w:pPr>
    </w:p>
    <w:p w:rsidR="009A2496" w:rsidRPr="009A2496" w:rsidRDefault="009A2496" w:rsidP="006C3CF7">
      <w:pPr>
        <w:autoSpaceDE w:val="0"/>
        <w:autoSpaceDN w:val="0"/>
        <w:adjustRightInd w:val="0"/>
        <w:spacing w:after="0" w:line="240" w:lineRule="auto"/>
        <w:ind w:left="360"/>
        <w:jc w:val="both"/>
        <w:rPr>
          <w:rFonts w:cs="GoudySansITCbyBT-Light"/>
        </w:rPr>
      </w:pPr>
      <w:r w:rsidRPr="009A2496">
        <w:rPr>
          <w:rFonts w:cs="GoudySansITCbyBT-Light"/>
        </w:rPr>
        <w:t>El objetivo del programa es proveer asistencia alimentaria a los niños y niñas que asisten a los establecimientos educativos del sector oficial urbanos y rurales en alianza con la Secretaria de Bienestar Social y el Instituto Colombiano de Bienestar Familiar, donde se prioriza los niveles 1 y 2 del SISBEN. Esto con el fin de contribuir al mejoramiento de la calidad de vida de la población en edad escolar y a la vez incide en la permanencia en los establecimientos educativos.</w:t>
      </w:r>
    </w:p>
    <w:p w:rsidR="009A2496" w:rsidRPr="009A2496" w:rsidRDefault="009A2496" w:rsidP="00A92D87">
      <w:pPr>
        <w:autoSpaceDE w:val="0"/>
        <w:autoSpaceDN w:val="0"/>
        <w:adjustRightInd w:val="0"/>
        <w:spacing w:after="0" w:line="240" w:lineRule="auto"/>
        <w:jc w:val="both"/>
        <w:rPr>
          <w:rFonts w:cs="GoudySansITCbyBT-Light"/>
          <w:color w:val="000000"/>
        </w:rPr>
      </w:pPr>
    </w:p>
    <w:p w:rsidR="009A2496" w:rsidRPr="009A2496" w:rsidRDefault="009A2496" w:rsidP="00A92D87">
      <w:pPr>
        <w:numPr>
          <w:ilvl w:val="0"/>
          <w:numId w:val="46"/>
        </w:numPr>
        <w:autoSpaceDE w:val="0"/>
        <w:autoSpaceDN w:val="0"/>
        <w:adjustRightInd w:val="0"/>
        <w:spacing w:after="0" w:line="240" w:lineRule="auto"/>
        <w:contextualSpacing/>
        <w:jc w:val="both"/>
        <w:rPr>
          <w:rFonts w:eastAsia="Times New Roman" w:cs="GoudySansITCbyBT-Light"/>
          <w:color w:val="000000"/>
          <w:lang w:eastAsia="es-CO"/>
        </w:rPr>
      </w:pPr>
      <w:r w:rsidRPr="009A2496">
        <w:rPr>
          <w:rFonts w:eastAsia="Times New Roman" w:cs="GoudySansITCbyBT-Light"/>
          <w:color w:val="000000"/>
          <w:lang w:eastAsia="es-CO"/>
        </w:rPr>
        <w:t>AUXILIO DE TRANSPORTE ESCOLAR</w:t>
      </w:r>
    </w:p>
    <w:p w:rsidR="009A2496" w:rsidRPr="009A2496" w:rsidRDefault="009A2496" w:rsidP="00A92D87">
      <w:pPr>
        <w:autoSpaceDE w:val="0"/>
        <w:autoSpaceDN w:val="0"/>
        <w:adjustRightInd w:val="0"/>
        <w:spacing w:after="0" w:line="240" w:lineRule="auto"/>
        <w:ind w:left="720"/>
        <w:contextualSpacing/>
        <w:jc w:val="both"/>
        <w:rPr>
          <w:rFonts w:eastAsia="Times New Roman" w:cs="GoudySansITCbyBT-Light"/>
          <w:color w:val="000000"/>
          <w:lang w:eastAsia="es-CO"/>
        </w:rPr>
      </w:pPr>
    </w:p>
    <w:p w:rsidR="009A2496" w:rsidRPr="009A2496" w:rsidRDefault="009A2496" w:rsidP="006C3CF7">
      <w:pPr>
        <w:autoSpaceDE w:val="0"/>
        <w:autoSpaceDN w:val="0"/>
        <w:adjustRightInd w:val="0"/>
        <w:spacing w:after="0" w:line="240" w:lineRule="auto"/>
        <w:ind w:left="360"/>
        <w:jc w:val="both"/>
        <w:rPr>
          <w:rFonts w:cs="GoudySansITCbyBT-Light"/>
        </w:rPr>
      </w:pPr>
      <w:r w:rsidRPr="009A2496">
        <w:rPr>
          <w:rFonts w:cs="GoudySansITCbyBT-Light"/>
        </w:rPr>
        <w:t>La Secretaría de Educación Municipal viene aportando con un auxilio de transporte a los establecimientos educativos donde, por su ubicación, los estudiantes tienen que desplazarse desde diferentes sectores en los que no se cuentan con suficientes medios de comunicación terrestre, para esto la oficina de planeación realizó la caracterización del contexto y mediante acto administrativo se hizo la asignación correspondiente a los sectores más necesitados. Se espera continuar con esta estrategia que permita continuidad de estos estudiantes en el próximo cuatrienio.</w:t>
      </w:r>
    </w:p>
    <w:p w:rsidR="009A2496" w:rsidRPr="009A2496" w:rsidRDefault="009A2496" w:rsidP="00A92D87">
      <w:pPr>
        <w:autoSpaceDE w:val="0"/>
        <w:autoSpaceDN w:val="0"/>
        <w:adjustRightInd w:val="0"/>
        <w:spacing w:after="0" w:line="240" w:lineRule="auto"/>
        <w:jc w:val="both"/>
        <w:rPr>
          <w:rFonts w:cs="GoudySansITCbyBT-Light"/>
        </w:rPr>
      </w:pPr>
    </w:p>
    <w:p w:rsidR="009A2496" w:rsidRPr="009A2496" w:rsidRDefault="009A2496" w:rsidP="00A92D87">
      <w:pPr>
        <w:numPr>
          <w:ilvl w:val="0"/>
          <w:numId w:val="46"/>
        </w:numPr>
        <w:autoSpaceDE w:val="0"/>
        <w:autoSpaceDN w:val="0"/>
        <w:adjustRightInd w:val="0"/>
        <w:spacing w:after="0" w:line="240" w:lineRule="auto"/>
        <w:contextualSpacing/>
        <w:rPr>
          <w:rFonts w:eastAsia="Times New Roman" w:cs="GoudySansITCbyBT-Light"/>
          <w:lang w:eastAsia="es-CO"/>
        </w:rPr>
      </w:pPr>
      <w:r w:rsidRPr="009A2496">
        <w:rPr>
          <w:rFonts w:eastAsia="Times New Roman" w:cs="GoudySansITCbyBT-Light"/>
          <w:lang w:eastAsia="es-CO"/>
        </w:rPr>
        <w:t>APORTES DEL SECTOR SOLIDARIO AL SECTOR EDUCATIVO</w:t>
      </w:r>
    </w:p>
    <w:p w:rsidR="009A2496" w:rsidRPr="009A2496" w:rsidRDefault="009A2496" w:rsidP="00A92D87">
      <w:pPr>
        <w:autoSpaceDE w:val="0"/>
        <w:autoSpaceDN w:val="0"/>
        <w:adjustRightInd w:val="0"/>
        <w:spacing w:after="0" w:line="240" w:lineRule="auto"/>
        <w:rPr>
          <w:rFonts w:cs="GoudySansITCbyBT-Light"/>
        </w:rPr>
      </w:pPr>
    </w:p>
    <w:p w:rsidR="009A2496" w:rsidRPr="009A2496" w:rsidRDefault="009A2496" w:rsidP="006C3CF7">
      <w:pPr>
        <w:autoSpaceDE w:val="0"/>
        <w:autoSpaceDN w:val="0"/>
        <w:adjustRightInd w:val="0"/>
        <w:spacing w:after="0" w:line="240" w:lineRule="auto"/>
        <w:ind w:left="360"/>
        <w:jc w:val="both"/>
        <w:rPr>
          <w:rFonts w:cs="GoudySansITCbyBT-Light"/>
        </w:rPr>
      </w:pPr>
      <w:r w:rsidRPr="009A2496">
        <w:rPr>
          <w:rFonts w:cs="GoudySansITCbyBT-Light"/>
        </w:rPr>
        <w:t xml:space="preserve">Año tras año, algunas cooperativas o entidades del sector privado se vinculan en pro de la educación de los sectores más necesitados mediante aportes económicos destinados a la compra de kits escolares, uniformes, implementos deportivos y construcción o dotación de espacios, que permiten mejorar los ambientes escolares de los establecimientos educativos oficiales y lograr, con ello el acceso y la permanencia de dichos estudiantes. Estos aportes se destinan deduciéndolos de los dineros que tienen la obligación de pagar por dividendos financieros. </w:t>
      </w:r>
    </w:p>
    <w:p w:rsidR="009A2496" w:rsidRPr="009A2496" w:rsidRDefault="009A2496" w:rsidP="00A92D87">
      <w:pPr>
        <w:autoSpaceDE w:val="0"/>
        <w:autoSpaceDN w:val="0"/>
        <w:adjustRightInd w:val="0"/>
        <w:spacing w:after="0" w:line="240" w:lineRule="auto"/>
        <w:jc w:val="both"/>
        <w:rPr>
          <w:rFonts w:cs="GoudySansITCbyBT-Light"/>
        </w:rPr>
      </w:pPr>
    </w:p>
    <w:p w:rsidR="009A2496" w:rsidRPr="009A2496" w:rsidRDefault="009A2496"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9A2496">
        <w:rPr>
          <w:rFonts w:eastAsia="Times New Roman" w:cs="GoudySansITCbyBT-Light"/>
          <w:lang w:eastAsia="es-CO"/>
        </w:rPr>
        <w:t>BIBLIOTECAS VIRTUALES PARA EL SECTOR RURAL</w:t>
      </w:r>
    </w:p>
    <w:p w:rsidR="009A2496" w:rsidRPr="009A2496" w:rsidRDefault="009A2496" w:rsidP="00A92D87">
      <w:pPr>
        <w:autoSpaceDE w:val="0"/>
        <w:autoSpaceDN w:val="0"/>
        <w:adjustRightInd w:val="0"/>
        <w:spacing w:after="0" w:line="240" w:lineRule="auto"/>
        <w:ind w:left="720"/>
        <w:contextualSpacing/>
        <w:jc w:val="both"/>
        <w:rPr>
          <w:rFonts w:eastAsia="Times New Roman" w:cs="GoudySansITCbyBT-Light"/>
          <w:lang w:eastAsia="es-CO"/>
        </w:rPr>
      </w:pPr>
    </w:p>
    <w:p w:rsidR="009A2496" w:rsidRPr="009A2496" w:rsidRDefault="009A2496" w:rsidP="006C3CF7">
      <w:pPr>
        <w:autoSpaceDE w:val="0"/>
        <w:autoSpaceDN w:val="0"/>
        <w:adjustRightInd w:val="0"/>
        <w:spacing w:after="0" w:line="240" w:lineRule="auto"/>
        <w:ind w:left="360"/>
        <w:jc w:val="both"/>
        <w:rPr>
          <w:rFonts w:cs="GoudySansITCbyBT-Light"/>
        </w:rPr>
      </w:pPr>
      <w:r w:rsidRPr="009A2496">
        <w:rPr>
          <w:rFonts w:cs="GoudySansITCbyBT-Light"/>
        </w:rPr>
        <w:t>Teniendo en cuenta que el sector rural no cuenta con las mismas oportunidades del sector urbano en cuanto al acceso a la información y medios tecnológicos, la Secretaria de Educación ha visto la necesidad de implementar 8 bibliotecas virtuales durante el cuatrienio, con la finalidad de brindarles oportunidad de acceso a la información y al conocimiento a los estudiantes del sector rural y permitirles desarrollar con menos dificultad el currículo programado por los docentes. Estas alternativas de conocimiento motivan a los estudiantes y les permiten utilizar mejor el tiempo libre y a los padres de familia la tarea de colaborar en el desarrollo de actividades escolares. Así mismo, permitirá disminuir la brecha de inequidad entre las comunidades rurales y urbanas.</w:t>
      </w:r>
    </w:p>
    <w:p w:rsidR="009A2496" w:rsidRPr="009A2496" w:rsidRDefault="009A2496" w:rsidP="00A92D87">
      <w:pPr>
        <w:autoSpaceDE w:val="0"/>
        <w:autoSpaceDN w:val="0"/>
        <w:adjustRightInd w:val="0"/>
        <w:spacing w:after="0" w:line="240" w:lineRule="auto"/>
        <w:jc w:val="both"/>
        <w:rPr>
          <w:rFonts w:cs="GoudySansITCbyBT-Light"/>
        </w:rPr>
      </w:pPr>
    </w:p>
    <w:p w:rsidR="009A2496" w:rsidRPr="009A2496" w:rsidRDefault="009A2496"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9A2496">
        <w:rPr>
          <w:rFonts w:eastAsia="Times New Roman" w:cs="GoudySansITCbyBT-Light"/>
          <w:lang w:eastAsia="es-CO"/>
        </w:rPr>
        <w:t>TECNOLOGÍA - TIC´S</w:t>
      </w:r>
    </w:p>
    <w:p w:rsidR="009A2496" w:rsidRPr="009A2496" w:rsidRDefault="009A2496" w:rsidP="00A92D87">
      <w:pPr>
        <w:autoSpaceDE w:val="0"/>
        <w:autoSpaceDN w:val="0"/>
        <w:adjustRightInd w:val="0"/>
        <w:spacing w:after="0" w:line="240" w:lineRule="auto"/>
        <w:ind w:left="720"/>
        <w:contextualSpacing/>
        <w:jc w:val="both"/>
        <w:rPr>
          <w:rFonts w:eastAsia="Times New Roman" w:cs="GoudySansITCbyBT-Light"/>
          <w:lang w:eastAsia="es-CO"/>
        </w:rPr>
      </w:pPr>
    </w:p>
    <w:p w:rsidR="009A2496" w:rsidRPr="009A2496" w:rsidRDefault="009A2496" w:rsidP="006C3CF7">
      <w:pPr>
        <w:autoSpaceDE w:val="0"/>
        <w:autoSpaceDN w:val="0"/>
        <w:adjustRightInd w:val="0"/>
        <w:spacing w:after="0" w:line="240" w:lineRule="auto"/>
        <w:ind w:left="360"/>
        <w:jc w:val="both"/>
        <w:rPr>
          <w:rFonts w:cs="GoudySansITCbyBT-Light"/>
        </w:rPr>
      </w:pPr>
      <w:r w:rsidRPr="009A2496">
        <w:rPr>
          <w:rFonts w:cs="GoudySansITCbyBT-Light"/>
        </w:rPr>
        <w:t>Los programas encaminados a la apropiación de las TIC, se ha basado en las directrices del nivel central, normatividad y metas del gobierno nacional, teniendo en cuenta los macro objetivos del plan decenal 2006 – 2016.  Por lo tanto, este proyecto apunta a ofrecer a los estudiantes ambientes de aprendizaje que estén acordes a la movilidad del momento, dotando a los establecimientos educativos de conectividad, equipos de cómputo y acompañando, esta dotación de un proceso pertinente de formación docente que permita, entre otros logros, la elaboración de contenidos digitales para facilitar el aprendizaje de los estudiantes.</w:t>
      </w:r>
    </w:p>
    <w:p w:rsidR="009A2496" w:rsidRPr="009A2496" w:rsidRDefault="009A2496" w:rsidP="00A92D87">
      <w:pPr>
        <w:autoSpaceDE w:val="0"/>
        <w:autoSpaceDN w:val="0"/>
        <w:adjustRightInd w:val="0"/>
        <w:spacing w:after="0" w:line="240" w:lineRule="auto"/>
        <w:jc w:val="both"/>
        <w:rPr>
          <w:rFonts w:cs="GoudySansITCbyBT-Light"/>
        </w:rPr>
      </w:pPr>
    </w:p>
    <w:p w:rsidR="009A2496" w:rsidRPr="009A2496" w:rsidRDefault="009A2496"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9A2496">
        <w:rPr>
          <w:rFonts w:eastAsia="Times New Roman" w:cs="GoudySansITCbyBT-Light"/>
          <w:lang w:eastAsia="es-CO"/>
        </w:rPr>
        <w:t>ATENCIÓN EDUCATIVA A LA POBLACIÓN VÍCTIMA DEL CONFLICTO</w:t>
      </w:r>
    </w:p>
    <w:p w:rsidR="009A2496" w:rsidRPr="009A2496" w:rsidRDefault="009A2496" w:rsidP="00A92D87">
      <w:pPr>
        <w:autoSpaceDE w:val="0"/>
        <w:autoSpaceDN w:val="0"/>
        <w:adjustRightInd w:val="0"/>
        <w:spacing w:after="0" w:line="240" w:lineRule="auto"/>
        <w:ind w:left="720"/>
        <w:contextualSpacing/>
        <w:jc w:val="both"/>
        <w:rPr>
          <w:rFonts w:eastAsia="Times New Roman" w:cs="GoudySansITCbyBT-Light"/>
          <w:lang w:eastAsia="es-CO"/>
        </w:rPr>
      </w:pPr>
    </w:p>
    <w:p w:rsidR="009A2496" w:rsidRPr="009A2496" w:rsidRDefault="009A2496" w:rsidP="006C3CF7">
      <w:pPr>
        <w:autoSpaceDE w:val="0"/>
        <w:autoSpaceDN w:val="0"/>
        <w:adjustRightInd w:val="0"/>
        <w:spacing w:after="0" w:line="240" w:lineRule="auto"/>
        <w:ind w:left="360"/>
        <w:jc w:val="both"/>
        <w:rPr>
          <w:rFonts w:cs="GoudySansITCbyBT-Light"/>
        </w:rPr>
      </w:pPr>
      <w:r w:rsidRPr="009A2496">
        <w:rPr>
          <w:rFonts w:cs="GoudySansITCbyBT-Light"/>
        </w:rPr>
        <w:lastRenderedPageBreak/>
        <w:t>Cumpliendo con la sentencia T-025 del 2004 emanada de la Corte Constitucional, con la Ley 387 de 1997 y la Ley de Víctimas 1448 del 2011, la Secretaría de Educación Municipal atenderá a la población en edad escolar en situación de desplazamiento, identificando y caracterizando a esta población matriculada en los establecimientos educativos oficiales, garantizándoles la asesoría y seguimiento y comunicando a los establecimientos educativos sobre la no exigencia de uniformes y certificados de estudio.</w:t>
      </w:r>
    </w:p>
    <w:p w:rsidR="009A2496" w:rsidRPr="009A2496" w:rsidRDefault="009A2496" w:rsidP="00A92D87">
      <w:pPr>
        <w:autoSpaceDE w:val="0"/>
        <w:autoSpaceDN w:val="0"/>
        <w:adjustRightInd w:val="0"/>
        <w:spacing w:after="0" w:line="240" w:lineRule="auto"/>
        <w:jc w:val="both"/>
        <w:rPr>
          <w:rFonts w:cs="GoudySansITCbyBT-Light"/>
        </w:rPr>
      </w:pPr>
    </w:p>
    <w:p w:rsidR="009A2496" w:rsidRPr="009A2496" w:rsidRDefault="009A2496" w:rsidP="006C3CF7">
      <w:pPr>
        <w:autoSpaceDE w:val="0"/>
        <w:autoSpaceDN w:val="0"/>
        <w:adjustRightInd w:val="0"/>
        <w:spacing w:after="0" w:line="240" w:lineRule="auto"/>
        <w:ind w:left="360"/>
        <w:jc w:val="both"/>
        <w:rPr>
          <w:rFonts w:cs="GoudySansITCbyBT-Light"/>
        </w:rPr>
      </w:pPr>
      <w:r w:rsidRPr="009A2496">
        <w:rPr>
          <w:rFonts w:cs="GoudySansITCbyBT-Light"/>
        </w:rPr>
        <w:t>En la actualidad los establecimientos educativos cuentan con orientadores escolares con los cuales se realizará el acompañamiento y estrategias de atención psicosocial.</w:t>
      </w:r>
    </w:p>
    <w:p w:rsidR="009A2496" w:rsidRPr="009A2496" w:rsidRDefault="009A2496" w:rsidP="00A92D87">
      <w:pPr>
        <w:autoSpaceDE w:val="0"/>
        <w:autoSpaceDN w:val="0"/>
        <w:adjustRightInd w:val="0"/>
        <w:spacing w:after="0" w:line="240" w:lineRule="auto"/>
        <w:jc w:val="both"/>
        <w:rPr>
          <w:rFonts w:cs="GoudySansITCbyBT-Light"/>
        </w:rPr>
      </w:pPr>
    </w:p>
    <w:p w:rsidR="009A2496" w:rsidRPr="009A2496" w:rsidRDefault="009A2496"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9A2496">
        <w:rPr>
          <w:rFonts w:eastAsia="Times New Roman" w:cs="GoudySansITCbyBT-Light"/>
          <w:lang w:eastAsia="es-CO"/>
        </w:rPr>
        <w:t>ASESORÍA Y SEGUIMIENTO PEDAGÓGICO A DOCENTES DE LOS ESTABLECIMIENTOS EDUCATIVOS EN INCLUSIÓN EDUCATIVA</w:t>
      </w:r>
    </w:p>
    <w:p w:rsidR="009A2496" w:rsidRPr="009A2496" w:rsidRDefault="009A2496" w:rsidP="00A92D87">
      <w:pPr>
        <w:autoSpaceDE w:val="0"/>
        <w:autoSpaceDN w:val="0"/>
        <w:adjustRightInd w:val="0"/>
        <w:spacing w:after="0" w:line="240" w:lineRule="auto"/>
        <w:ind w:left="720"/>
        <w:contextualSpacing/>
        <w:jc w:val="both"/>
        <w:rPr>
          <w:rFonts w:eastAsia="Times New Roman" w:cs="GoudySansITCbyBT-Light"/>
          <w:lang w:eastAsia="es-CO"/>
        </w:rPr>
      </w:pPr>
    </w:p>
    <w:p w:rsidR="009A2496" w:rsidRPr="009A2496" w:rsidRDefault="009A2496" w:rsidP="006C3CF7">
      <w:pPr>
        <w:autoSpaceDE w:val="0"/>
        <w:autoSpaceDN w:val="0"/>
        <w:adjustRightInd w:val="0"/>
        <w:spacing w:after="0" w:line="240" w:lineRule="auto"/>
        <w:ind w:left="360"/>
        <w:jc w:val="both"/>
        <w:rPr>
          <w:rFonts w:cs="GoudySansITCbyBT-Light"/>
          <w:color w:val="000000"/>
        </w:rPr>
      </w:pPr>
      <w:r w:rsidRPr="009A2496">
        <w:rPr>
          <w:rFonts w:cs="GoudySansITCbyBT-Light"/>
          <w:color w:val="000000"/>
        </w:rPr>
        <w:t>En Colombia es múltiple el direccionamiento y desarrollo de la política pública de inclusión que reconoce una apertura discursiva y se ratifica desde la constitución política de 1991, artículos 5 y 13, como una acción de derecho y de igualdades a los servicios que fortalecen las potencialidades humanas. Con el propósito de superar la exclusión e invisibilidad social de las personas en situación de discapacidad, la Convención sobre los Derechos de las Personas con Discapacidad fue adoptada en 2006 y entró en vigor en mayo de 2008 como el primero de los tratados internacionales del Siglo XXI. Por su parte, el Ministerio de Educación Nacional expide el decreto 366 del 9 de febrero de 2009 “Por medio del cual se reglamenta la organización del servicio de apoyo pedagógico para la atención de los estudiantes con discapacidad y con capacidades o con talentos excepcionales en el marco de la educación inclusiva”.</w:t>
      </w:r>
    </w:p>
    <w:p w:rsidR="009A2496" w:rsidRPr="009A2496" w:rsidRDefault="009A2496" w:rsidP="00A92D87">
      <w:pPr>
        <w:autoSpaceDE w:val="0"/>
        <w:autoSpaceDN w:val="0"/>
        <w:adjustRightInd w:val="0"/>
        <w:spacing w:after="0" w:line="240" w:lineRule="auto"/>
        <w:jc w:val="both"/>
        <w:rPr>
          <w:rFonts w:cs="CastleT-Ligh"/>
          <w:color w:val="000000"/>
        </w:rPr>
      </w:pPr>
    </w:p>
    <w:p w:rsidR="009A2496" w:rsidRPr="006C3CF7" w:rsidRDefault="009A2496" w:rsidP="006C3CF7">
      <w:pPr>
        <w:autoSpaceDE w:val="0"/>
        <w:autoSpaceDN w:val="0"/>
        <w:adjustRightInd w:val="0"/>
        <w:spacing w:after="0" w:line="240" w:lineRule="auto"/>
        <w:ind w:left="360"/>
        <w:jc w:val="both"/>
        <w:rPr>
          <w:rFonts w:cs="GoudySansITCbyBT-Light"/>
        </w:rPr>
      </w:pPr>
      <w:r w:rsidRPr="009A2496">
        <w:rPr>
          <w:rFonts w:cs="GoudySansITCbyBT-Light"/>
          <w:color w:val="000000"/>
        </w:rPr>
        <w:t>Frente a la política de inclusión, la Secretaria de Educación Municipal construye la propuesta de apoyo pedagógico, no solo para atender el cumplimiento tácito de la norma, sino para trascender a otras formas de ver a los “otros”, reconocer y valorar las diferencias. Precisamente para permitir otras miradas de realidad frente a la situación de discapacidad; en el presente Plan de Educación se adoptan otros discursos que se basan en la dignidad, en donde el término ““deficiencia” es sustituido por “diferencia orgánica” o “diferencia funcional” con el fin de eliminar la carga negativa de las palabras que aluden a las características de un ser humano”</w:t>
      </w:r>
      <w:r w:rsidRPr="009A2496">
        <w:rPr>
          <w:rFonts w:cs="GoudySansITCbyBT-Light"/>
          <w:color w:val="0089BC"/>
        </w:rPr>
        <w:t>.</w:t>
      </w:r>
    </w:p>
    <w:p w:rsidR="009A2496" w:rsidRPr="006C3CF7" w:rsidRDefault="009A2496" w:rsidP="00A92D87">
      <w:pPr>
        <w:autoSpaceDE w:val="0"/>
        <w:autoSpaceDN w:val="0"/>
        <w:adjustRightInd w:val="0"/>
        <w:spacing w:after="0" w:line="240" w:lineRule="auto"/>
        <w:jc w:val="both"/>
        <w:rPr>
          <w:rFonts w:cs="GoudySansITCbyBT-Light"/>
        </w:rPr>
      </w:pPr>
    </w:p>
    <w:p w:rsidR="009A2496" w:rsidRPr="009A2496" w:rsidRDefault="009A2496" w:rsidP="006C3CF7">
      <w:pPr>
        <w:autoSpaceDE w:val="0"/>
        <w:autoSpaceDN w:val="0"/>
        <w:adjustRightInd w:val="0"/>
        <w:spacing w:after="0" w:line="240" w:lineRule="auto"/>
        <w:ind w:left="360"/>
        <w:jc w:val="both"/>
        <w:rPr>
          <w:rFonts w:cs="GoudySansITCbyBT-Light"/>
        </w:rPr>
      </w:pPr>
      <w:r w:rsidRPr="009A2496">
        <w:rPr>
          <w:rFonts w:cs="GoudySansITCbyBT-Light"/>
        </w:rPr>
        <w:t>Finalmente, es importante resaltar que desde el modelo social se impulsa la educación inclusiva no como una modificación en la organización de la escuela, sino como un cambio en la ética de la escuela, en las representaciones sobre el rol y misión del maestro, no solo para aceptar las diferencias individuales sino también para valorarlas. Es decir que necesita del compromiso ético de todos los actores de la comunidad educativa como parte del desarrollo humano.</w:t>
      </w:r>
    </w:p>
    <w:p w:rsidR="009A2496" w:rsidRPr="009A2496" w:rsidRDefault="009A2496" w:rsidP="00A92D87">
      <w:pPr>
        <w:autoSpaceDE w:val="0"/>
        <w:autoSpaceDN w:val="0"/>
        <w:adjustRightInd w:val="0"/>
        <w:spacing w:after="0" w:line="240" w:lineRule="auto"/>
        <w:jc w:val="both"/>
        <w:rPr>
          <w:rFonts w:cs="GoudySansITCbyBT-Light"/>
          <w:color w:val="000000"/>
        </w:rPr>
      </w:pPr>
    </w:p>
    <w:p w:rsidR="009A2496" w:rsidRPr="009A2496" w:rsidRDefault="009A2496" w:rsidP="006C3CF7">
      <w:pPr>
        <w:autoSpaceDE w:val="0"/>
        <w:autoSpaceDN w:val="0"/>
        <w:adjustRightInd w:val="0"/>
        <w:spacing w:after="0" w:line="240" w:lineRule="auto"/>
        <w:ind w:firstLine="360"/>
        <w:rPr>
          <w:rFonts w:cs="GoudySansITCbyBT-Light"/>
          <w:color w:val="000000"/>
        </w:rPr>
      </w:pPr>
      <w:r w:rsidRPr="009A2496">
        <w:rPr>
          <w:rFonts w:cs="GoudySansITCbyBT-Light"/>
          <w:color w:val="000000"/>
        </w:rPr>
        <w:t>En el proyecto se tiene en cuenta los siguientes componentes:</w:t>
      </w:r>
    </w:p>
    <w:p w:rsidR="009A2496" w:rsidRPr="009A2496" w:rsidRDefault="009A2496" w:rsidP="00A92D87">
      <w:pPr>
        <w:autoSpaceDE w:val="0"/>
        <w:autoSpaceDN w:val="0"/>
        <w:adjustRightInd w:val="0"/>
        <w:spacing w:after="0" w:line="240" w:lineRule="auto"/>
        <w:rPr>
          <w:rFonts w:cs="GoudySansITCbyBT-Light"/>
          <w:color w:val="000000"/>
        </w:rPr>
      </w:pPr>
      <w:r w:rsidRPr="009A2496">
        <w:rPr>
          <w:rFonts w:cs="GoudySansITCbyBT-Light"/>
          <w:color w:val="0089BC"/>
        </w:rPr>
        <w:t xml:space="preserve">• </w:t>
      </w:r>
      <w:r w:rsidR="006C3CF7">
        <w:rPr>
          <w:rFonts w:cs="GoudySansITCbyBT-Light"/>
          <w:color w:val="0089BC"/>
        </w:rPr>
        <w:tab/>
      </w:r>
      <w:r w:rsidRPr="009A2496">
        <w:rPr>
          <w:rFonts w:cs="GoudySansITCbyBT-Light"/>
          <w:color w:val="000000"/>
        </w:rPr>
        <w:t>Componente de sensibilización, información y difusión</w:t>
      </w:r>
    </w:p>
    <w:p w:rsidR="009A2496" w:rsidRPr="009A2496" w:rsidRDefault="009A2496" w:rsidP="00A92D87">
      <w:pPr>
        <w:autoSpaceDE w:val="0"/>
        <w:autoSpaceDN w:val="0"/>
        <w:adjustRightInd w:val="0"/>
        <w:spacing w:after="0" w:line="240" w:lineRule="auto"/>
        <w:rPr>
          <w:rFonts w:cs="GoudySansITCbyBT-Light"/>
          <w:color w:val="000000"/>
        </w:rPr>
      </w:pPr>
      <w:r w:rsidRPr="009A2496">
        <w:rPr>
          <w:rFonts w:cs="GoudySansITCbyBT-Light"/>
          <w:color w:val="0089BC"/>
        </w:rPr>
        <w:t xml:space="preserve">• </w:t>
      </w:r>
      <w:r w:rsidR="006C3CF7">
        <w:rPr>
          <w:rFonts w:cs="GoudySansITCbyBT-Light"/>
          <w:color w:val="0089BC"/>
        </w:rPr>
        <w:tab/>
      </w:r>
      <w:r w:rsidRPr="009A2496">
        <w:rPr>
          <w:rFonts w:cs="GoudySansITCbyBT-Light"/>
          <w:color w:val="000000"/>
        </w:rPr>
        <w:t>Componente pedagógico y curricular</w:t>
      </w:r>
    </w:p>
    <w:p w:rsidR="009A2496" w:rsidRPr="009A2496" w:rsidRDefault="009A2496" w:rsidP="00A92D87">
      <w:pPr>
        <w:autoSpaceDE w:val="0"/>
        <w:autoSpaceDN w:val="0"/>
        <w:adjustRightInd w:val="0"/>
        <w:spacing w:after="0" w:line="240" w:lineRule="auto"/>
        <w:rPr>
          <w:rFonts w:cs="GoudySansITCbyBT-Light"/>
          <w:color w:val="000000"/>
        </w:rPr>
      </w:pPr>
      <w:r w:rsidRPr="009A2496">
        <w:rPr>
          <w:rFonts w:cs="GoudySansITCbyBT-Light"/>
          <w:color w:val="0089BC"/>
        </w:rPr>
        <w:t xml:space="preserve">• </w:t>
      </w:r>
      <w:r w:rsidR="006C3CF7">
        <w:rPr>
          <w:rFonts w:cs="GoudySansITCbyBT-Light"/>
          <w:color w:val="0089BC"/>
        </w:rPr>
        <w:tab/>
      </w:r>
      <w:r w:rsidRPr="009A2496">
        <w:rPr>
          <w:rFonts w:cs="GoudySansITCbyBT-Light"/>
          <w:color w:val="000000"/>
        </w:rPr>
        <w:t>Componente de gestión de contexto</w:t>
      </w:r>
    </w:p>
    <w:p w:rsidR="009A2496" w:rsidRDefault="009A2496" w:rsidP="00A92D87">
      <w:pPr>
        <w:autoSpaceDE w:val="0"/>
        <w:autoSpaceDN w:val="0"/>
        <w:adjustRightInd w:val="0"/>
        <w:spacing w:after="0" w:line="240" w:lineRule="auto"/>
        <w:jc w:val="both"/>
        <w:rPr>
          <w:rFonts w:cs="GoudySansITCbyBT-Light"/>
          <w:color w:val="000000"/>
        </w:rPr>
      </w:pPr>
      <w:r w:rsidRPr="009A2496">
        <w:rPr>
          <w:rFonts w:cs="GoudySansITCbyBT-Light"/>
          <w:color w:val="0089BC"/>
        </w:rPr>
        <w:lastRenderedPageBreak/>
        <w:t xml:space="preserve">• </w:t>
      </w:r>
      <w:r w:rsidR="006C3CF7">
        <w:rPr>
          <w:rFonts w:cs="GoudySansITCbyBT-Light"/>
          <w:color w:val="0089BC"/>
        </w:rPr>
        <w:tab/>
      </w:r>
      <w:r w:rsidRPr="009A2496">
        <w:rPr>
          <w:rFonts w:cs="GoudySansITCbyBT-Light"/>
          <w:color w:val="000000"/>
        </w:rPr>
        <w:t>Componente de seguimiento y evaluación</w:t>
      </w:r>
    </w:p>
    <w:p w:rsidR="006C3CF7" w:rsidRPr="009A2496" w:rsidRDefault="006C3CF7" w:rsidP="00A92D87">
      <w:pPr>
        <w:autoSpaceDE w:val="0"/>
        <w:autoSpaceDN w:val="0"/>
        <w:adjustRightInd w:val="0"/>
        <w:spacing w:after="0" w:line="240" w:lineRule="auto"/>
        <w:jc w:val="both"/>
        <w:rPr>
          <w:rFonts w:cs="GoudySansITCbyBT-Light"/>
          <w:color w:val="000000"/>
        </w:rPr>
      </w:pPr>
    </w:p>
    <w:p w:rsidR="009A2496" w:rsidRPr="009A2496" w:rsidRDefault="009A2496"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9A2496">
        <w:rPr>
          <w:rFonts w:eastAsia="Times New Roman" w:cs="GoudySansITCbyBT-Light"/>
          <w:lang w:eastAsia="es-CO"/>
        </w:rPr>
        <w:t>MEJORAMIENTO Y CONSTRUCCIÓN DE NUEVA INFRAESTRUCTURA EDUCATIVA</w:t>
      </w:r>
    </w:p>
    <w:p w:rsidR="009A2496" w:rsidRPr="009A2496" w:rsidRDefault="009A2496" w:rsidP="00A92D87">
      <w:pPr>
        <w:autoSpaceDE w:val="0"/>
        <w:autoSpaceDN w:val="0"/>
        <w:adjustRightInd w:val="0"/>
        <w:spacing w:after="0" w:line="240" w:lineRule="auto"/>
        <w:ind w:left="720"/>
        <w:contextualSpacing/>
        <w:jc w:val="both"/>
        <w:rPr>
          <w:rFonts w:eastAsia="Times New Roman" w:cs="GoudySansITCbyBT-Light"/>
          <w:lang w:eastAsia="es-CO"/>
        </w:rPr>
      </w:pPr>
    </w:p>
    <w:p w:rsidR="009A2496" w:rsidRPr="009A2496" w:rsidRDefault="009A2496" w:rsidP="006C3CF7">
      <w:pPr>
        <w:autoSpaceDE w:val="0"/>
        <w:autoSpaceDN w:val="0"/>
        <w:adjustRightInd w:val="0"/>
        <w:spacing w:after="0" w:line="240" w:lineRule="auto"/>
        <w:ind w:left="360"/>
        <w:jc w:val="both"/>
        <w:rPr>
          <w:rFonts w:cs="GoudySansITCbyBT-Light"/>
        </w:rPr>
      </w:pPr>
      <w:r w:rsidRPr="009A2496">
        <w:rPr>
          <w:rFonts w:cs="GoudySansITCbyBT-Light"/>
        </w:rPr>
        <w:t>La SEM Pasto es consciente y aúna esfuerzos para mejorar en este materia puesto que una buena calidad en infraestructura y espacios pedagógicos adecuados repercute directamente en mejorar la calidad educativa de nuestros niños; la SEM ha estado apoyando diferentes gestiones para buscar financiación de obras para la primera infancia como construcciones nuevas y adecuaciones de los Centros de Desarrollo Infantil – CDI que administra el ICBF y que se constituyen en el primer salón y espacio pedagógico para que nuestros niños tengan una buena orientación y transición hacia los niveles superiores; en el año 2015, gracias agestión realizada por la SEM, el Ministerio de Vivienda y la Vicepresidencia de la República invertirán la suma de $3.000.000.000 para la construcción de un nuevo CDI y una nueve sede de primaria en el predio de la IEM Artemio Mendoza, Sede Santa Matilde, ubicada en la Comuna 10.</w:t>
      </w:r>
    </w:p>
    <w:p w:rsidR="009A2496" w:rsidRPr="009A2496" w:rsidRDefault="009A2496" w:rsidP="00A92D87">
      <w:pPr>
        <w:spacing w:after="0" w:line="240" w:lineRule="auto"/>
        <w:ind w:left="1080"/>
        <w:contextualSpacing/>
        <w:rPr>
          <w:rFonts w:eastAsia="Times New Roman" w:cs="Times New Roman"/>
          <w:lang w:eastAsia="es-CO"/>
        </w:rPr>
      </w:pPr>
    </w:p>
    <w:p w:rsidR="009A2496" w:rsidRPr="009A2496" w:rsidRDefault="009A2496" w:rsidP="00DF63E8">
      <w:pPr>
        <w:numPr>
          <w:ilvl w:val="0"/>
          <w:numId w:val="41"/>
        </w:numPr>
        <w:spacing w:after="0" w:line="240" w:lineRule="auto"/>
        <w:contextualSpacing/>
        <w:jc w:val="both"/>
        <w:rPr>
          <w:rFonts w:eastAsia="Times New Roman" w:cs="Times New Roman"/>
          <w:b/>
          <w:lang w:eastAsia="es-CO"/>
        </w:rPr>
      </w:pPr>
      <w:r w:rsidRPr="009A2496">
        <w:rPr>
          <w:rFonts w:eastAsia="Times New Roman" w:cs="Times New Roman"/>
          <w:b/>
          <w:lang w:eastAsia="es-CO"/>
        </w:rPr>
        <w:t xml:space="preserve">Resultados al término de la gestión  (2012 -2014): </w:t>
      </w: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Como efectos de la acción institucional y los programas desarrollados y mencionados en el numeral cuatro se tiene la siguiente población atendida de los niños entre  3 a 5 años que se encuentran matriculados en el nivel de preescolar (pre jardín, jardín y transición).</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 xml:space="preserve">POR ZONA </w:t>
      </w:r>
    </w:p>
    <w:tbl>
      <w:tblPr>
        <w:tblStyle w:val="Tablaconcuadrcula11"/>
        <w:tblW w:w="0" w:type="auto"/>
        <w:tblInd w:w="360" w:type="dxa"/>
        <w:tblLook w:val="04A0"/>
      </w:tblPr>
      <w:tblGrid>
        <w:gridCol w:w="726"/>
        <w:gridCol w:w="1381"/>
        <w:gridCol w:w="1125"/>
        <w:gridCol w:w="1431"/>
        <w:gridCol w:w="1381"/>
        <w:gridCol w:w="1274"/>
        <w:gridCol w:w="1376"/>
      </w:tblGrid>
      <w:tr w:rsidR="009A2496" w:rsidRPr="009A2496" w:rsidTr="00000F81">
        <w:tc>
          <w:tcPr>
            <w:tcW w:w="734" w:type="dxa"/>
            <w:tcBorders>
              <w:top w:val="single" w:sz="4" w:space="0" w:color="auto"/>
              <w:left w:val="single" w:sz="4" w:space="0" w:color="auto"/>
              <w:bottom w:val="nil"/>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Año</w:t>
            </w:r>
          </w:p>
        </w:tc>
        <w:tc>
          <w:tcPr>
            <w:tcW w:w="3859" w:type="dxa"/>
            <w:gridSpan w:val="3"/>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Urbano</w:t>
            </w:r>
          </w:p>
        </w:tc>
        <w:tc>
          <w:tcPr>
            <w:tcW w:w="3875" w:type="dxa"/>
            <w:gridSpan w:val="3"/>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Rural</w:t>
            </w:r>
          </w:p>
        </w:tc>
      </w:tr>
      <w:tr w:rsidR="009A2496" w:rsidRPr="009A2496" w:rsidTr="00000F81">
        <w:tc>
          <w:tcPr>
            <w:tcW w:w="734" w:type="dxa"/>
            <w:tcBorders>
              <w:top w:val="nil"/>
              <w:left w:val="single" w:sz="4" w:space="0" w:color="auto"/>
              <w:bottom w:val="single" w:sz="4" w:space="0" w:color="auto"/>
              <w:right w:val="single" w:sz="4" w:space="0" w:color="auto"/>
            </w:tcBorders>
          </w:tcPr>
          <w:p w:rsidR="009A2496" w:rsidRPr="009A2496" w:rsidRDefault="009A2496" w:rsidP="00A92D87">
            <w:pPr>
              <w:contextualSpacing/>
              <w:jc w:val="both"/>
              <w:rPr>
                <w:rFonts w:eastAsia="Times New Roman" w:cs="Times New Roman"/>
              </w:rPr>
            </w:pPr>
          </w:p>
        </w:tc>
        <w:tc>
          <w:tcPr>
            <w:tcW w:w="1252"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 xml:space="preserve">No. De Estudiantes matriculados </w:t>
            </w:r>
          </w:p>
        </w:tc>
        <w:tc>
          <w:tcPr>
            <w:tcW w:w="11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Niños de 3 a 5 años  DANE</w:t>
            </w:r>
          </w:p>
        </w:tc>
        <w:tc>
          <w:tcPr>
            <w:tcW w:w="1438"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Participación porcentual</w:t>
            </w:r>
          </w:p>
        </w:tc>
        <w:tc>
          <w:tcPr>
            <w:tcW w:w="11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 xml:space="preserve">No. De Estudiantes matriculados </w:t>
            </w:r>
          </w:p>
        </w:tc>
        <w:tc>
          <w:tcPr>
            <w:tcW w:w="1337"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Niños de 3 a 5 años  DANE</w:t>
            </w:r>
          </w:p>
        </w:tc>
        <w:tc>
          <w:tcPr>
            <w:tcW w:w="13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Participación porcentual</w:t>
            </w:r>
          </w:p>
        </w:tc>
      </w:tr>
      <w:tr w:rsidR="009A2496" w:rsidRPr="009A2496" w:rsidTr="00000F81">
        <w:tc>
          <w:tcPr>
            <w:tcW w:w="734"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2012</w:t>
            </w:r>
          </w:p>
        </w:tc>
        <w:tc>
          <w:tcPr>
            <w:tcW w:w="1252"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6900</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19295</w:t>
            </w:r>
          </w:p>
        </w:tc>
        <w:tc>
          <w:tcPr>
            <w:tcW w:w="143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36%</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1232</w:t>
            </w:r>
          </w:p>
        </w:tc>
        <w:tc>
          <w:tcPr>
            <w:tcW w:w="1337"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19295</w:t>
            </w:r>
          </w:p>
        </w:tc>
        <w:tc>
          <w:tcPr>
            <w:tcW w:w="13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6%</w:t>
            </w:r>
          </w:p>
        </w:tc>
      </w:tr>
      <w:tr w:rsidR="009A2496" w:rsidRPr="009A2496" w:rsidTr="00000F81">
        <w:tc>
          <w:tcPr>
            <w:tcW w:w="734"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2013</w:t>
            </w:r>
          </w:p>
        </w:tc>
        <w:tc>
          <w:tcPr>
            <w:tcW w:w="1252"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6474</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19185</w:t>
            </w:r>
          </w:p>
        </w:tc>
        <w:tc>
          <w:tcPr>
            <w:tcW w:w="143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34%</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1013</w:t>
            </w:r>
          </w:p>
        </w:tc>
        <w:tc>
          <w:tcPr>
            <w:tcW w:w="1337"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19185</w:t>
            </w:r>
          </w:p>
        </w:tc>
        <w:tc>
          <w:tcPr>
            <w:tcW w:w="13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5%</w:t>
            </w:r>
          </w:p>
        </w:tc>
      </w:tr>
      <w:tr w:rsidR="009A2496" w:rsidRPr="009A2496" w:rsidTr="00000F81">
        <w:tc>
          <w:tcPr>
            <w:tcW w:w="734"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2014</w:t>
            </w:r>
          </w:p>
        </w:tc>
        <w:tc>
          <w:tcPr>
            <w:tcW w:w="1252"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6355</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19108</w:t>
            </w:r>
          </w:p>
        </w:tc>
        <w:tc>
          <w:tcPr>
            <w:tcW w:w="143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33%</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967</w:t>
            </w:r>
          </w:p>
        </w:tc>
        <w:tc>
          <w:tcPr>
            <w:tcW w:w="1337"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19108</w:t>
            </w:r>
          </w:p>
        </w:tc>
        <w:tc>
          <w:tcPr>
            <w:tcW w:w="13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5%</w:t>
            </w:r>
          </w:p>
        </w:tc>
      </w:tr>
      <w:tr w:rsidR="009A2496" w:rsidRPr="009A2496" w:rsidTr="00000F81">
        <w:tc>
          <w:tcPr>
            <w:tcW w:w="734"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2015</w:t>
            </w:r>
          </w:p>
        </w:tc>
        <w:tc>
          <w:tcPr>
            <w:tcW w:w="1252"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5617</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19063</w:t>
            </w:r>
          </w:p>
        </w:tc>
        <w:tc>
          <w:tcPr>
            <w:tcW w:w="143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29%</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1206</w:t>
            </w:r>
          </w:p>
        </w:tc>
        <w:tc>
          <w:tcPr>
            <w:tcW w:w="1337"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19063</w:t>
            </w:r>
          </w:p>
        </w:tc>
        <w:tc>
          <w:tcPr>
            <w:tcW w:w="13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6%</w:t>
            </w:r>
          </w:p>
        </w:tc>
      </w:tr>
    </w:tbl>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Se observa la disminución del número de niños y niñas con edad de 3 a 5 años atendidos en el sector urbano.  La participación porcentual de esta población en el sector urbano presenta una leve disminución del 36% al 29 %; y en la zona rural se mantiene entre el 5% y 6%.</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POR GÉNERO</w:t>
      </w:r>
    </w:p>
    <w:tbl>
      <w:tblPr>
        <w:tblStyle w:val="Tablaconcuadrcula11"/>
        <w:tblW w:w="0" w:type="auto"/>
        <w:tblInd w:w="360" w:type="dxa"/>
        <w:tblLook w:val="04A0"/>
      </w:tblPr>
      <w:tblGrid>
        <w:gridCol w:w="728"/>
        <w:gridCol w:w="1381"/>
        <w:gridCol w:w="1126"/>
        <w:gridCol w:w="1432"/>
        <w:gridCol w:w="1381"/>
        <w:gridCol w:w="1079"/>
        <w:gridCol w:w="1567"/>
      </w:tblGrid>
      <w:tr w:rsidR="009A2496" w:rsidRPr="009A2496" w:rsidTr="00000F81">
        <w:tc>
          <w:tcPr>
            <w:tcW w:w="735" w:type="dxa"/>
            <w:tcBorders>
              <w:top w:val="single" w:sz="4" w:space="0" w:color="auto"/>
              <w:left w:val="single" w:sz="4" w:space="0" w:color="auto"/>
              <w:bottom w:val="nil"/>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Año</w:t>
            </w:r>
          </w:p>
        </w:tc>
        <w:tc>
          <w:tcPr>
            <w:tcW w:w="3859" w:type="dxa"/>
            <w:gridSpan w:val="3"/>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MASCULINO</w:t>
            </w:r>
          </w:p>
        </w:tc>
        <w:tc>
          <w:tcPr>
            <w:tcW w:w="3874" w:type="dxa"/>
            <w:gridSpan w:val="3"/>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FEMENINO</w:t>
            </w:r>
          </w:p>
        </w:tc>
      </w:tr>
      <w:tr w:rsidR="009A2496" w:rsidRPr="009A2496" w:rsidTr="00000F81">
        <w:tc>
          <w:tcPr>
            <w:tcW w:w="735" w:type="dxa"/>
            <w:tcBorders>
              <w:top w:val="nil"/>
              <w:left w:val="single" w:sz="4" w:space="0" w:color="auto"/>
              <w:bottom w:val="single" w:sz="4" w:space="0" w:color="auto"/>
              <w:right w:val="single" w:sz="4" w:space="0" w:color="auto"/>
            </w:tcBorders>
          </w:tcPr>
          <w:p w:rsidR="009A2496" w:rsidRPr="009A2496" w:rsidRDefault="009A2496" w:rsidP="00A92D87">
            <w:pPr>
              <w:contextualSpacing/>
              <w:jc w:val="both"/>
              <w:rPr>
                <w:rFonts w:eastAsia="Times New Roman" w:cs="Times New Roman"/>
              </w:rPr>
            </w:pPr>
          </w:p>
        </w:tc>
        <w:tc>
          <w:tcPr>
            <w:tcW w:w="1252"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 xml:space="preserve">No. De Estudiantes matriculados </w:t>
            </w:r>
          </w:p>
        </w:tc>
        <w:tc>
          <w:tcPr>
            <w:tcW w:w="11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Niños de 3 a 5 años  DANE</w:t>
            </w:r>
          </w:p>
        </w:tc>
        <w:tc>
          <w:tcPr>
            <w:tcW w:w="1438"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Participación porcentual</w:t>
            </w:r>
          </w:p>
        </w:tc>
        <w:tc>
          <w:tcPr>
            <w:tcW w:w="11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 xml:space="preserve">No. De Estudiantes matriculados </w:t>
            </w:r>
          </w:p>
        </w:tc>
        <w:tc>
          <w:tcPr>
            <w:tcW w:w="1117"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Niños de 3 a 5 años  DANE</w:t>
            </w:r>
          </w:p>
        </w:tc>
        <w:tc>
          <w:tcPr>
            <w:tcW w:w="1588"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rPr>
            </w:pPr>
            <w:r w:rsidRPr="009A2496">
              <w:rPr>
                <w:rFonts w:eastAsia="Times New Roman" w:cs="Times New Roman"/>
              </w:rPr>
              <w:t>Participación porcentual</w:t>
            </w:r>
          </w:p>
        </w:tc>
      </w:tr>
      <w:tr w:rsidR="009A2496" w:rsidRPr="009A2496" w:rsidTr="00000F81">
        <w:tc>
          <w:tcPr>
            <w:tcW w:w="735"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2012</w:t>
            </w:r>
          </w:p>
        </w:tc>
        <w:tc>
          <w:tcPr>
            <w:tcW w:w="1252"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4080</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9821</w:t>
            </w:r>
          </w:p>
        </w:tc>
        <w:tc>
          <w:tcPr>
            <w:tcW w:w="143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42%</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4052</w:t>
            </w:r>
          </w:p>
        </w:tc>
        <w:tc>
          <w:tcPr>
            <w:tcW w:w="1117"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9474</w:t>
            </w:r>
          </w:p>
        </w:tc>
        <w:tc>
          <w:tcPr>
            <w:tcW w:w="158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43%</w:t>
            </w:r>
          </w:p>
        </w:tc>
      </w:tr>
      <w:tr w:rsidR="009A2496" w:rsidRPr="009A2496" w:rsidTr="00000F81">
        <w:tc>
          <w:tcPr>
            <w:tcW w:w="735"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2013</w:t>
            </w:r>
          </w:p>
        </w:tc>
        <w:tc>
          <w:tcPr>
            <w:tcW w:w="1252"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3770</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9793</w:t>
            </w:r>
          </w:p>
        </w:tc>
        <w:tc>
          <w:tcPr>
            <w:tcW w:w="143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38%</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3717</w:t>
            </w:r>
          </w:p>
        </w:tc>
        <w:tc>
          <w:tcPr>
            <w:tcW w:w="1117"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9392</w:t>
            </w:r>
          </w:p>
        </w:tc>
        <w:tc>
          <w:tcPr>
            <w:tcW w:w="158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40%</w:t>
            </w:r>
          </w:p>
        </w:tc>
      </w:tr>
      <w:tr w:rsidR="009A2496" w:rsidRPr="009A2496" w:rsidTr="00000F81">
        <w:tc>
          <w:tcPr>
            <w:tcW w:w="735"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2014</w:t>
            </w:r>
          </w:p>
        </w:tc>
        <w:tc>
          <w:tcPr>
            <w:tcW w:w="1252"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3716</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9774</w:t>
            </w:r>
          </w:p>
        </w:tc>
        <w:tc>
          <w:tcPr>
            <w:tcW w:w="143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38%</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3606</w:t>
            </w:r>
          </w:p>
        </w:tc>
        <w:tc>
          <w:tcPr>
            <w:tcW w:w="1117"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9334</w:t>
            </w:r>
          </w:p>
        </w:tc>
        <w:tc>
          <w:tcPr>
            <w:tcW w:w="158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39%</w:t>
            </w:r>
          </w:p>
        </w:tc>
      </w:tr>
      <w:tr w:rsidR="009A2496" w:rsidRPr="009A2496" w:rsidTr="00000F81">
        <w:tc>
          <w:tcPr>
            <w:tcW w:w="735"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2015</w:t>
            </w:r>
          </w:p>
        </w:tc>
        <w:tc>
          <w:tcPr>
            <w:tcW w:w="1252"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3469</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9759</w:t>
            </w:r>
          </w:p>
        </w:tc>
        <w:tc>
          <w:tcPr>
            <w:tcW w:w="143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36%</w:t>
            </w:r>
          </w:p>
        </w:tc>
        <w:tc>
          <w:tcPr>
            <w:tcW w:w="1169"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3354</w:t>
            </w:r>
          </w:p>
        </w:tc>
        <w:tc>
          <w:tcPr>
            <w:tcW w:w="1117"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9304</w:t>
            </w:r>
          </w:p>
        </w:tc>
        <w:tc>
          <w:tcPr>
            <w:tcW w:w="158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36%</w:t>
            </w:r>
          </w:p>
        </w:tc>
      </w:tr>
    </w:tbl>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lastRenderedPageBreak/>
        <w:t xml:space="preserve">El porcentaje comparativo entre niños y niñas con edades entre 3 y 5 años que se encuentran estudiando en preescolar presenta una leve disminución, siendo menos acentuada en los niños que en las niñas.  </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 xml:space="preserve">POR SITUACION DE DESPLAZAMIENTO E </w:t>
      </w:r>
      <w:r w:rsidRPr="009A2496">
        <w:rPr>
          <w:rFonts w:eastAsia="Times New Roman" w:cs="GoudySansITCbyBT-Light"/>
          <w:lang w:eastAsia="es-CO"/>
        </w:rPr>
        <w:t>INCLUSIÓN EDUCATIVA</w:t>
      </w:r>
      <w:r w:rsidRPr="009A2496">
        <w:rPr>
          <w:rFonts w:eastAsia="Times New Roman" w:cs="Times New Roman"/>
          <w:lang w:eastAsia="es-CO"/>
        </w:rPr>
        <w:t xml:space="preserve"> </w:t>
      </w:r>
    </w:p>
    <w:p w:rsidR="009A2496" w:rsidRPr="009A2496" w:rsidRDefault="009A2496" w:rsidP="00A92D87">
      <w:pPr>
        <w:spacing w:after="0" w:line="240" w:lineRule="auto"/>
        <w:ind w:left="360"/>
        <w:contextualSpacing/>
        <w:jc w:val="both"/>
        <w:rPr>
          <w:rFonts w:eastAsia="Times New Roman" w:cs="Times New Roman"/>
          <w:lang w:eastAsia="es-CO"/>
        </w:rPr>
      </w:pPr>
    </w:p>
    <w:tbl>
      <w:tblPr>
        <w:tblStyle w:val="Tablaconcuadrcula11"/>
        <w:tblW w:w="0" w:type="auto"/>
        <w:tblInd w:w="360" w:type="dxa"/>
        <w:tblLook w:val="04A0"/>
      </w:tblPr>
      <w:tblGrid>
        <w:gridCol w:w="769"/>
        <w:gridCol w:w="3828"/>
        <w:gridCol w:w="3871"/>
      </w:tblGrid>
      <w:tr w:rsidR="009A2496" w:rsidRPr="009A2496" w:rsidTr="00000F81">
        <w:tc>
          <w:tcPr>
            <w:tcW w:w="7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AÑO</w:t>
            </w:r>
          </w:p>
        </w:tc>
        <w:tc>
          <w:tcPr>
            <w:tcW w:w="3828"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b/>
              </w:rPr>
            </w:pPr>
            <w:r w:rsidRPr="009A2496">
              <w:rPr>
                <w:rFonts w:eastAsia="Times New Roman" w:cs="Times New Roman"/>
                <w:b/>
              </w:rPr>
              <w:t>ESTUDIANTES CON SITUACION DE DESPLAZAMIENTO</w:t>
            </w:r>
          </w:p>
        </w:tc>
        <w:tc>
          <w:tcPr>
            <w:tcW w:w="3871"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center"/>
              <w:rPr>
                <w:rFonts w:eastAsia="Times New Roman" w:cs="Times New Roman"/>
                <w:b/>
              </w:rPr>
            </w:pPr>
            <w:r w:rsidRPr="009A2496">
              <w:rPr>
                <w:rFonts w:eastAsia="Times New Roman" w:cs="Times New Roman"/>
                <w:b/>
              </w:rPr>
              <w:t>POBLACION EN DISCAPACIDAD</w:t>
            </w:r>
          </w:p>
        </w:tc>
      </w:tr>
      <w:tr w:rsidR="009A2496" w:rsidRPr="009A2496" w:rsidTr="00000F81">
        <w:tc>
          <w:tcPr>
            <w:tcW w:w="7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2012</w:t>
            </w:r>
          </w:p>
        </w:tc>
        <w:tc>
          <w:tcPr>
            <w:tcW w:w="382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12</w:t>
            </w:r>
          </w:p>
        </w:tc>
        <w:tc>
          <w:tcPr>
            <w:tcW w:w="3871"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0</w:t>
            </w:r>
          </w:p>
        </w:tc>
      </w:tr>
      <w:tr w:rsidR="009A2496" w:rsidRPr="009A2496" w:rsidTr="00000F81">
        <w:tc>
          <w:tcPr>
            <w:tcW w:w="7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2013</w:t>
            </w:r>
          </w:p>
        </w:tc>
        <w:tc>
          <w:tcPr>
            <w:tcW w:w="382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16</w:t>
            </w:r>
          </w:p>
        </w:tc>
        <w:tc>
          <w:tcPr>
            <w:tcW w:w="3871"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0</w:t>
            </w:r>
          </w:p>
        </w:tc>
      </w:tr>
      <w:tr w:rsidR="009A2496" w:rsidRPr="009A2496" w:rsidTr="00000F81">
        <w:tc>
          <w:tcPr>
            <w:tcW w:w="7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2014</w:t>
            </w:r>
          </w:p>
        </w:tc>
        <w:tc>
          <w:tcPr>
            <w:tcW w:w="382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16</w:t>
            </w:r>
          </w:p>
        </w:tc>
        <w:tc>
          <w:tcPr>
            <w:tcW w:w="3871"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2</w:t>
            </w:r>
          </w:p>
        </w:tc>
      </w:tr>
      <w:tr w:rsidR="009A2496" w:rsidRPr="009A2496" w:rsidTr="00000F81">
        <w:tc>
          <w:tcPr>
            <w:tcW w:w="769" w:type="dxa"/>
            <w:tcBorders>
              <w:top w:val="single" w:sz="4" w:space="0" w:color="auto"/>
              <w:left w:val="single" w:sz="4" w:space="0" w:color="auto"/>
              <w:bottom w:val="single" w:sz="4" w:space="0" w:color="auto"/>
              <w:right w:val="single" w:sz="4" w:space="0" w:color="auto"/>
            </w:tcBorders>
            <w:hideMark/>
          </w:tcPr>
          <w:p w:rsidR="009A2496" w:rsidRPr="009A2496" w:rsidRDefault="009A2496" w:rsidP="00A92D87">
            <w:pPr>
              <w:contextualSpacing/>
              <w:jc w:val="both"/>
              <w:rPr>
                <w:rFonts w:eastAsia="Times New Roman" w:cs="Times New Roman"/>
              </w:rPr>
            </w:pPr>
            <w:r w:rsidRPr="009A2496">
              <w:rPr>
                <w:rFonts w:eastAsia="Times New Roman" w:cs="Times New Roman"/>
              </w:rPr>
              <w:t>2015</w:t>
            </w:r>
          </w:p>
        </w:tc>
        <w:tc>
          <w:tcPr>
            <w:tcW w:w="3828"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141</w:t>
            </w:r>
          </w:p>
        </w:tc>
        <w:tc>
          <w:tcPr>
            <w:tcW w:w="3871" w:type="dxa"/>
            <w:tcBorders>
              <w:top w:val="single" w:sz="4" w:space="0" w:color="auto"/>
              <w:left w:val="single" w:sz="4" w:space="0" w:color="auto"/>
              <w:bottom w:val="single" w:sz="4" w:space="0" w:color="auto"/>
              <w:right w:val="single" w:sz="4" w:space="0" w:color="auto"/>
            </w:tcBorders>
            <w:vAlign w:val="center"/>
          </w:tcPr>
          <w:p w:rsidR="009A2496" w:rsidRPr="009A2496" w:rsidRDefault="009A2496" w:rsidP="00A92D87">
            <w:pPr>
              <w:jc w:val="center"/>
              <w:rPr>
                <w:color w:val="000000"/>
              </w:rPr>
            </w:pPr>
            <w:r w:rsidRPr="009A2496">
              <w:rPr>
                <w:color w:val="000000"/>
              </w:rPr>
              <w:t>52</w:t>
            </w:r>
          </w:p>
        </w:tc>
      </w:tr>
    </w:tbl>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line="240" w:lineRule="auto"/>
        <w:ind w:left="360"/>
        <w:jc w:val="both"/>
      </w:pPr>
      <w:r w:rsidRPr="009A2496">
        <w:t>De acuerdo a la movilidad que presenta en el municipio de Pasto, la tabla indica un incremento de los niños registrados y caracterizados en el SIMAT.  En cuanto al registro y caracterización de los estudiantes que presentan discapacidad funcional, la SEMPASTO cuenta con docentes de apoyo que ha hecho que se incremente su identificación y caracterización en el Sistema de Información de matrícula.</w:t>
      </w:r>
    </w:p>
    <w:p w:rsidR="009A2496" w:rsidRPr="009A2496" w:rsidRDefault="009A2496" w:rsidP="00DF63E8">
      <w:pPr>
        <w:numPr>
          <w:ilvl w:val="0"/>
          <w:numId w:val="41"/>
        </w:numPr>
        <w:spacing w:after="0" w:line="240" w:lineRule="auto"/>
        <w:contextualSpacing/>
        <w:jc w:val="both"/>
        <w:rPr>
          <w:rFonts w:eastAsia="Times New Roman" w:cs="Times New Roman"/>
          <w:b/>
          <w:lang w:eastAsia="es-CO"/>
        </w:rPr>
      </w:pPr>
      <w:r w:rsidRPr="009A2496">
        <w:rPr>
          <w:rFonts w:eastAsia="Times New Roman" w:cs="Times New Roman"/>
          <w:b/>
          <w:lang w:eastAsia="es-CO"/>
        </w:rPr>
        <w:t>Prioridades</w:t>
      </w:r>
    </w:p>
    <w:p w:rsidR="009A2496" w:rsidRPr="009A2496" w:rsidRDefault="009A2496" w:rsidP="00A92D87">
      <w:pPr>
        <w:spacing w:after="0" w:line="240" w:lineRule="auto"/>
        <w:ind w:left="360"/>
        <w:contextualSpacing/>
        <w:jc w:val="both"/>
        <w:rPr>
          <w:rFonts w:eastAsia="Times New Roman" w:cs="Times New Roman"/>
          <w:b/>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Garantizar la continuidad de los alumnos activos en el sistema educativo oficial y privado como también el acceso a los estudiantes que se encuentran por fuera del sistema educativo, brindándoles modelos educativos flexibles como también estrategias de permanencia.</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 xml:space="preserve">Fortalecer la articulación inter e interinstitucional a fin de identificar y hacer seguimiento a la población de cinco años que se encuentra por fuera del sistema. </w:t>
      </w:r>
    </w:p>
    <w:p w:rsidR="009A2496" w:rsidRPr="009A2496" w:rsidRDefault="009A2496" w:rsidP="00A92D87">
      <w:pPr>
        <w:spacing w:after="0" w:line="240" w:lineRule="auto"/>
        <w:ind w:left="360"/>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contextualSpacing/>
        <w:jc w:val="both"/>
        <w:rPr>
          <w:rFonts w:eastAsia="Times New Roman" w:cs="Times New Roman"/>
          <w:b/>
          <w:lang w:eastAsia="es-CO"/>
        </w:rPr>
      </w:pPr>
      <w:r w:rsidRPr="009A2496">
        <w:rPr>
          <w:rFonts w:eastAsia="Times New Roman" w:cs="Times New Roman"/>
          <w:b/>
          <w:lang w:eastAsia="es-CO"/>
        </w:rPr>
        <w:t>Recomendaciones</w:t>
      </w:r>
    </w:p>
    <w:p w:rsidR="009A2496" w:rsidRPr="009A2496" w:rsidRDefault="009A2496" w:rsidP="00A92D87">
      <w:pPr>
        <w:spacing w:after="0" w:line="240" w:lineRule="auto"/>
        <w:ind w:left="360"/>
        <w:contextualSpacing/>
        <w:jc w:val="both"/>
        <w:rPr>
          <w:rFonts w:eastAsia="Times New Roman" w:cs="Times New Roman"/>
          <w:lang w:eastAsia="es-CO"/>
        </w:rPr>
      </w:pPr>
      <w:r w:rsidRPr="009A2496">
        <w:rPr>
          <w:rFonts w:eastAsia="Times New Roman" w:cs="Times New Roman"/>
          <w:lang w:eastAsia="es-CO"/>
        </w:rPr>
        <w:t>Se tenga en cuenta las prioridades planteadas en el próximo Plan de desarrollo Educativo del Municipio de Pasto.</w:t>
      </w:r>
    </w:p>
    <w:p w:rsidR="009A2496" w:rsidRPr="009A2496" w:rsidRDefault="009A2496" w:rsidP="00A92D87">
      <w:pPr>
        <w:spacing w:line="240" w:lineRule="auto"/>
        <w:jc w:val="center"/>
      </w:pPr>
    </w:p>
    <w:p w:rsidR="009A2496" w:rsidRPr="009A2496" w:rsidRDefault="00000F81" w:rsidP="00A92D87">
      <w:pPr>
        <w:pBdr>
          <w:top w:val="single" w:sz="4" w:space="10" w:color="5B9BD5" w:themeColor="accent1"/>
          <w:bottom w:val="single" w:sz="4" w:space="10" w:color="5B9BD5" w:themeColor="accent1"/>
        </w:pBdr>
        <w:spacing w:before="360" w:after="360" w:line="240" w:lineRule="auto"/>
        <w:ind w:right="864"/>
        <w:jc w:val="center"/>
        <w:rPr>
          <w:b/>
          <w:i/>
          <w:iCs/>
        </w:rPr>
      </w:pPr>
      <w:r>
        <w:rPr>
          <w:b/>
          <w:i/>
          <w:iCs/>
        </w:rPr>
        <w:t>DESCRIPCIÓN DEL INDICADOR No. 62</w:t>
      </w:r>
    </w:p>
    <w:tbl>
      <w:tblPr>
        <w:tblStyle w:val="Tabladecuadrcula2-nfasis5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cnfStyle w:val="100000000000"/>
          <w:trHeight w:val="579"/>
          <w:jc w:val="center"/>
        </w:trPr>
        <w:tc>
          <w:tcPr>
            <w:cnfStyle w:val="001000000000"/>
            <w:tcW w:w="8828" w:type="dxa"/>
            <w:tcBorders>
              <w:top w:val="none" w:sz="0" w:space="0" w:color="auto"/>
              <w:bottom w:val="none" w:sz="0" w:space="0" w:color="auto"/>
            </w:tcBorders>
          </w:tcPr>
          <w:p w:rsidR="009A2496" w:rsidRPr="009A2496" w:rsidRDefault="009A2496" w:rsidP="00A92D87">
            <w:r w:rsidRPr="009A2496">
              <w:t>MUNICIPIO: Pasto</w:t>
            </w:r>
          </w:p>
        </w:tc>
      </w:tr>
      <w:tr w:rsidR="009A2496" w:rsidRPr="009A2496" w:rsidTr="00000F81">
        <w:trPr>
          <w:cnfStyle w:val="000000100000"/>
          <w:trHeight w:val="579"/>
          <w:jc w:val="center"/>
        </w:trPr>
        <w:tc>
          <w:tcPr>
            <w:cnfStyle w:val="001000000000"/>
            <w:tcW w:w="8828" w:type="dxa"/>
          </w:tcPr>
          <w:p w:rsidR="009A2496" w:rsidRPr="009A2496" w:rsidRDefault="009A2496" w:rsidP="00A92D87">
            <w:r w:rsidRPr="009A2496">
              <w:t>Nombre del indicador: Niveles de desempeño en las pruebas SABER grado 5°, Lenguaje, Matemáticas, Ciencias Naturales y Pensamiento ciudadano</w:t>
            </w:r>
          </w:p>
        </w:tc>
      </w:tr>
      <w:tr w:rsidR="009A2496" w:rsidRPr="009A2496" w:rsidTr="00000F81">
        <w:trPr>
          <w:trHeight w:val="332"/>
          <w:jc w:val="center"/>
        </w:trPr>
        <w:tc>
          <w:tcPr>
            <w:cnfStyle w:val="001000000000"/>
            <w:tcW w:w="8828" w:type="dxa"/>
          </w:tcPr>
          <w:p w:rsidR="009A2496" w:rsidRPr="009A2496" w:rsidRDefault="009A2496" w:rsidP="00A92D87">
            <w:r w:rsidRPr="009A2496">
              <w:t>Fuente Nacional: ICFES</w:t>
            </w:r>
          </w:p>
          <w:p w:rsidR="009A2496" w:rsidRPr="009A2496" w:rsidRDefault="009A2496" w:rsidP="00A92D87">
            <w:r w:rsidRPr="009A2496">
              <w:t xml:space="preserve">Otra Fuente: </w:t>
            </w:r>
          </w:p>
        </w:tc>
      </w:tr>
      <w:tr w:rsidR="009A2496" w:rsidRPr="009A2496" w:rsidTr="00000F81">
        <w:trPr>
          <w:cnfStyle w:val="000000100000"/>
          <w:trHeight w:val="458"/>
          <w:jc w:val="center"/>
        </w:trPr>
        <w:tc>
          <w:tcPr>
            <w:cnfStyle w:val="001000000000"/>
            <w:tcW w:w="8828" w:type="dxa"/>
          </w:tcPr>
          <w:p w:rsidR="009A2496" w:rsidRPr="009A2496" w:rsidRDefault="009A2496" w:rsidP="00A92D87">
            <w:r w:rsidRPr="009A2496">
              <w:lastRenderedPageBreak/>
              <w:t>Categoría de derechos: Derechos Civiles y Políticos</w:t>
            </w:r>
          </w:p>
        </w:tc>
      </w:tr>
      <w:tr w:rsidR="009A2496" w:rsidRPr="009A2496" w:rsidTr="00000F81">
        <w:trPr>
          <w:trHeight w:val="458"/>
          <w:jc w:val="center"/>
        </w:trPr>
        <w:tc>
          <w:tcPr>
            <w:cnfStyle w:val="001000000000"/>
            <w:tcW w:w="8828" w:type="dxa"/>
          </w:tcPr>
          <w:p w:rsidR="009A2496" w:rsidRPr="009A2496" w:rsidRDefault="009A2496" w:rsidP="00A92D87">
            <w:r w:rsidRPr="009A2496">
              <w:t>Derechos: Derechos al Desarrollo</w:t>
            </w:r>
          </w:p>
        </w:tc>
      </w:tr>
      <w:tr w:rsidR="009A2496" w:rsidRPr="009A2496" w:rsidTr="00000F81">
        <w:trPr>
          <w:cnfStyle w:val="000000100000"/>
          <w:trHeight w:val="458"/>
          <w:jc w:val="center"/>
        </w:trPr>
        <w:tc>
          <w:tcPr>
            <w:cnfStyle w:val="001000000000"/>
            <w:tcW w:w="8828" w:type="dxa"/>
          </w:tcPr>
          <w:p w:rsidR="009A2496" w:rsidRPr="009A2496" w:rsidRDefault="009A2496" w:rsidP="00A92D87">
            <w:r w:rsidRPr="009A2496">
              <w:t xml:space="preserve">Temas relacionados: </w:t>
            </w:r>
          </w:p>
          <w:p w:rsidR="009A2496" w:rsidRPr="009A2496" w:rsidRDefault="009A2496" w:rsidP="00A92D87"/>
        </w:tc>
      </w:tr>
      <w:tr w:rsidR="009A2496" w:rsidRPr="009A2496" w:rsidTr="00000F81">
        <w:trPr>
          <w:trHeight w:val="458"/>
          <w:jc w:val="center"/>
        </w:trPr>
        <w:tc>
          <w:tcPr>
            <w:cnfStyle w:val="001000000000"/>
            <w:tcW w:w="8828" w:type="dxa"/>
          </w:tcPr>
          <w:p w:rsidR="009A2496" w:rsidRPr="009A2496" w:rsidRDefault="009A2496" w:rsidP="00A92D87">
            <w:r w:rsidRPr="009A2496">
              <w:t>Metodología: Análisis de la información a partir de la cadena de resultados</w:t>
            </w:r>
          </w:p>
        </w:tc>
      </w:tr>
    </w:tbl>
    <w:p w:rsidR="009A2496" w:rsidRPr="009A2496" w:rsidRDefault="009A2496" w:rsidP="00A92D87">
      <w:pPr>
        <w:spacing w:line="240" w:lineRule="auto"/>
      </w:pPr>
    </w:p>
    <w:p w:rsidR="009A2496" w:rsidRPr="009A2496" w:rsidRDefault="009A2496" w:rsidP="006C3CF7">
      <w:pPr>
        <w:spacing w:after="200" w:line="240" w:lineRule="auto"/>
        <w:rPr>
          <w:rFonts w:eastAsia="Calibri" w:cs="Arial"/>
          <w:b/>
          <w:lang w:val="es-ES"/>
        </w:rPr>
      </w:pPr>
      <w:r w:rsidRPr="009A2496">
        <w:rPr>
          <w:rFonts w:eastAsia="Calibri" w:cs="Arial"/>
          <w:b/>
          <w:lang w:val="es-ES"/>
        </w:rPr>
        <w:t>Resultados Pruebas SABER 3°, 5° y 9°</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 xml:space="preserve">Las pruebas SABER son aquellas que permiten medir el nivel de competencias y desempeños que alcanzan los estudiantes en los grados quinto y noveno en el nivel de básica, da cuenta del cumplimiento de los estándares de calidad por grupos de grados en los que se encuentran organizados; para el año 2009 se aplicó prueba de competencias SABER en áreas básicas como matemáticas, lenguaje, ciencias naturales, aplicada  al 100% de los establecimientos educativos oficiales y no oficiales grados quinto y noveno. A partir de año 2012 la aplicación de las  pruebas saber 3,5 y 9 grado se realiza  anualmente, para este año evalúan las competencia de matemáticas, lenguaje, para el grado tercero y matemáticas, lenguaje, ciencias naturales y competencias ciudadanas (pensamiento ciudadano) en los grados quinto y noveno; esta prueba se orientó y aplicó de forma estadística, controlada y censal, arrojando como resultados las siguientes estadísticas: </w:t>
      </w:r>
    </w:p>
    <w:p w:rsidR="009A2496" w:rsidRPr="009A2496" w:rsidRDefault="009A2496" w:rsidP="00DF63E8">
      <w:pPr>
        <w:numPr>
          <w:ilvl w:val="0"/>
          <w:numId w:val="41"/>
        </w:numPr>
        <w:spacing w:after="0" w:line="240" w:lineRule="auto"/>
        <w:contextualSpacing/>
        <w:rPr>
          <w:rFonts w:eastAsia="Times New Roman" w:cs="Times New Roman"/>
          <w:b/>
          <w:lang w:eastAsia="es-CO"/>
        </w:rPr>
      </w:pPr>
      <w:r w:rsidRPr="009A2496">
        <w:rPr>
          <w:rFonts w:eastAsia="Times New Roman" w:cs="Times New Roman"/>
          <w:b/>
          <w:lang w:eastAsia="es-CO"/>
        </w:rPr>
        <w:t>Información estadística</w:t>
      </w:r>
    </w:p>
    <w:p w:rsidR="009A2496" w:rsidRPr="009A2496" w:rsidRDefault="009A2496" w:rsidP="00A92D87">
      <w:pPr>
        <w:spacing w:after="0" w:line="240" w:lineRule="auto"/>
        <w:contextualSpacing/>
        <w:rPr>
          <w:rFonts w:eastAsia="Times New Roman" w:cs="Times New Roman"/>
          <w:b/>
          <w:lang w:eastAsia="es-CO"/>
        </w:rPr>
      </w:pPr>
    </w:p>
    <w:tbl>
      <w:tblPr>
        <w:tblStyle w:val="Tablaconcuadrcula8"/>
        <w:tblW w:w="0" w:type="auto"/>
        <w:tblInd w:w="-431" w:type="dxa"/>
        <w:tblLook w:val="04A0"/>
      </w:tblPr>
      <w:tblGrid>
        <w:gridCol w:w="2196"/>
        <w:gridCol w:w="1765"/>
        <w:gridCol w:w="1766"/>
        <w:gridCol w:w="1766"/>
        <w:gridCol w:w="1766"/>
      </w:tblGrid>
      <w:tr w:rsidR="009A2496" w:rsidRPr="009A2496" w:rsidTr="00000F81">
        <w:tc>
          <w:tcPr>
            <w:tcW w:w="2196" w:type="dxa"/>
          </w:tcPr>
          <w:p w:rsidR="009A2496" w:rsidRPr="009A2496" w:rsidRDefault="009A2496" w:rsidP="00A92D87">
            <w:pPr>
              <w:jc w:val="center"/>
              <w:rPr>
                <w:b/>
              </w:rPr>
            </w:pPr>
            <w:r w:rsidRPr="009A2496">
              <w:rPr>
                <w:b/>
              </w:rPr>
              <w:t>Indicador</w:t>
            </w:r>
          </w:p>
        </w:tc>
        <w:tc>
          <w:tcPr>
            <w:tcW w:w="1765" w:type="dxa"/>
          </w:tcPr>
          <w:p w:rsidR="009A2496" w:rsidRPr="009A2496" w:rsidRDefault="009A2496" w:rsidP="00A92D87">
            <w:pPr>
              <w:jc w:val="center"/>
              <w:rPr>
                <w:b/>
              </w:rPr>
            </w:pPr>
            <w:r w:rsidRPr="009A2496">
              <w:rPr>
                <w:b/>
              </w:rPr>
              <w:t>2009</w:t>
            </w:r>
          </w:p>
        </w:tc>
        <w:tc>
          <w:tcPr>
            <w:tcW w:w="1766" w:type="dxa"/>
          </w:tcPr>
          <w:p w:rsidR="009A2496" w:rsidRPr="009A2496" w:rsidRDefault="009A2496" w:rsidP="00A92D87">
            <w:pPr>
              <w:jc w:val="center"/>
              <w:rPr>
                <w:b/>
              </w:rPr>
            </w:pPr>
            <w:r w:rsidRPr="009A2496">
              <w:rPr>
                <w:b/>
              </w:rPr>
              <w:t>2012</w:t>
            </w:r>
          </w:p>
        </w:tc>
        <w:tc>
          <w:tcPr>
            <w:tcW w:w="1766" w:type="dxa"/>
          </w:tcPr>
          <w:p w:rsidR="009A2496" w:rsidRPr="009A2496" w:rsidRDefault="009A2496" w:rsidP="00A92D87">
            <w:pPr>
              <w:jc w:val="center"/>
              <w:rPr>
                <w:b/>
              </w:rPr>
            </w:pPr>
            <w:r w:rsidRPr="009A2496">
              <w:rPr>
                <w:b/>
              </w:rPr>
              <w:t>2013</w:t>
            </w:r>
          </w:p>
        </w:tc>
        <w:tc>
          <w:tcPr>
            <w:tcW w:w="1766" w:type="dxa"/>
          </w:tcPr>
          <w:p w:rsidR="009A2496" w:rsidRPr="009A2496" w:rsidRDefault="009A2496" w:rsidP="00A92D87">
            <w:pPr>
              <w:jc w:val="center"/>
              <w:rPr>
                <w:b/>
              </w:rPr>
            </w:pPr>
            <w:r w:rsidRPr="009A2496">
              <w:rPr>
                <w:b/>
              </w:rPr>
              <w:t>2014</w:t>
            </w:r>
          </w:p>
        </w:tc>
      </w:tr>
      <w:tr w:rsidR="009A2496" w:rsidRPr="009A2496" w:rsidTr="00000F81">
        <w:tc>
          <w:tcPr>
            <w:tcW w:w="2196" w:type="dxa"/>
          </w:tcPr>
          <w:p w:rsidR="009A2496" w:rsidRPr="009A2496" w:rsidRDefault="009A2496" w:rsidP="00A92D87">
            <w:r w:rsidRPr="009A2496">
              <w:t xml:space="preserve"> Niveles de desempeño en las pruebas SABER grado 5°, Lenguaje </w:t>
            </w:r>
          </w:p>
        </w:tc>
        <w:tc>
          <w:tcPr>
            <w:tcW w:w="1765" w:type="dxa"/>
          </w:tcPr>
          <w:p w:rsidR="009A2496" w:rsidRPr="009A2496" w:rsidRDefault="009A2496" w:rsidP="00A92D87"/>
        </w:tc>
        <w:tc>
          <w:tcPr>
            <w:tcW w:w="1766" w:type="dxa"/>
          </w:tcPr>
          <w:p w:rsidR="009A2496" w:rsidRPr="009A2496" w:rsidRDefault="009A2496" w:rsidP="00A92D87"/>
        </w:tc>
        <w:tc>
          <w:tcPr>
            <w:tcW w:w="1766" w:type="dxa"/>
          </w:tcPr>
          <w:p w:rsidR="009A2496" w:rsidRPr="009A2496" w:rsidRDefault="009A2496" w:rsidP="00A92D87"/>
        </w:tc>
        <w:tc>
          <w:tcPr>
            <w:tcW w:w="1766" w:type="dxa"/>
          </w:tcPr>
          <w:p w:rsidR="009A2496" w:rsidRPr="009A2496" w:rsidRDefault="009A2496" w:rsidP="00A92D87"/>
        </w:tc>
      </w:tr>
      <w:tr w:rsidR="009A2496" w:rsidRPr="009A2496" w:rsidTr="00000F81">
        <w:trPr>
          <w:trHeight w:val="166"/>
        </w:trPr>
        <w:tc>
          <w:tcPr>
            <w:tcW w:w="2196" w:type="dxa"/>
          </w:tcPr>
          <w:p w:rsidR="009A2496" w:rsidRPr="009A2496" w:rsidRDefault="009A2496" w:rsidP="00A92D87">
            <w:r w:rsidRPr="009A2496">
              <w:t>Avanzado</w:t>
            </w:r>
          </w:p>
        </w:tc>
        <w:tc>
          <w:tcPr>
            <w:tcW w:w="1765" w:type="dxa"/>
          </w:tcPr>
          <w:p w:rsidR="009A2496" w:rsidRPr="009A2496" w:rsidRDefault="009A2496" w:rsidP="00A92D87">
            <w:r w:rsidRPr="009A2496">
              <w:t>7%</w:t>
            </w:r>
            <w:r w:rsidRPr="009A2496">
              <w:tab/>
            </w:r>
          </w:p>
        </w:tc>
        <w:tc>
          <w:tcPr>
            <w:tcW w:w="1766" w:type="dxa"/>
          </w:tcPr>
          <w:p w:rsidR="009A2496" w:rsidRPr="009A2496" w:rsidRDefault="009A2496" w:rsidP="00A92D87">
            <w:r w:rsidRPr="009A2496">
              <w:t>21%</w:t>
            </w:r>
          </w:p>
        </w:tc>
        <w:tc>
          <w:tcPr>
            <w:tcW w:w="1766" w:type="dxa"/>
          </w:tcPr>
          <w:p w:rsidR="009A2496" w:rsidRPr="009A2496" w:rsidRDefault="009A2496" w:rsidP="00A92D87">
            <w:r w:rsidRPr="009A2496">
              <w:t>20%</w:t>
            </w:r>
          </w:p>
        </w:tc>
        <w:tc>
          <w:tcPr>
            <w:tcW w:w="1766" w:type="dxa"/>
          </w:tcPr>
          <w:p w:rsidR="009A2496" w:rsidRPr="009A2496" w:rsidRDefault="009A2496" w:rsidP="00A92D87">
            <w:r w:rsidRPr="009A2496">
              <w:t>20%</w:t>
            </w:r>
          </w:p>
        </w:tc>
      </w:tr>
      <w:tr w:rsidR="009A2496" w:rsidRPr="009A2496" w:rsidTr="00000F81">
        <w:tc>
          <w:tcPr>
            <w:tcW w:w="2196" w:type="dxa"/>
          </w:tcPr>
          <w:p w:rsidR="009A2496" w:rsidRPr="009A2496" w:rsidRDefault="009A2496" w:rsidP="00A92D87">
            <w:r w:rsidRPr="009A2496">
              <w:t>Satisfactoria</w:t>
            </w:r>
          </w:p>
        </w:tc>
        <w:tc>
          <w:tcPr>
            <w:tcW w:w="1765" w:type="dxa"/>
          </w:tcPr>
          <w:p w:rsidR="009A2496" w:rsidRPr="009A2496" w:rsidRDefault="009A2496" w:rsidP="00A92D87">
            <w:r w:rsidRPr="009A2496">
              <w:t>30%</w:t>
            </w:r>
          </w:p>
        </w:tc>
        <w:tc>
          <w:tcPr>
            <w:tcW w:w="1766" w:type="dxa"/>
          </w:tcPr>
          <w:p w:rsidR="009A2496" w:rsidRPr="009A2496" w:rsidRDefault="009A2496" w:rsidP="00A92D87">
            <w:r w:rsidRPr="009A2496">
              <w:t>39%</w:t>
            </w:r>
          </w:p>
        </w:tc>
        <w:tc>
          <w:tcPr>
            <w:tcW w:w="1766" w:type="dxa"/>
          </w:tcPr>
          <w:p w:rsidR="009A2496" w:rsidRPr="009A2496" w:rsidRDefault="009A2496" w:rsidP="00A92D87">
            <w:r w:rsidRPr="009A2496">
              <w:t>38%</w:t>
            </w:r>
          </w:p>
        </w:tc>
        <w:tc>
          <w:tcPr>
            <w:tcW w:w="1766" w:type="dxa"/>
          </w:tcPr>
          <w:p w:rsidR="009A2496" w:rsidRPr="009A2496" w:rsidRDefault="009A2496" w:rsidP="00A92D87">
            <w:r w:rsidRPr="009A2496">
              <w:t>37%</w:t>
            </w:r>
          </w:p>
        </w:tc>
      </w:tr>
      <w:tr w:rsidR="009A2496" w:rsidRPr="009A2496" w:rsidTr="00000F81">
        <w:tc>
          <w:tcPr>
            <w:tcW w:w="2196" w:type="dxa"/>
          </w:tcPr>
          <w:p w:rsidR="009A2496" w:rsidRPr="009A2496" w:rsidRDefault="009A2496" w:rsidP="00A92D87">
            <w:r w:rsidRPr="009A2496">
              <w:t>Mínimo</w:t>
            </w:r>
          </w:p>
        </w:tc>
        <w:tc>
          <w:tcPr>
            <w:tcW w:w="1765" w:type="dxa"/>
          </w:tcPr>
          <w:p w:rsidR="009A2496" w:rsidRPr="009A2496" w:rsidRDefault="009A2496" w:rsidP="00A92D87">
            <w:r w:rsidRPr="009A2496">
              <w:t>49%</w:t>
            </w:r>
          </w:p>
        </w:tc>
        <w:tc>
          <w:tcPr>
            <w:tcW w:w="1766" w:type="dxa"/>
          </w:tcPr>
          <w:p w:rsidR="009A2496" w:rsidRPr="009A2496" w:rsidRDefault="009A2496" w:rsidP="00A92D87">
            <w:r w:rsidRPr="009A2496">
              <w:t>34%</w:t>
            </w:r>
          </w:p>
        </w:tc>
        <w:tc>
          <w:tcPr>
            <w:tcW w:w="1766" w:type="dxa"/>
          </w:tcPr>
          <w:p w:rsidR="009A2496" w:rsidRPr="009A2496" w:rsidRDefault="009A2496" w:rsidP="00A92D87">
            <w:r w:rsidRPr="009A2496">
              <w:t>34%</w:t>
            </w:r>
          </w:p>
        </w:tc>
        <w:tc>
          <w:tcPr>
            <w:tcW w:w="1766" w:type="dxa"/>
          </w:tcPr>
          <w:p w:rsidR="009A2496" w:rsidRPr="009A2496" w:rsidRDefault="009A2496" w:rsidP="00A92D87">
            <w:r w:rsidRPr="009A2496">
              <w:t>35%</w:t>
            </w:r>
          </w:p>
        </w:tc>
      </w:tr>
      <w:tr w:rsidR="009A2496" w:rsidRPr="009A2496" w:rsidTr="00000F81">
        <w:tc>
          <w:tcPr>
            <w:tcW w:w="2196" w:type="dxa"/>
          </w:tcPr>
          <w:p w:rsidR="009A2496" w:rsidRPr="009A2496" w:rsidRDefault="009A2496" w:rsidP="00A92D87">
            <w:r w:rsidRPr="009A2496">
              <w:t>Insuficiente</w:t>
            </w:r>
          </w:p>
        </w:tc>
        <w:tc>
          <w:tcPr>
            <w:tcW w:w="1765" w:type="dxa"/>
          </w:tcPr>
          <w:p w:rsidR="009A2496" w:rsidRPr="009A2496" w:rsidRDefault="009A2496" w:rsidP="00A92D87">
            <w:r w:rsidRPr="009A2496">
              <w:t>16%</w:t>
            </w:r>
          </w:p>
        </w:tc>
        <w:tc>
          <w:tcPr>
            <w:tcW w:w="1766" w:type="dxa"/>
          </w:tcPr>
          <w:p w:rsidR="009A2496" w:rsidRPr="009A2496" w:rsidRDefault="009A2496" w:rsidP="00A92D87">
            <w:r w:rsidRPr="009A2496">
              <w:t>6%</w:t>
            </w:r>
          </w:p>
        </w:tc>
        <w:tc>
          <w:tcPr>
            <w:tcW w:w="1766" w:type="dxa"/>
          </w:tcPr>
          <w:p w:rsidR="009A2496" w:rsidRPr="009A2496" w:rsidRDefault="009A2496" w:rsidP="00A92D87">
            <w:r w:rsidRPr="009A2496">
              <w:t>8%</w:t>
            </w:r>
          </w:p>
        </w:tc>
        <w:tc>
          <w:tcPr>
            <w:tcW w:w="1766" w:type="dxa"/>
          </w:tcPr>
          <w:p w:rsidR="009A2496" w:rsidRPr="009A2496" w:rsidRDefault="009A2496" w:rsidP="00A92D87">
            <w:r w:rsidRPr="009A2496">
              <w:t>8%</w:t>
            </w:r>
          </w:p>
        </w:tc>
      </w:tr>
      <w:tr w:rsidR="009A2496" w:rsidRPr="009A2496" w:rsidTr="00000F81">
        <w:tc>
          <w:tcPr>
            <w:tcW w:w="2196" w:type="dxa"/>
          </w:tcPr>
          <w:p w:rsidR="009A2496" w:rsidRPr="009A2496" w:rsidRDefault="009A2496" w:rsidP="00A92D87">
            <w:r w:rsidRPr="009A2496">
              <w:t xml:space="preserve">Niveles de desempeño en las pruebas SABER grado 5°, Matemáticas, </w:t>
            </w:r>
          </w:p>
        </w:tc>
        <w:tc>
          <w:tcPr>
            <w:tcW w:w="1765" w:type="dxa"/>
          </w:tcPr>
          <w:p w:rsidR="009A2496" w:rsidRPr="009A2496" w:rsidRDefault="009A2496" w:rsidP="00A92D87"/>
        </w:tc>
        <w:tc>
          <w:tcPr>
            <w:tcW w:w="1766" w:type="dxa"/>
          </w:tcPr>
          <w:p w:rsidR="009A2496" w:rsidRPr="009A2496" w:rsidRDefault="009A2496" w:rsidP="00A92D87"/>
        </w:tc>
        <w:tc>
          <w:tcPr>
            <w:tcW w:w="1766" w:type="dxa"/>
          </w:tcPr>
          <w:p w:rsidR="009A2496" w:rsidRPr="009A2496" w:rsidRDefault="009A2496" w:rsidP="00A92D87"/>
        </w:tc>
        <w:tc>
          <w:tcPr>
            <w:tcW w:w="1766" w:type="dxa"/>
          </w:tcPr>
          <w:p w:rsidR="009A2496" w:rsidRPr="009A2496" w:rsidRDefault="009A2496" w:rsidP="00A92D87"/>
        </w:tc>
      </w:tr>
      <w:tr w:rsidR="009A2496" w:rsidRPr="009A2496" w:rsidTr="00000F81">
        <w:tc>
          <w:tcPr>
            <w:tcW w:w="2196" w:type="dxa"/>
          </w:tcPr>
          <w:p w:rsidR="009A2496" w:rsidRPr="009A2496" w:rsidRDefault="009A2496" w:rsidP="00A92D87">
            <w:r w:rsidRPr="009A2496">
              <w:t>Avanzado</w:t>
            </w:r>
          </w:p>
        </w:tc>
        <w:tc>
          <w:tcPr>
            <w:tcW w:w="1765" w:type="dxa"/>
          </w:tcPr>
          <w:p w:rsidR="009A2496" w:rsidRPr="009A2496" w:rsidRDefault="009A2496" w:rsidP="00A92D87">
            <w:r w:rsidRPr="009A2496">
              <w:t>9%</w:t>
            </w:r>
            <w:r w:rsidRPr="009A2496">
              <w:tab/>
            </w:r>
          </w:p>
        </w:tc>
        <w:tc>
          <w:tcPr>
            <w:tcW w:w="1766" w:type="dxa"/>
          </w:tcPr>
          <w:p w:rsidR="009A2496" w:rsidRPr="009A2496" w:rsidRDefault="009A2496" w:rsidP="00A92D87">
            <w:r w:rsidRPr="009A2496">
              <w:t>17%</w:t>
            </w:r>
          </w:p>
        </w:tc>
        <w:tc>
          <w:tcPr>
            <w:tcW w:w="1766" w:type="dxa"/>
          </w:tcPr>
          <w:p w:rsidR="009A2496" w:rsidRPr="009A2496" w:rsidRDefault="009A2496" w:rsidP="00A92D87">
            <w:r w:rsidRPr="009A2496">
              <w:t>19%</w:t>
            </w:r>
          </w:p>
        </w:tc>
        <w:tc>
          <w:tcPr>
            <w:tcW w:w="1766" w:type="dxa"/>
          </w:tcPr>
          <w:p w:rsidR="009A2496" w:rsidRPr="009A2496" w:rsidRDefault="009A2496" w:rsidP="00A92D87">
            <w:r w:rsidRPr="009A2496">
              <w:t>18%</w:t>
            </w:r>
          </w:p>
        </w:tc>
      </w:tr>
      <w:tr w:rsidR="009A2496" w:rsidRPr="009A2496" w:rsidTr="00000F81">
        <w:tc>
          <w:tcPr>
            <w:tcW w:w="2196" w:type="dxa"/>
          </w:tcPr>
          <w:p w:rsidR="009A2496" w:rsidRPr="009A2496" w:rsidRDefault="009A2496" w:rsidP="00A92D87">
            <w:r w:rsidRPr="009A2496">
              <w:t>Satisfactorio</w:t>
            </w:r>
          </w:p>
        </w:tc>
        <w:tc>
          <w:tcPr>
            <w:tcW w:w="1765" w:type="dxa"/>
          </w:tcPr>
          <w:p w:rsidR="009A2496" w:rsidRPr="009A2496" w:rsidRDefault="009A2496" w:rsidP="00A92D87">
            <w:r w:rsidRPr="009A2496">
              <w:t>21%</w:t>
            </w:r>
          </w:p>
        </w:tc>
        <w:tc>
          <w:tcPr>
            <w:tcW w:w="1766" w:type="dxa"/>
          </w:tcPr>
          <w:p w:rsidR="009A2496" w:rsidRPr="009A2496" w:rsidRDefault="009A2496" w:rsidP="00A92D87">
            <w:r w:rsidRPr="009A2496">
              <w:t>28%</w:t>
            </w:r>
          </w:p>
        </w:tc>
        <w:tc>
          <w:tcPr>
            <w:tcW w:w="1766" w:type="dxa"/>
          </w:tcPr>
          <w:p w:rsidR="009A2496" w:rsidRPr="009A2496" w:rsidRDefault="009A2496" w:rsidP="00A92D87">
            <w:r w:rsidRPr="009A2496">
              <w:t>28%</w:t>
            </w:r>
          </w:p>
        </w:tc>
        <w:tc>
          <w:tcPr>
            <w:tcW w:w="1766" w:type="dxa"/>
          </w:tcPr>
          <w:p w:rsidR="009A2496" w:rsidRPr="009A2496" w:rsidRDefault="009A2496" w:rsidP="00A92D87">
            <w:r w:rsidRPr="009A2496">
              <w:t>25%</w:t>
            </w:r>
          </w:p>
        </w:tc>
      </w:tr>
      <w:tr w:rsidR="009A2496" w:rsidRPr="009A2496" w:rsidTr="00000F81">
        <w:tc>
          <w:tcPr>
            <w:tcW w:w="2196" w:type="dxa"/>
          </w:tcPr>
          <w:p w:rsidR="009A2496" w:rsidRPr="009A2496" w:rsidRDefault="009A2496" w:rsidP="00A92D87">
            <w:r w:rsidRPr="009A2496">
              <w:t>Mínimo</w:t>
            </w:r>
          </w:p>
        </w:tc>
        <w:tc>
          <w:tcPr>
            <w:tcW w:w="1765" w:type="dxa"/>
          </w:tcPr>
          <w:p w:rsidR="009A2496" w:rsidRPr="009A2496" w:rsidRDefault="009A2496" w:rsidP="00A92D87">
            <w:r w:rsidRPr="009A2496">
              <w:t>38%</w:t>
            </w:r>
          </w:p>
        </w:tc>
        <w:tc>
          <w:tcPr>
            <w:tcW w:w="1766" w:type="dxa"/>
          </w:tcPr>
          <w:p w:rsidR="009A2496" w:rsidRPr="009A2496" w:rsidRDefault="009A2496" w:rsidP="00A92D87">
            <w:r w:rsidRPr="009A2496">
              <w:t>33%</w:t>
            </w:r>
          </w:p>
        </w:tc>
        <w:tc>
          <w:tcPr>
            <w:tcW w:w="1766" w:type="dxa"/>
          </w:tcPr>
          <w:p w:rsidR="009A2496" w:rsidRPr="009A2496" w:rsidRDefault="009A2496" w:rsidP="00A92D87">
            <w:r w:rsidRPr="009A2496">
              <w:t>32%</w:t>
            </w:r>
          </w:p>
        </w:tc>
        <w:tc>
          <w:tcPr>
            <w:tcW w:w="1766" w:type="dxa"/>
          </w:tcPr>
          <w:p w:rsidR="009A2496" w:rsidRPr="009A2496" w:rsidRDefault="009A2496" w:rsidP="00A92D87">
            <w:r w:rsidRPr="009A2496">
              <w:t>31%</w:t>
            </w:r>
          </w:p>
        </w:tc>
      </w:tr>
      <w:tr w:rsidR="009A2496" w:rsidRPr="009A2496" w:rsidTr="00000F81">
        <w:tc>
          <w:tcPr>
            <w:tcW w:w="2196" w:type="dxa"/>
          </w:tcPr>
          <w:p w:rsidR="009A2496" w:rsidRPr="009A2496" w:rsidRDefault="009A2496" w:rsidP="00A92D87">
            <w:r w:rsidRPr="009A2496">
              <w:t>Insuficiente</w:t>
            </w:r>
          </w:p>
        </w:tc>
        <w:tc>
          <w:tcPr>
            <w:tcW w:w="1765" w:type="dxa"/>
          </w:tcPr>
          <w:p w:rsidR="009A2496" w:rsidRPr="009A2496" w:rsidRDefault="009A2496" w:rsidP="00A92D87">
            <w:r w:rsidRPr="009A2496">
              <w:t>33%</w:t>
            </w:r>
          </w:p>
        </w:tc>
        <w:tc>
          <w:tcPr>
            <w:tcW w:w="1766" w:type="dxa"/>
          </w:tcPr>
          <w:p w:rsidR="009A2496" w:rsidRPr="009A2496" w:rsidRDefault="009A2496" w:rsidP="00A92D87">
            <w:r w:rsidRPr="009A2496">
              <w:t>22%</w:t>
            </w:r>
          </w:p>
        </w:tc>
        <w:tc>
          <w:tcPr>
            <w:tcW w:w="1766" w:type="dxa"/>
          </w:tcPr>
          <w:p w:rsidR="009A2496" w:rsidRPr="009A2496" w:rsidRDefault="009A2496" w:rsidP="00A92D87">
            <w:r w:rsidRPr="009A2496">
              <w:t>22%</w:t>
            </w:r>
          </w:p>
        </w:tc>
        <w:tc>
          <w:tcPr>
            <w:tcW w:w="1766" w:type="dxa"/>
          </w:tcPr>
          <w:p w:rsidR="009A2496" w:rsidRPr="009A2496" w:rsidRDefault="009A2496" w:rsidP="00A92D87">
            <w:r w:rsidRPr="009A2496">
              <w:t>26%</w:t>
            </w:r>
          </w:p>
        </w:tc>
      </w:tr>
      <w:tr w:rsidR="009A2496" w:rsidRPr="009A2496" w:rsidTr="00000F81">
        <w:trPr>
          <w:trHeight w:val="1150"/>
        </w:trPr>
        <w:tc>
          <w:tcPr>
            <w:tcW w:w="2196" w:type="dxa"/>
          </w:tcPr>
          <w:p w:rsidR="009A2496" w:rsidRPr="009A2496" w:rsidRDefault="009A2496" w:rsidP="00A92D87">
            <w:r w:rsidRPr="009A2496">
              <w:lastRenderedPageBreak/>
              <w:t>Niveles de desempeño en las pruebas SABER grado 5°, Ciencias Naturales</w:t>
            </w:r>
          </w:p>
        </w:tc>
        <w:tc>
          <w:tcPr>
            <w:tcW w:w="1765" w:type="dxa"/>
          </w:tcPr>
          <w:p w:rsidR="009A2496" w:rsidRPr="009A2496" w:rsidRDefault="009A2496" w:rsidP="00A92D87">
            <w:pPr>
              <w:jc w:val="center"/>
              <w:rPr>
                <w:b/>
              </w:rPr>
            </w:pPr>
          </w:p>
        </w:tc>
        <w:tc>
          <w:tcPr>
            <w:tcW w:w="1766" w:type="dxa"/>
          </w:tcPr>
          <w:p w:rsidR="009A2496" w:rsidRPr="009A2496" w:rsidRDefault="009A2496" w:rsidP="00A92D87">
            <w:pPr>
              <w:jc w:val="center"/>
              <w:rPr>
                <w:b/>
              </w:rPr>
            </w:pPr>
          </w:p>
        </w:tc>
        <w:tc>
          <w:tcPr>
            <w:tcW w:w="1766" w:type="dxa"/>
          </w:tcPr>
          <w:p w:rsidR="009A2496" w:rsidRPr="009A2496" w:rsidRDefault="009A2496" w:rsidP="00A92D87">
            <w:pPr>
              <w:jc w:val="center"/>
              <w:rPr>
                <w:b/>
              </w:rPr>
            </w:pPr>
          </w:p>
        </w:tc>
        <w:tc>
          <w:tcPr>
            <w:tcW w:w="1766" w:type="dxa"/>
          </w:tcPr>
          <w:p w:rsidR="009A2496" w:rsidRPr="009A2496" w:rsidRDefault="009A2496" w:rsidP="00A92D87">
            <w:pPr>
              <w:jc w:val="center"/>
              <w:rPr>
                <w:b/>
              </w:rPr>
            </w:pPr>
          </w:p>
        </w:tc>
      </w:tr>
      <w:tr w:rsidR="009A2496" w:rsidRPr="009A2496" w:rsidTr="00000F81">
        <w:tc>
          <w:tcPr>
            <w:tcW w:w="2196" w:type="dxa"/>
          </w:tcPr>
          <w:p w:rsidR="009A2496" w:rsidRPr="009A2496" w:rsidRDefault="009A2496" w:rsidP="00A92D87">
            <w:r w:rsidRPr="009A2496">
              <w:t>Avanzado</w:t>
            </w:r>
          </w:p>
        </w:tc>
        <w:tc>
          <w:tcPr>
            <w:tcW w:w="1765" w:type="dxa"/>
          </w:tcPr>
          <w:p w:rsidR="009A2496" w:rsidRPr="009A2496" w:rsidRDefault="009A2496" w:rsidP="00A92D87">
            <w:r w:rsidRPr="009A2496">
              <w:t>6%</w:t>
            </w:r>
            <w:r w:rsidRPr="009A2496">
              <w:tab/>
            </w:r>
          </w:p>
        </w:tc>
        <w:tc>
          <w:tcPr>
            <w:tcW w:w="1766" w:type="dxa"/>
          </w:tcPr>
          <w:p w:rsidR="009A2496" w:rsidRPr="009A2496" w:rsidRDefault="009A2496" w:rsidP="00A92D87">
            <w:r w:rsidRPr="009A2496">
              <w:t>17%</w:t>
            </w:r>
          </w:p>
        </w:tc>
        <w:tc>
          <w:tcPr>
            <w:tcW w:w="1766" w:type="dxa"/>
          </w:tcPr>
          <w:p w:rsidR="009A2496" w:rsidRPr="009A2496" w:rsidRDefault="009A2496" w:rsidP="00A92D87">
            <w:r w:rsidRPr="009A2496">
              <w:t>N.A.</w:t>
            </w:r>
          </w:p>
        </w:tc>
        <w:tc>
          <w:tcPr>
            <w:tcW w:w="1766" w:type="dxa"/>
          </w:tcPr>
          <w:p w:rsidR="009A2496" w:rsidRPr="009A2496" w:rsidRDefault="009A2496" w:rsidP="00A92D87">
            <w:r w:rsidRPr="009A2496">
              <w:t>18%</w:t>
            </w:r>
          </w:p>
        </w:tc>
      </w:tr>
      <w:tr w:rsidR="009A2496" w:rsidRPr="009A2496" w:rsidTr="00000F81">
        <w:tc>
          <w:tcPr>
            <w:tcW w:w="2196" w:type="dxa"/>
          </w:tcPr>
          <w:p w:rsidR="009A2496" w:rsidRPr="009A2496" w:rsidRDefault="009A2496" w:rsidP="00A92D87">
            <w:r w:rsidRPr="009A2496">
              <w:t>Satisfactorio</w:t>
            </w:r>
          </w:p>
        </w:tc>
        <w:tc>
          <w:tcPr>
            <w:tcW w:w="1765" w:type="dxa"/>
          </w:tcPr>
          <w:p w:rsidR="009A2496" w:rsidRPr="009A2496" w:rsidRDefault="009A2496" w:rsidP="00A92D87">
            <w:r w:rsidRPr="009A2496">
              <w:t>10%</w:t>
            </w:r>
          </w:p>
        </w:tc>
        <w:tc>
          <w:tcPr>
            <w:tcW w:w="1766" w:type="dxa"/>
          </w:tcPr>
          <w:p w:rsidR="009A2496" w:rsidRPr="009A2496" w:rsidRDefault="009A2496" w:rsidP="00A92D87">
            <w:r w:rsidRPr="009A2496">
              <w:t>30%</w:t>
            </w:r>
          </w:p>
        </w:tc>
        <w:tc>
          <w:tcPr>
            <w:tcW w:w="1766" w:type="dxa"/>
          </w:tcPr>
          <w:p w:rsidR="009A2496" w:rsidRPr="009A2496" w:rsidRDefault="009A2496" w:rsidP="00A92D87">
            <w:r w:rsidRPr="009A2496">
              <w:t>N.A.</w:t>
            </w:r>
          </w:p>
        </w:tc>
        <w:tc>
          <w:tcPr>
            <w:tcW w:w="1766" w:type="dxa"/>
          </w:tcPr>
          <w:p w:rsidR="009A2496" w:rsidRPr="009A2496" w:rsidRDefault="009A2496" w:rsidP="00A92D87">
            <w:r w:rsidRPr="009A2496">
              <w:t>29%</w:t>
            </w:r>
          </w:p>
        </w:tc>
      </w:tr>
      <w:tr w:rsidR="009A2496" w:rsidRPr="009A2496" w:rsidTr="00000F81">
        <w:tc>
          <w:tcPr>
            <w:tcW w:w="2196" w:type="dxa"/>
          </w:tcPr>
          <w:p w:rsidR="009A2496" w:rsidRPr="009A2496" w:rsidRDefault="009A2496" w:rsidP="00A92D87">
            <w:r w:rsidRPr="009A2496">
              <w:t>Mínimo</w:t>
            </w:r>
          </w:p>
        </w:tc>
        <w:tc>
          <w:tcPr>
            <w:tcW w:w="1765" w:type="dxa"/>
          </w:tcPr>
          <w:p w:rsidR="009A2496" w:rsidRPr="009A2496" w:rsidRDefault="009A2496" w:rsidP="00A92D87">
            <w:r w:rsidRPr="009A2496">
              <w:t>33%</w:t>
            </w:r>
          </w:p>
        </w:tc>
        <w:tc>
          <w:tcPr>
            <w:tcW w:w="1766" w:type="dxa"/>
          </w:tcPr>
          <w:p w:rsidR="009A2496" w:rsidRPr="009A2496" w:rsidRDefault="009A2496" w:rsidP="00A92D87">
            <w:r w:rsidRPr="009A2496">
              <w:t>44%</w:t>
            </w:r>
          </w:p>
        </w:tc>
        <w:tc>
          <w:tcPr>
            <w:tcW w:w="1766" w:type="dxa"/>
          </w:tcPr>
          <w:p w:rsidR="009A2496" w:rsidRPr="009A2496" w:rsidRDefault="009A2496" w:rsidP="00A92D87">
            <w:r w:rsidRPr="009A2496">
              <w:t>N.A.</w:t>
            </w:r>
          </w:p>
        </w:tc>
        <w:tc>
          <w:tcPr>
            <w:tcW w:w="1766" w:type="dxa"/>
          </w:tcPr>
          <w:p w:rsidR="009A2496" w:rsidRPr="009A2496" w:rsidRDefault="009A2496" w:rsidP="00A92D87">
            <w:r w:rsidRPr="009A2496">
              <w:t>47%</w:t>
            </w:r>
          </w:p>
        </w:tc>
      </w:tr>
      <w:tr w:rsidR="009A2496" w:rsidRPr="009A2496" w:rsidTr="00000F81">
        <w:tc>
          <w:tcPr>
            <w:tcW w:w="2196" w:type="dxa"/>
          </w:tcPr>
          <w:p w:rsidR="009A2496" w:rsidRPr="009A2496" w:rsidRDefault="009A2496" w:rsidP="00A92D87">
            <w:r w:rsidRPr="009A2496">
              <w:t>Insuficiente</w:t>
            </w:r>
          </w:p>
        </w:tc>
        <w:tc>
          <w:tcPr>
            <w:tcW w:w="1765" w:type="dxa"/>
          </w:tcPr>
          <w:p w:rsidR="009A2496" w:rsidRPr="009A2496" w:rsidRDefault="009A2496" w:rsidP="00A92D87">
            <w:r w:rsidRPr="009A2496">
              <w:t>40%</w:t>
            </w:r>
          </w:p>
        </w:tc>
        <w:tc>
          <w:tcPr>
            <w:tcW w:w="1766" w:type="dxa"/>
          </w:tcPr>
          <w:p w:rsidR="009A2496" w:rsidRPr="009A2496" w:rsidRDefault="009A2496" w:rsidP="00A92D87">
            <w:r w:rsidRPr="009A2496">
              <w:t>9%</w:t>
            </w:r>
          </w:p>
        </w:tc>
        <w:tc>
          <w:tcPr>
            <w:tcW w:w="1766" w:type="dxa"/>
          </w:tcPr>
          <w:p w:rsidR="009A2496" w:rsidRPr="009A2496" w:rsidRDefault="009A2496" w:rsidP="00A92D87">
            <w:r w:rsidRPr="009A2496">
              <w:t>N.A.</w:t>
            </w:r>
          </w:p>
        </w:tc>
        <w:tc>
          <w:tcPr>
            <w:tcW w:w="1766" w:type="dxa"/>
          </w:tcPr>
          <w:p w:rsidR="009A2496" w:rsidRPr="009A2496" w:rsidRDefault="009A2496" w:rsidP="00A92D87">
            <w:r w:rsidRPr="009A2496">
              <w:t>6%</w:t>
            </w:r>
          </w:p>
        </w:tc>
      </w:tr>
      <w:tr w:rsidR="009A2496" w:rsidRPr="009A2496" w:rsidTr="00000F81">
        <w:tc>
          <w:tcPr>
            <w:tcW w:w="2196" w:type="dxa"/>
          </w:tcPr>
          <w:p w:rsidR="009A2496" w:rsidRPr="009A2496" w:rsidRDefault="009A2496" w:rsidP="00A92D87">
            <w:r w:rsidRPr="009A2496">
              <w:t>Niveles de desempeño en las pruebas SABER grado 5°, Pensamiento Ciudadano</w:t>
            </w:r>
          </w:p>
        </w:tc>
        <w:tc>
          <w:tcPr>
            <w:tcW w:w="1765" w:type="dxa"/>
          </w:tcPr>
          <w:p w:rsidR="009A2496" w:rsidRPr="009A2496" w:rsidRDefault="009A2496" w:rsidP="00A92D87"/>
        </w:tc>
        <w:tc>
          <w:tcPr>
            <w:tcW w:w="1766" w:type="dxa"/>
          </w:tcPr>
          <w:p w:rsidR="009A2496" w:rsidRPr="009A2496" w:rsidRDefault="009A2496" w:rsidP="00A92D87"/>
        </w:tc>
        <w:tc>
          <w:tcPr>
            <w:tcW w:w="1766" w:type="dxa"/>
          </w:tcPr>
          <w:p w:rsidR="009A2496" w:rsidRPr="009A2496" w:rsidRDefault="009A2496" w:rsidP="00A92D87"/>
        </w:tc>
        <w:tc>
          <w:tcPr>
            <w:tcW w:w="1766" w:type="dxa"/>
          </w:tcPr>
          <w:p w:rsidR="009A2496" w:rsidRPr="009A2496" w:rsidRDefault="009A2496" w:rsidP="00A92D87"/>
        </w:tc>
      </w:tr>
      <w:tr w:rsidR="009A2496" w:rsidRPr="009A2496" w:rsidTr="00000F81">
        <w:tc>
          <w:tcPr>
            <w:tcW w:w="2196" w:type="dxa"/>
          </w:tcPr>
          <w:p w:rsidR="009A2496" w:rsidRPr="009A2496" w:rsidRDefault="009A2496" w:rsidP="00A92D87">
            <w:r w:rsidRPr="009A2496">
              <w:t>Avanzado</w:t>
            </w:r>
          </w:p>
        </w:tc>
        <w:tc>
          <w:tcPr>
            <w:tcW w:w="1765" w:type="dxa"/>
          </w:tcPr>
          <w:p w:rsidR="009A2496" w:rsidRPr="009A2496" w:rsidRDefault="009A2496" w:rsidP="00A92D87">
            <w:r w:rsidRPr="009A2496">
              <w:t>N.A</w:t>
            </w:r>
          </w:p>
        </w:tc>
        <w:tc>
          <w:tcPr>
            <w:tcW w:w="1766" w:type="dxa"/>
          </w:tcPr>
          <w:p w:rsidR="009A2496" w:rsidRPr="009A2496" w:rsidRDefault="009A2496" w:rsidP="00A92D87">
            <w:r w:rsidRPr="009A2496">
              <w:t>17%</w:t>
            </w:r>
          </w:p>
        </w:tc>
        <w:tc>
          <w:tcPr>
            <w:tcW w:w="1766" w:type="dxa"/>
          </w:tcPr>
          <w:p w:rsidR="009A2496" w:rsidRPr="009A2496" w:rsidRDefault="009A2496" w:rsidP="00A92D87">
            <w:r w:rsidRPr="009A2496">
              <w:t>16%</w:t>
            </w:r>
          </w:p>
        </w:tc>
        <w:tc>
          <w:tcPr>
            <w:tcW w:w="1766" w:type="dxa"/>
          </w:tcPr>
          <w:p w:rsidR="009A2496" w:rsidRPr="009A2496" w:rsidRDefault="009A2496" w:rsidP="00A92D87">
            <w:r w:rsidRPr="009A2496">
              <w:t>N.A.</w:t>
            </w:r>
          </w:p>
        </w:tc>
      </w:tr>
      <w:tr w:rsidR="009A2496" w:rsidRPr="009A2496" w:rsidTr="00000F81">
        <w:tc>
          <w:tcPr>
            <w:tcW w:w="2196" w:type="dxa"/>
          </w:tcPr>
          <w:p w:rsidR="009A2496" w:rsidRPr="009A2496" w:rsidRDefault="009A2496" w:rsidP="00A92D87">
            <w:r w:rsidRPr="009A2496">
              <w:t>Satisfactorio</w:t>
            </w:r>
          </w:p>
        </w:tc>
        <w:tc>
          <w:tcPr>
            <w:tcW w:w="1765" w:type="dxa"/>
          </w:tcPr>
          <w:p w:rsidR="009A2496" w:rsidRPr="009A2496" w:rsidRDefault="009A2496" w:rsidP="00A92D87">
            <w:r w:rsidRPr="009A2496">
              <w:t>N.A</w:t>
            </w:r>
          </w:p>
        </w:tc>
        <w:tc>
          <w:tcPr>
            <w:tcW w:w="1766" w:type="dxa"/>
          </w:tcPr>
          <w:p w:rsidR="009A2496" w:rsidRPr="009A2496" w:rsidRDefault="009A2496" w:rsidP="00A92D87">
            <w:r w:rsidRPr="009A2496">
              <w:t>38%</w:t>
            </w:r>
          </w:p>
        </w:tc>
        <w:tc>
          <w:tcPr>
            <w:tcW w:w="1766" w:type="dxa"/>
          </w:tcPr>
          <w:p w:rsidR="009A2496" w:rsidRPr="009A2496" w:rsidRDefault="009A2496" w:rsidP="00A92D87">
            <w:r w:rsidRPr="009A2496">
              <w:t>38%</w:t>
            </w:r>
          </w:p>
        </w:tc>
        <w:tc>
          <w:tcPr>
            <w:tcW w:w="1766" w:type="dxa"/>
          </w:tcPr>
          <w:p w:rsidR="009A2496" w:rsidRPr="009A2496" w:rsidRDefault="009A2496" w:rsidP="00A92D87">
            <w:r w:rsidRPr="009A2496">
              <w:t>N.A.</w:t>
            </w:r>
          </w:p>
        </w:tc>
      </w:tr>
      <w:tr w:rsidR="009A2496" w:rsidRPr="009A2496" w:rsidTr="00000F81">
        <w:tc>
          <w:tcPr>
            <w:tcW w:w="2196" w:type="dxa"/>
          </w:tcPr>
          <w:p w:rsidR="009A2496" w:rsidRPr="009A2496" w:rsidRDefault="009A2496" w:rsidP="00A92D87">
            <w:r w:rsidRPr="009A2496">
              <w:t>Mínimo</w:t>
            </w:r>
          </w:p>
        </w:tc>
        <w:tc>
          <w:tcPr>
            <w:tcW w:w="1765" w:type="dxa"/>
          </w:tcPr>
          <w:p w:rsidR="009A2496" w:rsidRPr="009A2496" w:rsidRDefault="009A2496" w:rsidP="00A92D87">
            <w:r w:rsidRPr="009A2496">
              <w:t>N.A.</w:t>
            </w:r>
          </w:p>
        </w:tc>
        <w:tc>
          <w:tcPr>
            <w:tcW w:w="1766" w:type="dxa"/>
          </w:tcPr>
          <w:p w:rsidR="009A2496" w:rsidRPr="009A2496" w:rsidRDefault="009A2496" w:rsidP="00A92D87">
            <w:r w:rsidRPr="009A2496">
              <w:t>31%</w:t>
            </w:r>
          </w:p>
        </w:tc>
        <w:tc>
          <w:tcPr>
            <w:tcW w:w="1766" w:type="dxa"/>
          </w:tcPr>
          <w:p w:rsidR="009A2496" w:rsidRPr="009A2496" w:rsidRDefault="009A2496" w:rsidP="00A92D87">
            <w:r w:rsidRPr="009A2496">
              <w:t>29%</w:t>
            </w:r>
          </w:p>
        </w:tc>
        <w:tc>
          <w:tcPr>
            <w:tcW w:w="1766" w:type="dxa"/>
          </w:tcPr>
          <w:p w:rsidR="009A2496" w:rsidRPr="009A2496" w:rsidRDefault="009A2496" w:rsidP="00A92D87">
            <w:r w:rsidRPr="009A2496">
              <w:t>N.A.</w:t>
            </w:r>
          </w:p>
        </w:tc>
      </w:tr>
      <w:tr w:rsidR="009A2496" w:rsidRPr="009A2496" w:rsidTr="00000F81">
        <w:tc>
          <w:tcPr>
            <w:tcW w:w="2196" w:type="dxa"/>
          </w:tcPr>
          <w:p w:rsidR="009A2496" w:rsidRPr="009A2496" w:rsidRDefault="009A2496" w:rsidP="00A92D87">
            <w:r w:rsidRPr="009A2496">
              <w:t>Insuficiente</w:t>
            </w:r>
          </w:p>
        </w:tc>
        <w:tc>
          <w:tcPr>
            <w:tcW w:w="1765" w:type="dxa"/>
          </w:tcPr>
          <w:p w:rsidR="009A2496" w:rsidRPr="009A2496" w:rsidRDefault="009A2496" w:rsidP="00A92D87">
            <w:r w:rsidRPr="009A2496">
              <w:t>N.A</w:t>
            </w:r>
          </w:p>
        </w:tc>
        <w:tc>
          <w:tcPr>
            <w:tcW w:w="1766" w:type="dxa"/>
          </w:tcPr>
          <w:p w:rsidR="009A2496" w:rsidRPr="009A2496" w:rsidRDefault="009A2496" w:rsidP="00A92D87">
            <w:r w:rsidRPr="009A2496">
              <w:t>14%</w:t>
            </w:r>
          </w:p>
        </w:tc>
        <w:tc>
          <w:tcPr>
            <w:tcW w:w="1766" w:type="dxa"/>
          </w:tcPr>
          <w:p w:rsidR="009A2496" w:rsidRPr="009A2496" w:rsidRDefault="009A2496" w:rsidP="00A92D87">
            <w:r w:rsidRPr="009A2496">
              <w:t>17%</w:t>
            </w:r>
          </w:p>
        </w:tc>
        <w:tc>
          <w:tcPr>
            <w:tcW w:w="1766" w:type="dxa"/>
          </w:tcPr>
          <w:p w:rsidR="009A2496" w:rsidRPr="009A2496" w:rsidRDefault="009A2496" w:rsidP="00A92D87">
            <w:r w:rsidRPr="009A2496">
              <w:t>N.A.</w:t>
            </w:r>
          </w:p>
        </w:tc>
      </w:tr>
      <w:tr w:rsidR="009A2496" w:rsidRPr="009A2496" w:rsidTr="00000F81">
        <w:tc>
          <w:tcPr>
            <w:tcW w:w="9259" w:type="dxa"/>
            <w:gridSpan w:val="5"/>
          </w:tcPr>
          <w:p w:rsidR="009A2496" w:rsidRPr="009A2496" w:rsidRDefault="009A2496" w:rsidP="00A92D87">
            <w:pPr>
              <w:rPr>
                <w:b/>
              </w:rPr>
            </w:pPr>
            <w:r w:rsidRPr="009A2496">
              <w:rPr>
                <w:b/>
              </w:rPr>
              <w:t xml:space="preserve">Fuente y año: </w:t>
            </w:r>
            <w:r w:rsidRPr="009A2496">
              <w:t>ICFES 2009,2012,2013 y 2014</w:t>
            </w:r>
          </w:p>
        </w:tc>
      </w:tr>
    </w:tbl>
    <w:p w:rsidR="009A2496" w:rsidRPr="009A2496" w:rsidRDefault="009A2496" w:rsidP="00A92D87">
      <w:pPr>
        <w:spacing w:line="240" w:lineRule="auto"/>
      </w:pPr>
    </w:p>
    <w:p w:rsidR="009A2496" w:rsidRPr="009A2496" w:rsidRDefault="009A2496" w:rsidP="00A92D87">
      <w:pPr>
        <w:spacing w:line="240" w:lineRule="auto"/>
      </w:pPr>
      <w:r w:rsidRPr="009A2496">
        <w:t xml:space="preserve">Situación detectada: </w:t>
      </w:r>
    </w:p>
    <w:p w:rsidR="009A2496" w:rsidRPr="009A2496" w:rsidRDefault="009A2496" w:rsidP="00A92D87">
      <w:pPr>
        <w:spacing w:line="240" w:lineRule="auto"/>
        <w:jc w:val="both"/>
      </w:pPr>
      <w:r w:rsidRPr="009A2496">
        <w:t>En el grado quinto se presenta una tendencia positiva durante los periodos evaluados al incrementarse el resultado promedio en 35 puntos para el sector urbano y 32 puntos para el sector rural; en matemáticas también se observa una tendencia positiva al incrementarse el resultado promedio en 16 puntos en las instituciones oficiales urbanas y 21 puntos en las instituciones rurales; en pensamiento ciudadano la tendencia es negativa en los dos grupos de establecimientos debido a la declinación alcanzada por los establecimientos oficiales urbanos de 4 puntos y en los establecimientos rurales de un punto; en ciencia naturales hay una tendencia positiva considerable al aumentar el puntaje promedio en 37 puntos para el sector oficial urbano y 35 puntos para el sector oficial rural.</w:t>
      </w:r>
    </w:p>
    <w:p w:rsidR="009A2496" w:rsidRPr="009A2496" w:rsidRDefault="009A2496" w:rsidP="00A92D87">
      <w:pPr>
        <w:autoSpaceDE w:val="0"/>
        <w:autoSpaceDN w:val="0"/>
        <w:adjustRightInd w:val="0"/>
        <w:spacing w:after="200" w:line="240" w:lineRule="auto"/>
        <w:jc w:val="both"/>
        <w:rPr>
          <w:rFonts w:eastAsia="Calibri" w:cs="Arial"/>
          <w:i/>
          <w:color w:val="000000"/>
        </w:rPr>
      </w:pPr>
      <w:r w:rsidRPr="009A2496">
        <w:rPr>
          <w:rFonts w:eastAsia="Calibri" w:cs="Arial"/>
          <w:b/>
          <w:i/>
          <w:color w:val="000000"/>
        </w:rPr>
        <w:t>SABER GRADO  QUINTO</w:t>
      </w:r>
      <w:r w:rsidRPr="009A2496">
        <w:rPr>
          <w:rFonts w:eastAsia="Calibri" w:cs="Arial"/>
          <w:i/>
          <w:color w:val="000000"/>
        </w:rPr>
        <w:t xml:space="preserve">    </w:t>
      </w:r>
    </w:p>
    <w:p w:rsidR="009A2496" w:rsidRPr="009A2496" w:rsidRDefault="009A2496" w:rsidP="00A92D87">
      <w:pPr>
        <w:autoSpaceDE w:val="0"/>
        <w:autoSpaceDN w:val="0"/>
        <w:adjustRightInd w:val="0"/>
        <w:spacing w:after="200" w:line="240" w:lineRule="auto"/>
        <w:jc w:val="both"/>
        <w:rPr>
          <w:rFonts w:eastAsia="Calibri" w:cs="Arial"/>
        </w:rPr>
      </w:pPr>
      <w:r w:rsidRPr="009A2496">
        <w:rPr>
          <w:rFonts w:eastAsia="Calibri" w:cs="Arial"/>
        </w:rPr>
        <w:t>El gráfico No. 1  indica los promedios alcanzados en las áreas de lenguaje, matemáticas y ciencias tanto en  el ente territorial como nacional, durante los año 2009 y 2012, cabe anotar que  el área de competencias ciudadanas se aplicó únicamente en el año 2012, por lo tanto no se registra en este gráfico, porque no nos permite comparar el grado de evolución; se observa claramente que en todas las materias hay un incremento en los promedios al comparar los dos años consignados en la gráfica, y se observa un mejoramiento al pasar de nivel básico en el 2009 a nivel satisfactorio en el año 2012 y se observa que el promedio en Pasto es mayor que en Colombia y su nivel de desempeño en los dos años permaneció en básico.</w:t>
      </w:r>
    </w:p>
    <w:p w:rsidR="009A2496" w:rsidRPr="009A2496" w:rsidRDefault="009A2496" w:rsidP="00A92D87">
      <w:pPr>
        <w:autoSpaceDE w:val="0"/>
        <w:autoSpaceDN w:val="0"/>
        <w:adjustRightInd w:val="0"/>
        <w:spacing w:after="200" w:line="240" w:lineRule="auto"/>
        <w:jc w:val="center"/>
        <w:rPr>
          <w:rFonts w:eastAsia="Calibri" w:cs="Arial"/>
          <w:b/>
          <w:color w:val="000000"/>
        </w:rPr>
      </w:pPr>
    </w:p>
    <w:p w:rsidR="009A2496" w:rsidRPr="009A2496" w:rsidRDefault="009A2496" w:rsidP="00A92D87">
      <w:pPr>
        <w:autoSpaceDE w:val="0"/>
        <w:autoSpaceDN w:val="0"/>
        <w:adjustRightInd w:val="0"/>
        <w:spacing w:after="200" w:line="240" w:lineRule="auto"/>
        <w:jc w:val="center"/>
        <w:rPr>
          <w:rFonts w:eastAsia="Calibri" w:cs="Arial"/>
          <w:b/>
          <w:color w:val="000000"/>
        </w:rPr>
      </w:pPr>
      <w:r w:rsidRPr="009A2496">
        <w:rPr>
          <w:rFonts w:eastAsia="Calibri" w:cs="Arial"/>
          <w:b/>
          <w:color w:val="000000"/>
        </w:rPr>
        <w:lastRenderedPageBreak/>
        <w:t>GRAFICO No. 1</w:t>
      </w:r>
    </w:p>
    <w:p w:rsidR="009A2496" w:rsidRPr="009A2496" w:rsidRDefault="009A2496" w:rsidP="00A92D87">
      <w:pPr>
        <w:autoSpaceDE w:val="0"/>
        <w:autoSpaceDN w:val="0"/>
        <w:adjustRightInd w:val="0"/>
        <w:spacing w:after="200" w:line="240" w:lineRule="auto"/>
        <w:jc w:val="center"/>
        <w:rPr>
          <w:rFonts w:eastAsia="Calibri" w:cs="Arial"/>
          <w:b/>
          <w:color w:val="000000"/>
        </w:rPr>
      </w:pPr>
      <w:r w:rsidRPr="009A2496">
        <w:rPr>
          <w:rFonts w:eastAsia="Calibri" w:cs="Arial"/>
          <w:b/>
          <w:color w:val="000000"/>
        </w:rPr>
        <w:t xml:space="preserve">COMPARATIVO DE RESULTADOS PRUEBAS SABER POR COMPETENCIAS AÑOS 209-2012 EN PASTO Y COLOMBIA EN GRADO QUINTO  </w:t>
      </w:r>
    </w:p>
    <w:p w:rsidR="009A2496" w:rsidRPr="009A2496" w:rsidRDefault="009A2496" w:rsidP="00A92D87">
      <w:pPr>
        <w:autoSpaceDE w:val="0"/>
        <w:autoSpaceDN w:val="0"/>
        <w:adjustRightInd w:val="0"/>
        <w:spacing w:after="200" w:line="240" w:lineRule="auto"/>
        <w:jc w:val="center"/>
        <w:rPr>
          <w:rFonts w:eastAsia="Calibri" w:cs="Tahoma"/>
          <w:i/>
          <w:color w:val="000000"/>
        </w:rPr>
      </w:pPr>
      <w:r w:rsidRPr="009A2496">
        <w:rPr>
          <w:rFonts w:eastAsia="Calibri" w:cs="Times New Roman"/>
          <w:noProof/>
          <w:lang w:val="es-ES" w:eastAsia="es-ES"/>
        </w:rPr>
        <w:drawing>
          <wp:inline distT="0" distB="0" distL="0" distR="0">
            <wp:extent cx="4826000" cy="2739390"/>
            <wp:effectExtent l="0" t="0" r="12700" b="22860"/>
            <wp:docPr id="2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A2496" w:rsidRPr="009A2496" w:rsidRDefault="009A2496" w:rsidP="00A92D87">
      <w:pPr>
        <w:autoSpaceDE w:val="0"/>
        <w:autoSpaceDN w:val="0"/>
        <w:adjustRightInd w:val="0"/>
        <w:spacing w:after="200" w:line="240" w:lineRule="auto"/>
        <w:jc w:val="both"/>
        <w:rPr>
          <w:rFonts w:eastAsia="Calibri" w:cs="Tahoma"/>
          <w:i/>
          <w:color w:val="000000"/>
        </w:rPr>
      </w:pPr>
      <w:r w:rsidRPr="009A2496">
        <w:rPr>
          <w:rFonts w:eastAsia="Calibri" w:cs="Tahoma"/>
          <w:i/>
          <w:color w:val="000000"/>
        </w:rPr>
        <w:t>Fuente: SEM- Subsecretaría de Calidad Educativa</w:t>
      </w:r>
    </w:p>
    <w:p w:rsidR="009A2496" w:rsidRPr="009A2496" w:rsidRDefault="009A2496" w:rsidP="00A92D87">
      <w:pPr>
        <w:autoSpaceDE w:val="0"/>
        <w:autoSpaceDN w:val="0"/>
        <w:adjustRightInd w:val="0"/>
        <w:spacing w:after="200" w:line="240" w:lineRule="auto"/>
        <w:jc w:val="center"/>
        <w:rPr>
          <w:rFonts w:eastAsia="Calibri" w:cs="Arial"/>
          <w:b/>
        </w:rPr>
      </w:pPr>
      <w:r w:rsidRPr="009A2496">
        <w:rPr>
          <w:rFonts w:eastAsia="Calibri" w:cs="Arial"/>
          <w:b/>
        </w:rPr>
        <w:t>Tabla No. 1</w:t>
      </w:r>
    </w:p>
    <w:p w:rsidR="009A2496" w:rsidRPr="009A2496" w:rsidRDefault="009A2496" w:rsidP="00A92D87">
      <w:pPr>
        <w:autoSpaceDE w:val="0"/>
        <w:autoSpaceDN w:val="0"/>
        <w:adjustRightInd w:val="0"/>
        <w:spacing w:after="200" w:line="240" w:lineRule="auto"/>
        <w:jc w:val="center"/>
        <w:rPr>
          <w:rFonts w:eastAsia="Calibri" w:cs="Arial"/>
          <w:b/>
        </w:rPr>
      </w:pPr>
      <w:r w:rsidRPr="009A2496">
        <w:rPr>
          <w:rFonts w:eastAsia="Calibri" w:cs="Arial"/>
          <w:b/>
        </w:rPr>
        <w:t>PORCENTAJE DE ESTUDIANTES EN CADA NIVEL DE DESEMPEÑO EN PASTO</w:t>
      </w:r>
    </w:p>
    <w:p w:rsidR="009A2496" w:rsidRPr="009A2496" w:rsidRDefault="009A2496" w:rsidP="00A92D87">
      <w:pPr>
        <w:autoSpaceDE w:val="0"/>
        <w:autoSpaceDN w:val="0"/>
        <w:adjustRightInd w:val="0"/>
        <w:spacing w:after="200" w:line="240" w:lineRule="auto"/>
        <w:jc w:val="center"/>
        <w:rPr>
          <w:rFonts w:eastAsia="Calibri" w:cs="Arial"/>
          <w:b/>
        </w:rPr>
      </w:pPr>
      <w:r w:rsidRPr="009A2496">
        <w:rPr>
          <w:rFonts w:eastAsia="Calibri" w:cs="Arial"/>
          <w:b/>
        </w:rPr>
        <w:t>AÑOS 2009-2012 GRADO QUINTO</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929"/>
        <w:gridCol w:w="929"/>
        <w:gridCol w:w="960"/>
        <w:gridCol w:w="957"/>
        <w:gridCol w:w="929"/>
        <w:gridCol w:w="929"/>
        <w:gridCol w:w="1610"/>
      </w:tblGrid>
      <w:tr w:rsidR="009A2496" w:rsidRPr="009A2496" w:rsidTr="00000F81">
        <w:tc>
          <w:tcPr>
            <w:tcW w:w="1489" w:type="dxa"/>
            <w:vMerge w:val="restart"/>
            <w:shd w:val="clear" w:color="auto" w:fill="auto"/>
          </w:tcPr>
          <w:p w:rsidR="009A2496" w:rsidRPr="009A2496" w:rsidRDefault="009A2496" w:rsidP="00A92D87">
            <w:pPr>
              <w:autoSpaceDE w:val="0"/>
              <w:autoSpaceDN w:val="0"/>
              <w:adjustRightInd w:val="0"/>
              <w:spacing w:after="200" w:line="240" w:lineRule="auto"/>
              <w:jc w:val="both"/>
              <w:rPr>
                <w:rFonts w:eastAsia="Calibri" w:cs="Arial"/>
                <w:b/>
                <w:color w:val="000000"/>
              </w:rPr>
            </w:pPr>
            <w:r w:rsidRPr="009A2496">
              <w:rPr>
                <w:rFonts w:eastAsia="Calibri" w:cs="Arial"/>
                <w:b/>
                <w:color w:val="000000"/>
              </w:rPr>
              <w:t>Nivel de desempeño</w:t>
            </w:r>
          </w:p>
        </w:tc>
        <w:tc>
          <w:tcPr>
            <w:tcW w:w="1943" w:type="dxa"/>
            <w:gridSpan w:val="2"/>
            <w:shd w:val="clear" w:color="auto" w:fill="auto"/>
          </w:tcPr>
          <w:p w:rsidR="009A2496" w:rsidRPr="009A2496" w:rsidRDefault="009A2496" w:rsidP="00A92D87">
            <w:pPr>
              <w:autoSpaceDE w:val="0"/>
              <w:autoSpaceDN w:val="0"/>
              <w:adjustRightInd w:val="0"/>
              <w:spacing w:after="200" w:line="240" w:lineRule="auto"/>
              <w:jc w:val="both"/>
              <w:rPr>
                <w:rFonts w:eastAsia="Calibri" w:cs="Arial"/>
                <w:b/>
              </w:rPr>
            </w:pPr>
            <w:r w:rsidRPr="009A2496">
              <w:rPr>
                <w:rFonts w:eastAsia="Calibri" w:cs="Arial"/>
                <w:b/>
              </w:rPr>
              <w:t>Lenguaje</w:t>
            </w:r>
          </w:p>
        </w:tc>
        <w:tc>
          <w:tcPr>
            <w:tcW w:w="1998" w:type="dxa"/>
            <w:gridSpan w:val="2"/>
            <w:shd w:val="clear" w:color="auto" w:fill="auto"/>
          </w:tcPr>
          <w:p w:rsidR="009A2496" w:rsidRPr="009A2496" w:rsidRDefault="009A2496" w:rsidP="00A92D87">
            <w:pPr>
              <w:autoSpaceDE w:val="0"/>
              <w:autoSpaceDN w:val="0"/>
              <w:adjustRightInd w:val="0"/>
              <w:spacing w:after="200" w:line="240" w:lineRule="auto"/>
              <w:jc w:val="both"/>
              <w:rPr>
                <w:rFonts w:eastAsia="Calibri" w:cs="Arial"/>
                <w:b/>
              </w:rPr>
            </w:pPr>
            <w:r w:rsidRPr="009A2496">
              <w:rPr>
                <w:rFonts w:eastAsia="Calibri" w:cs="Arial"/>
                <w:b/>
              </w:rPr>
              <w:t>Matemáticas</w:t>
            </w:r>
          </w:p>
        </w:tc>
        <w:tc>
          <w:tcPr>
            <w:tcW w:w="1942" w:type="dxa"/>
            <w:gridSpan w:val="2"/>
            <w:shd w:val="clear" w:color="auto" w:fill="auto"/>
          </w:tcPr>
          <w:p w:rsidR="009A2496" w:rsidRPr="009A2496" w:rsidRDefault="009A2496" w:rsidP="00A92D87">
            <w:pPr>
              <w:autoSpaceDE w:val="0"/>
              <w:autoSpaceDN w:val="0"/>
              <w:adjustRightInd w:val="0"/>
              <w:spacing w:after="200" w:line="240" w:lineRule="auto"/>
              <w:jc w:val="both"/>
              <w:rPr>
                <w:rFonts w:eastAsia="Calibri" w:cs="Arial"/>
                <w:b/>
              </w:rPr>
            </w:pPr>
            <w:r w:rsidRPr="009A2496">
              <w:rPr>
                <w:rFonts w:eastAsia="Calibri" w:cs="Arial"/>
                <w:b/>
              </w:rPr>
              <w:t>Ciencias Naturales</w:t>
            </w:r>
          </w:p>
        </w:tc>
        <w:tc>
          <w:tcPr>
            <w:tcW w:w="1627" w:type="dxa"/>
            <w:shd w:val="clear" w:color="auto" w:fill="auto"/>
          </w:tcPr>
          <w:p w:rsidR="009A2496" w:rsidRPr="009A2496" w:rsidRDefault="009A2496" w:rsidP="00A92D87">
            <w:pPr>
              <w:autoSpaceDE w:val="0"/>
              <w:autoSpaceDN w:val="0"/>
              <w:adjustRightInd w:val="0"/>
              <w:spacing w:after="200" w:line="240" w:lineRule="auto"/>
              <w:jc w:val="both"/>
              <w:rPr>
                <w:rFonts w:eastAsia="Calibri" w:cs="Arial"/>
                <w:b/>
              </w:rPr>
            </w:pPr>
            <w:r w:rsidRPr="009A2496">
              <w:rPr>
                <w:rFonts w:eastAsia="Calibri" w:cs="Arial"/>
                <w:b/>
              </w:rPr>
              <w:t>Competencias Ciudadanas</w:t>
            </w:r>
          </w:p>
        </w:tc>
      </w:tr>
      <w:tr w:rsidR="009A2496" w:rsidRPr="009A2496" w:rsidTr="00000F81">
        <w:tc>
          <w:tcPr>
            <w:tcW w:w="1489" w:type="dxa"/>
            <w:vMerge/>
            <w:shd w:val="clear" w:color="auto" w:fill="auto"/>
          </w:tcPr>
          <w:p w:rsidR="009A2496" w:rsidRPr="009A2496" w:rsidRDefault="009A2496" w:rsidP="00A92D87">
            <w:pPr>
              <w:autoSpaceDE w:val="0"/>
              <w:autoSpaceDN w:val="0"/>
              <w:adjustRightInd w:val="0"/>
              <w:spacing w:after="200" w:line="240" w:lineRule="auto"/>
              <w:jc w:val="both"/>
              <w:rPr>
                <w:rFonts w:eastAsia="Calibri" w:cs="Arial"/>
                <w:b/>
                <w:color w:val="000000"/>
              </w:rPr>
            </w:pPr>
          </w:p>
        </w:tc>
        <w:tc>
          <w:tcPr>
            <w:tcW w:w="972"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2009</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2012</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2009</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2012</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2009</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2012</w:t>
            </w:r>
          </w:p>
        </w:tc>
        <w:tc>
          <w:tcPr>
            <w:tcW w:w="1627"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2012</w:t>
            </w:r>
          </w:p>
        </w:tc>
      </w:tr>
      <w:tr w:rsidR="009A2496" w:rsidRPr="009A2496" w:rsidTr="00000F81">
        <w:tc>
          <w:tcPr>
            <w:tcW w:w="1489" w:type="dxa"/>
            <w:shd w:val="clear" w:color="auto" w:fill="auto"/>
          </w:tcPr>
          <w:p w:rsidR="009A2496" w:rsidRPr="009A2496" w:rsidRDefault="009A2496" w:rsidP="00A92D87">
            <w:pPr>
              <w:autoSpaceDE w:val="0"/>
              <w:autoSpaceDN w:val="0"/>
              <w:adjustRightInd w:val="0"/>
              <w:spacing w:after="200" w:line="240" w:lineRule="auto"/>
              <w:jc w:val="both"/>
              <w:rPr>
                <w:rFonts w:eastAsia="Calibri" w:cs="Arial"/>
                <w:b/>
                <w:color w:val="000000"/>
              </w:rPr>
            </w:pPr>
            <w:r w:rsidRPr="009A2496">
              <w:rPr>
                <w:rFonts w:eastAsia="Calibri" w:cs="Arial"/>
                <w:b/>
                <w:color w:val="000000"/>
              </w:rPr>
              <w:t>Avanzado</w:t>
            </w:r>
          </w:p>
        </w:tc>
        <w:tc>
          <w:tcPr>
            <w:tcW w:w="972"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7%</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21%</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9%</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17%</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6%</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17%</w:t>
            </w:r>
          </w:p>
        </w:tc>
        <w:tc>
          <w:tcPr>
            <w:tcW w:w="1627"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17%</w:t>
            </w:r>
          </w:p>
        </w:tc>
      </w:tr>
      <w:tr w:rsidR="009A2496" w:rsidRPr="009A2496" w:rsidTr="00000F81">
        <w:tc>
          <w:tcPr>
            <w:tcW w:w="1489" w:type="dxa"/>
            <w:shd w:val="clear" w:color="auto" w:fill="auto"/>
          </w:tcPr>
          <w:p w:rsidR="009A2496" w:rsidRPr="009A2496" w:rsidRDefault="009A2496" w:rsidP="00A92D87">
            <w:pPr>
              <w:autoSpaceDE w:val="0"/>
              <w:autoSpaceDN w:val="0"/>
              <w:adjustRightInd w:val="0"/>
              <w:spacing w:after="200" w:line="240" w:lineRule="auto"/>
              <w:jc w:val="both"/>
              <w:rPr>
                <w:rFonts w:eastAsia="Calibri" w:cs="Arial"/>
                <w:b/>
                <w:color w:val="000000"/>
              </w:rPr>
            </w:pPr>
            <w:r w:rsidRPr="009A2496">
              <w:rPr>
                <w:rFonts w:eastAsia="Calibri" w:cs="Arial"/>
                <w:b/>
                <w:color w:val="000000"/>
              </w:rPr>
              <w:t>Satisfactorio</w:t>
            </w:r>
          </w:p>
        </w:tc>
        <w:tc>
          <w:tcPr>
            <w:tcW w:w="972"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30%</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39%</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21%</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28%</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10%</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30%</w:t>
            </w:r>
          </w:p>
        </w:tc>
        <w:tc>
          <w:tcPr>
            <w:tcW w:w="1627"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38%</w:t>
            </w:r>
          </w:p>
        </w:tc>
      </w:tr>
      <w:tr w:rsidR="009A2496" w:rsidRPr="009A2496" w:rsidTr="00000F81">
        <w:tc>
          <w:tcPr>
            <w:tcW w:w="1489" w:type="dxa"/>
            <w:shd w:val="clear" w:color="auto" w:fill="auto"/>
          </w:tcPr>
          <w:p w:rsidR="009A2496" w:rsidRPr="009A2496" w:rsidRDefault="009A2496" w:rsidP="00A92D87">
            <w:pPr>
              <w:autoSpaceDE w:val="0"/>
              <w:autoSpaceDN w:val="0"/>
              <w:adjustRightInd w:val="0"/>
              <w:spacing w:after="200" w:line="240" w:lineRule="auto"/>
              <w:jc w:val="both"/>
              <w:rPr>
                <w:rFonts w:eastAsia="Calibri" w:cs="Arial"/>
                <w:b/>
                <w:color w:val="000000"/>
              </w:rPr>
            </w:pPr>
            <w:r w:rsidRPr="009A2496">
              <w:rPr>
                <w:rFonts w:eastAsia="Calibri" w:cs="Arial"/>
                <w:b/>
                <w:color w:val="000000"/>
              </w:rPr>
              <w:t>Básico</w:t>
            </w:r>
          </w:p>
        </w:tc>
        <w:tc>
          <w:tcPr>
            <w:tcW w:w="972"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49%</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34%</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38%</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33%</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33%</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44%</w:t>
            </w:r>
          </w:p>
        </w:tc>
        <w:tc>
          <w:tcPr>
            <w:tcW w:w="1627"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31%</w:t>
            </w:r>
          </w:p>
        </w:tc>
      </w:tr>
      <w:tr w:rsidR="009A2496" w:rsidRPr="009A2496" w:rsidTr="00000F81">
        <w:tc>
          <w:tcPr>
            <w:tcW w:w="1489" w:type="dxa"/>
            <w:shd w:val="clear" w:color="auto" w:fill="auto"/>
          </w:tcPr>
          <w:p w:rsidR="009A2496" w:rsidRPr="009A2496" w:rsidRDefault="009A2496" w:rsidP="00A92D87">
            <w:pPr>
              <w:autoSpaceDE w:val="0"/>
              <w:autoSpaceDN w:val="0"/>
              <w:adjustRightInd w:val="0"/>
              <w:spacing w:after="200" w:line="240" w:lineRule="auto"/>
              <w:jc w:val="both"/>
              <w:rPr>
                <w:rFonts w:eastAsia="Calibri" w:cs="Arial"/>
                <w:b/>
                <w:color w:val="000000"/>
              </w:rPr>
            </w:pPr>
            <w:r w:rsidRPr="009A2496">
              <w:rPr>
                <w:rFonts w:eastAsia="Calibri" w:cs="Arial"/>
                <w:b/>
                <w:color w:val="000000"/>
              </w:rPr>
              <w:t>Insuficiente</w:t>
            </w:r>
          </w:p>
        </w:tc>
        <w:tc>
          <w:tcPr>
            <w:tcW w:w="972"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16%</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6%</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33%</w:t>
            </w:r>
          </w:p>
        </w:tc>
        <w:tc>
          <w:tcPr>
            <w:tcW w:w="999"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22%</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40%</w:t>
            </w:r>
          </w:p>
        </w:tc>
        <w:tc>
          <w:tcPr>
            <w:tcW w:w="971"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9%</w:t>
            </w:r>
          </w:p>
        </w:tc>
        <w:tc>
          <w:tcPr>
            <w:tcW w:w="1627" w:type="dxa"/>
            <w:shd w:val="clear" w:color="auto" w:fill="auto"/>
          </w:tcPr>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rPr>
              <w:t>14%</w:t>
            </w:r>
          </w:p>
        </w:tc>
      </w:tr>
    </w:tbl>
    <w:p w:rsidR="009A2496" w:rsidRPr="009A2496" w:rsidRDefault="009A2496" w:rsidP="00A92D87">
      <w:pPr>
        <w:spacing w:after="200" w:line="240" w:lineRule="auto"/>
        <w:rPr>
          <w:rFonts w:eastAsia="Calibri" w:cs="Arial"/>
        </w:rPr>
      </w:pPr>
      <w:r w:rsidRPr="009A2496">
        <w:rPr>
          <w:rFonts w:eastAsia="Calibri" w:cs="Arial"/>
        </w:rPr>
        <w:t xml:space="preserve">          Fuente: SEM- Subsecretaría de Calidad Educativa</w:t>
      </w:r>
    </w:p>
    <w:p w:rsidR="009A2496" w:rsidRPr="009A2496" w:rsidRDefault="009A2496" w:rsidP="00A92D87">
      <w:pPr>
        <w:spacing w:after="200" w:line="240" w:lineRule="auto"/>
        <w:rPr>
          <w:rFonts w:eastAsia="Calibri" w:cs="Arial"/>
        </w:rPr>
      </w:pP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rPr>
        <w:lastRenderedPageBreak/>
        <w:t xml:space="preserve">La tabla No. 1 permite observar el comportamiento que han tenido los establecimientos educativos en las pruebas saber del grado 5, se aprecia una mejora  considerable en las áreas de lenguaje y matemáticas pues disminuye el porcentaje de estudiantes en niveles de insuficiente y básico y aumenta el porcentaje en los niveles de desempeño de satisfactorio y avanzado. En ciencias naturales disminuye en forma considerable el nivel de desempeño insuficiente al pasar de 40% al 9% y aumenta el porcentaje de estudiantes en los niveles de básico, satisfactorio y avanzado, en esta área es importante crear estrategias que contribuyan a trabajar para que este nivel de desempeño insuficiente y básico baje y aumentar en los niveles satisfactorio y avanzado, el porcentaje de Competencias ciudadanas será objeto de medición con los resultados de las pruebas saber del año 2013, para ver la tendencia. </w:t>
      </w:r>
      <w:r w:rsidRPr="009A2496">
        <w:rPr>
          <w:rFonts w:eastAsia="Calibri" w:cs="Arial"/>
          <w:color w:val="000000"/>
        </w:rPr>
        <w:t xml:space="preserve">      </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En este sentido se requiere fortalecer los programas de formación en pensamiento matemático para los docentes de nivel de primaria, a fin de que estos logren en los estudiantes el desarrollo de:</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 xml:space="preserve">1. Propiedades de las operaciones para solucionar problemas </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2. Modelar situaciones de dependencia lineal, las diferencias y cálculos de medidas de longitud y superficie.</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3. Identificación y descripción de las transformaciones en el plano y el reconocimiento en las relaciones de semejanza y congruencia entre figuras.</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4. Uso de la media aritmética para solucionar problemas en el que pueda establecer conjeturas a partir de la lectura directa de información estadística y a través de la probabilidad de eventos simples.</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Para esto se requiere en matemáticas formar en las competencias y sus componentes:</w:t>
      </w:r>
    </w:p>
    <w:p w:rsidR="009A2496" w:rsidRPr="009A2496" w:rsidRDefault="009A2496" w:rsidP="00A92D87">
      <w:pPr>
        <w:numPr>
          <w:ilvl w:val="0"/>
          <w:numId w:val="49"/>
        </w:numPr>
        <w:autoSpaceDE w:val="0"/>
        <w:autoSpaceDN w:val="0"/>
        <w:adjustRightInd w:val="0"/>
        <w:spacing w:after="0" w:line="240" w:lineRule="auto"/>
        <w:ind w:left="697" w:hanging="357"/>
        <w:contextualSpacing/>
        <w:jc w:val="both"/>
        <w:rPr>
          <w:rFonts w:eastAsia="Calibri" w:cs="Arial"/>
          <w:color w:val="000000"/>
        </w:rPr>
      </w:pPr>
      <w:r w:rsidRPr="009A2496">
        <w:rPr>
          <w:rFonts w:eastAsia="Calibri" w:cs="Arial"/>
          <w:color w:val="000000"/>
        </w:rPr>
        <w:t>En razonamiento y argumentación: (numérico variacional)</w:t>
      </w:r>
    </w:p>
    <w:p w:rsidR="009A2496" w:rsidRPr="009A2496" w:rsidRDefault="009A2496" w:rsidP="00A92D87">
      <w:pPr>
        <w:numPr>
          <w:ilvl w:val="0"/>
          <w:numId w:val="49"/>
        </w:numPr>
        <w:autoSpaceDE w:val="0"/>
        <w:autoSpaceDN w:val="0"/>
        <w:adjustRightInd w:val="0"/>
        <w:spacing w:after="0" w:line="240" w:lineRule="auto"/>
        <w:ind w:left="697" w:hanging="357"/>
        <w:contextualSpacing/>
        <w:jc w:val="both"/>
        <w:rPr>
          <w:rFonts w:eastAsia="Calibri" w:cs="Arial"/>
          <w:color w:val="000000"/>
        </w:rPr>
      </w:pPr>
      <w:r w:rsidRPr="009A2496">
        <w:rPr>
          <w:rFonts w:eastAsia="Calibri" w:cs="Arial"/>
          <w:color w:val="000000"/>
        </w:rPr>
        <w:t>En comunicación, representación y modelación (geométrico variacional)</w:t>
      </w:r>
    </w:p>
    <w:p w:rsidR="009A2496" w:rsidRPr="009A2496" w:rsidRDefault="009A2496" w:rsidP="00A92D87">
      <w:pPr>
        <w:numPr>
          <w:ilvl w:val="0"/>
          <w:numId w:val="49"/>
        </w:numPr>
        <w:autoSpaceDE w:val="0"/>
        <w:autoSpaceDN w:val="0"/>
        <w:adjustRightInd w:val="0"/>
        <w:spacing w:after="0" w:line="240" w:lineRule="auto"/>
        <w:ind w:left="697" w:hanging="357"/>
        <w:contextualSpacing/>
        <w:jc w:val="both"/>
        <w:rPr>
          <w:rFonts w:eastAsia="Calibri" w:cs="Arial"/>
        </w:rPr>
      </w:pPr>
      <w:r w:rsidRPr="009A2496">
        <w:rPr>
          <w:rFonts w:eastAsia="Calibri" w:cs="Arial"/>
          <w:color w:val="000000"/>
        </w:rPr>
        <w:t xml:space="preserve">En formulación y solución de problemas (aleatorio) </w:t>
      </w:r>
    </w:p>
    <w:p w:rsidR="006C3CF7" w:rsidRDefault="006C3CF7" w:rsidP="00A92D87">
      <w:pPr>
        <w:autoSpaceDE w:val="0"/>
        <w:autoSpaceDN w:val="0"/>
        <w:adjustRightInd w:val="0"/>
        <w:spacing w:after="200" w:line="240" w:lineRule="auto"/>
        <w:jc w:val="both"/>
        <w:rPr>
          <w:rFonts w:eastAsia="Calibri" w:cs="Arial"/>
          <w:color w:val="000000"/>
        </w:rPr>
      </w:pP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 xml:space="preserve">En el área de lenguaje es necesario formar en los docentes en competencias: La lectura: En textos cotidianos, cortos y sencillos secuenciación, relaciones para la redacción y producción de textos, profundización de los temas, deducción de información de los textos, caracterización de recursos y personajes de los textos, otros aspectos. </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 xml:space="preserve">En escritura – comprensión de la producción escrita: Desarrollar competencias  en situaciones de comunicación cotidiana que requieren formalidad y precisión en el mensaje, la  identificación de enunciados que no se adecuan al cumplimiento de un propósito, una secuencia textual o el uso del lenguaje, la identificación de la idea que se repite en un escrito. La identificación en un texto de la descripción, la enumeración, la explicación o la argumentación y los conectores que le permiten relacionar una secuencia de ideas. La funcionalidad de los signos de puntuación en la construcción del sentido del texto. </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lastRenderedPageBreak/>
        <w:t xml:space="preserve"> En las ciencias naturales se requiere formar a un docente que pueda desarrollar en sus estudiantes competencias científicas como: uso comprensivo conocimiento científico, explicación de Fenómenos de acuerdo al entrono vivo, físico y de tecnología.</w:t>
      </w:r>
    </w:p>
    <w:p w:rsidR="009A2496" w:rsidRPr="009A2496" w:rsidRDefault="009A2496" w:rsidP="00A92D87">
      <w:pPr>
        <w:autoSpaceDE w:val="0"/>
        <w:autoSpaceDN w:val="0"/>
        <w:adjustRightInd w:val="0"/>
        <w:spacing w:after="0" w:line="240" w:lineRule="auto"/>
        <w:rPr>
          <w:rFonts w:eastAsia="Calibri" w:cs="Arial"/>
          <w:b/>
          <w:i/>
          <w:color w:val="000000"/>
        </w:rPr>
      </w:pPr>
      <w:r w:rsidRPr="009A2496">
        <w:rPr>
          <w:rFonts w:eastAsia="Calibri" w:cs="Arial"/>
          <w:b/>
          <w:i/>
          <w:color w:val="000000"/>
        </w:rPr>
        <w:t>RESULTADOS  PRUEBAS SABER  GRADO QUINTO  AÑO 2013</w:t>
      </w:r>
    </w:p>
    <w:p w:rsidR="009A2496" w:rsidRPr="009A2496" w:rsidRDefault="009A2496" w:rsidP="00A92D87">
      <w:pPr>
        <w:autoSpaceDE w:val="0"/>
        <w:autoSpaceDN w:val="0"/>
        <w:adjustRightInd w:val="0"/>
        <w:spacing w:after="0" w:line="240" w:lineRule="auto"/>
        <w:rPr>
          <w:rFonts w:eastAsia="Calibri" w:cs="Arial"/>
          <w:b/>
          <w:i/>
          <w:color w:val="000000"/>
        </w:rPr>
      </w:pPr>
    </w:p>
    <w:p w:rsidR="009A2496" w:rsidRPr="009A2496" w:rsidRDefault="009A2496" w:rsidP="00A92D87">
      <w:pPr>
        <w:autoSpaceDE w:val="0"/>
        <w:autoSpaceDN w:val="0"/>
        <w:adjustRightInd w:val="0"/>
        <w:spacing w:after="200" w:line="240" w:lineRule="auto"/>
        <w:jc w:val="both"/>
        <w:rPr>
          <w:rFonts w:eastAsia="Calibri" w:cs="Arial"/>
          <w:b/>
          <w:i/>
          <w:color w:val="000000"/>
          <w:lang w:val="es-ES"/>
        </w:rPr>
      </w:pPr>
      <w:r w:rsidRPr="009A2496">
        <w:rPr>
          <w:rFonts w:eastAsia="Calibri" w:cs="Arial"/>
          <w:b/>
          <w:i/>
          <w:color w:val="000000"/>
          <w:lang w:val="es-ES"/>
        </w:rPr>
        <w:t>ÁREA DE LENGUAJE</w:t>
      </w:r>
    </w:p>
    <w:p w:rsidR="009A2496" w:rsidRPr="009A2496" w:rsidRDefault="009A2496" w:rsidP="00A92D87">
      <w:pPr>
        <w:autoSpaceDE w:val="0"/>
        <w:autoSpaceDN w:val="0"/>
        <w:adjustRightInd w:val="0"/>
        <w:spacing w:after="200" w:line="240" w:lineRule="auto"/>
        <w:jc w:val="both"/>
        <w:rPr>
          <w:rFonts w:eastAsia="Calibri" w:cs="Arial"/>
        </w:rPr>
      </w:pPr>
      <w:r w:rsidRPr="009A2496">
        <w:rPr>
          <w:rFonts w:eastAsia="Calibri" w:cs="Arial"/>
        </w:rPr>
        <w:t xml:space="preserve">La gráfica No. 2 ilustra sobre el nivel de desempeño de los estudiantes evaluados en el área de lenguaje del grado 5 para el año 2013; de acuerdo a los resultados se concluye que el  desempeño fue mejor en Pasto que en Colombia, en nivel de desempeño insuficiente y mínimo se encuentra el 42% de los estudiantes evaluados de la SEM Pasto y en  Colombia se localiza el 58%; en nivel de desempeño satisfactorio y avanzado se ubica el 58% de los estudiantes evaluados del Ente Territorial  y 41% en la nación, como se aprecia la diferencia en considerable. Con la acciones de mejoramiento en el Municipio se pretende disminuir el nivel de estudiantes que aún se encuentran en nivel de insuficiente y mínimo., </w:t>
      </w:r>
    </w:p>
    <w:p w:rsidR="009A2496" w:rsidRPr="009A2496" w:rsidRDefault="009A2496" w:rsidP="00A92D87">
      <w:pPr>
        <w:autoSpaceDE w:val="0"/>
        <w:autoSpaceDN w:val="0"/>
        <w:adjustRightInd w:val="0"/>
        <w:spacing w:after="200" w:line="240" w:lineRule="auto"/>
        <w:jc w:val="both"/>
        <w:rPr>
          <w:rFonts w:eastAsia="Calibri" w:cs="Arial"/>
          <w:b/>
          <w:color w:val="000000"/>
        </w:rPr>
      </w:pPr>
      <w:r w:rsidRPr="009A2496">
        <w:rPr>
          <w:rFonts w:eastAsia="Calibri" w:cs="Arial"/>
          <w:b/>
          <w:color w:val="000000"/>
        </w:rPr>
        <w:t>PORCENTAJE DE ESTUDIANTES EN CADA NIVEL DE DESEMPEÑO EN  LENGUAJE</w:t>
      </w:r>
    </w:p>
    <w:p w:rsidR="009A2496" w:rsidRPr="009A2496" w:rsidRDefault="009A2496" w:rsidP="00A92D87">
      <w:pPr>
        <w:autoSpaceDE w:val="0"/>
        <w:autoSpaceDN w:val="0"/>
        <w:adjustRightInd w:val="0"/>
        <w:spacing w:after="200" w:line="240" w:lineRule="auto"/>
        <w:jc w:val="both"/>
        <w:rPr>
          <w:rFonts w:eastAsia="Calibri" w:cs="Arial"/>
          <w:i/>
        </w:rPr>
      </w:pPr>
      <w:r w:rsidRPr="009A2496">
        <w:rPr>
          <w:rFonts w:eastAsia="Calibri" w:cs="Times New Roman"/>
          <w:noProof/>
          <w:lang w:val="es-ES" w:eastAsia="es-ES"/>
        </w:rPr>
        <w:drawing>
          <wp:inline distT="0" distB="0" distL="0" distR="0">
            <wp:extent cx="4572000" cy="274320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A2496" w:rsidRPr="009A2496" w:rsidRDefault="009A2496" w:rsidP="00A92D87">
      <w:pPr>
        <w:autoSpaceDE w:val="0"/>
        <w:autoSpaceDN w:val="0"/>
        <w:adjustRightInd w:val="0"/>
        <w:spacing w:after="200" w:line="240" w:lineRule="auto"/>
        <w:jc w:val="both"/>
        <w:rPr>
          <w:rFonts w:eastAsia="Calibri" w:cs="Arial"/>
          <w:i/>
        </w:rPr>
      </w:pPr>
      <w:r w:rsidRPr="009A2496">
        <w:rPr>
          <w:rFonts w:eastAsia="Calibri" w:cs="Arial"/>
          <w:i/>
        </w:rPr>
        <w:t xml:space="preserve">Fuente: ICFES, Saber 3°,5° y 9°,2013 </w:t>
      </w:r>
    </w:p>
    <w:p w:rsidR="009A2496" w:rsidRPr="009A2496" w:rsidRDefault="009A2496" w:rsidP="00A92D87">
      <w:pPr>
        <w:autoSpaceDE w:val="0"/>
        <w:autoSpaceDN w:val="0"/>
        <w:adjustRightInd w:val="0"/>
        <w:spacing w:after="200" w:line="240" w:lineRule="auto"/>
        <w:jc w:val="both"/>
        <w:rPr>
          <w:rFonts w:eastAsia="Calibri" w:cs="Arial"/>
          <w:b/>
          <w:color w:val="000000"/>
        </w:rPr>
      </w:pPr>
      <w:r w:rsidRPr="009A2496">
        <w:rPr>
          <w:rFonts w:eastAsia="Calibri" w:cs="Arial"/>
          <w:color w:val="000000"/>
        </w:rPr>
        <w:t xml:space="preserve">En la tabla No. 2 se tiene el comparativo del nivel de desempeño en lenguaje del grado 5°, en Pasto y Colombia para los años 2012 y 2013, con la finalidad de ver cómo ha sido la evolución o tendencia; en el nivel de desempeño insuficiente se denota desmejoramiento en el Municipio al  incrementarse el porcentaje de insuficiencia en el 2%, por el contrario en Colombia se observa un leve mejoramiento al disminuir el porcentaje de insuficiencia en un 1%. En el nivel de desempeño mínimo el comportamiento es igual para los dos años en Pasto y Colombia. En el Nivel Satisfactorio se aprecia un declinación del 1% en el Ente Territorial y en el País, al compararse el </w:t>
      </w:r>
      <w:r w:rsidRPr="009A2496">
        <w:rPr>
          <w:rFonts w:eastAsia="Calibri" w:cs="Arial"/>
          <w:color w:val="000000"/>
        </w:rPr>
        <w:lastRenderedPageBreak/>
        <w:t>año 2012 con el 2013. En el nivel Avanzado se presenta en el Municipio un descenso del 1% mientras en Colombia el comportamiento fue igual. En términos generales se concluye que fue mejor el comportamiento en Colombia que en Pasto</w:t>
      </w:r>
    </w:p>
    <w:p w:rsidR="009A2496" w:rsidRPr="009A2496" w:rsidRDefault="009A2496" w:rsidP="00A92D87">
      <w:pPr>
        <w:autoSpaceDE w:val="0"/>
        <w:autoSpaceDN w:val="0"/>
        <w:adjustRightInd w:val="0"/>
        <w:spacing w:after="200" w:line="240" w:lineRule="auto"/>
        <w:jc w:val="center"/>
        <w:rPr>
          <w:rFonts w:eastAsia="Calibri" w:cs="Arial"/>
          <w:b/>
          <w:color w:val="000000"/>
        </w:rPr>
      </w:pPr>
      <w:r w:rsidRPr="009A2496">
        <w:rPr>
          <w:rFonts w:eastAsia="Calibri" w:cs="Arial"/>
          <w:b/>
          <w:color w:val="000000"/>
        </w:rPr>
        <w:t>Tabla No. 2</w:t>
      </w:r>
    </w:p>
    <w:p w:rsidR="009A2496" w:rsidRPr="009A2496" w:rsidRDefault="009A2496" w:rsidP="00A92D87">
      <w:pPr>
        <w:autoSpaceDE w:val="0"/>
        <w:autoSpaceDN w:val="0"/>
        <w:adjustRightInd w:val="0"/>
        <w:spacing w:after="200" w:line="240" w:lineRule="auto"/>
        <w:jc w:val="center"/>
        <w:rPr>
          <w:rFonts w:eastAsia="Calibri" w:cs="Arial"/>
          <w:b/>
          <w:color w:val="000000"/>
        </w:rPr>
      </w:pPr>
      <w:r w:rsidRPr="009A2496">
        <w:rPr>
          <w:rFonts w:eastAsia="Calibri" w:cs="Arial"/>
          <w:b/>
          <w:color w:val="000000"/>
        </w:rPr>
        <w:t>COMPARATIVO  NIVEL DE DESEMPEÑO AÑOS 2012 y 2013 ENTRE PASTO Y   COLOMBIA,  ÁREA DE LENGUAJE GRADO QUINTO</w:t>
      </w:r>
    </w:p>
    <w:tbl>
      <w:tblPr>
        <w:tblW w:w="6110" w:type="dxa"/>
        <w:jc w:val="center"/>
        <w:tblCellMar>
          <w:left w:w="70" w:type="dxa"/>
          <w:right w:w="70" w:type="dxa"/>
        </w:tblCellMar>
        <w:tblLook w:val="04A0"/>
      </w:tblPr>
      <w:tblGrid>
        <w:gridCol w:w="1357"/>
        <w:gridCol w:w="1200"/>
        <w:gridCol w:w="1200"/>
        <w:gridCol w:w="1166"/>
        <w:gridCol w:w="1187"/>
      </w:tblGrid>
      <w:tr w:rsidR="009A2496" w:rsidRPr="009A2496" w:rsidTr="00000F81">
        <w:trPr>
          <w:trHeight w:val="497"/>
          <w:jc w:val="center"/>
        </w:trPr>
        <w:tc>
          <w:tcPr>
            <w:tcW w:w="1357" w:type="dxa"/>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r w:rsidRPr="009A2496">
              <w:rPr>
                <w:rFonts w:eastAsia="Times New Roman" w:cs="Times New Roman"/>
                <w:b/>
                <w:bCs/>
                <w:color w:val="000000"/>
                <w:lang w:eastAsia="es-CO"/>
              </w:rPr>
              <w:t>NIVEL</w:t>
            </w:r>
          </w:p>
        </w:tc>
        <w:tc>
          <w:tcPr>
            <w:tcW w:w="2400" w:type="dxa"/>
            <w:gridSpan w:val="2"/>
            <w:tcBorders>
              <w:top w:val="single" w:sz="4" w:space="0" w:color="auto"/>
              <w:left w:val="nil"/>
              <w:bottom w:val="single" w:sz="4" w:space="0" w:color="auto"/>
              <w:right w:val="single" w:sz="4" w:space="0" w:color="auto"/>
            </w:tcBorders>
            <w:shd w:val="clear" w:color="000000" w:fill="E4DFEC"/>
            <w:noWrap/>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r w:rsidRPr="009A2496">
              <w:rPr>
                <w:rFonts w:eastAsia="Times New Roman" w:cs="Times New Roman"/>
                <w:b/>
                <w:bCs/>
                <w:color w:val="000000"/>
                <w:lang w:eastAsia="es-CO"/>
              </w:rPr>
              <w:t>2012</w:t>
            </w:r>
          </w:p>
        </w:tc>
        <w:tc>
          <w:tcPr>
            <w:tcW w:w="2353" w:type="dxa"/>
            <w:gridSpan w:val="2"/>
            <w:tcBorders>
              <w:top w:val="single" w:sz="4" w:space="0" w:color="auto"/>
              <w:left w:val="nil"/>
              <w:bottom w:val="single" w:sz="4" w:space="0" w:color="auto"/>
              <w:right w:val="single" w:sz="4" w:space="0" w:color="auto"/>
            </w:tcBorders>
            <w:shd w:val="clear" w:color="000000" w:fill="E4DFEC"/>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r w:rsidRPr="009A2496">
              <w:rPr>
                <w:rFonts w:eastAsia="Times New Roman" w:cs="Times New Roman"/>
                <w:b/>
                <w:bCs/>
                <w:color w:val="000000"/>
                <w:lang w:eastAsia="es-CO"/>
              </w:rPr>
              <w:t>2013</w:t>
            </w:r>
          </w:p>
        </w:tc>
      </w:tr>
      <w:tr w:rsidR="009A2496" w:rsidRPr="009A2496" w:rsidTr="00000F81">
        <w:trPr>
          <w:trHeight w:val="561"/>
          <w:jc w:val="center"/>
        </w:trPr>
        <w:tc>
          <w:tcPr>
            <w:tcW w:w="1357" w:type="dxa"/>
            <w:vMerge/>
            <w:tcBorders>
              <w:top w:val="single" w:sz="4" w:space="0" w:color="auto"/>
              <w:left w:val="single" w:sz="4" w:space="0" w:color="auto"/>
              <w:bottom w:val="single" w:sz="4" w:space="0" w:color="auto"/>
              <w:right w:val="single" w:sz="4" w:space="0" w:color="auto"/>
            </w:tcBorders>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p>
        </w:tc>
        <w:tc>
          <w:tcPr>
            <w:tcW w:w="1200" w:type="dxa"/>
            <w:tcBorders>
              <w:top w:val="nil"/>
              <w:left w:val="nil"/>
              <w:bottom w:val="single" w:sz="4" w:space="0" w:color="auto"/>
              <w:right w:val="single" w:sz="4" w:space="0" w:color="auto"/>
            </w:tcBorders>
            <w:shd w:val="clear" w:color="000000" w:fill="FCD5B4"/>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r w:rsidRPr="009A2496">
              <w:rPr>
                <w:rFonts w:eastAsia="Times New Roman" w:cs="Times New Roman"/>
                <w:b/>
                <w:bCs/>
                <w:color w:val="000000"/>
                <w:lang w:eastAsia="es-CO"/>
              </w:rPr>
              <w:t>Pasto</w:t>
            </w:r>
          </w:p>
        </w:tc>
        <w:tc>
          <w:tcPr>
            <w:tcW w:w="1200" w:type="dxa"/>
            <w:tcBorders>
              <w:top w:val="nil"/>
              <w:left w:val="nil"/>
              <w:bottom w:val="single" w:sz="4" w:space="0" w:color="auto"/>
              <w:right w:val="single" w:sz="4" w:space="0" w:color="auto"/>
            </w:tcBorders>
            <w:shd w:val="clear" w:color="000000" w:fill="DCE6F1"/>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r w:rsidRPr="009A2496">
              <w:rPr>
                <w:rFonts w:eastAsia="Times New Roman" w:cs="Times New Roman"/>
                <w:b/>
                <w:bCs/>
                <w:color w:val="000000"/>
                <w:lang w:eastAsia="es-CO"/>
              </w:rPr>
              <w:t>Colombia</w:t>
            </w:r>
          </w:p>
        </w:tc>
        <w:tc>
          <w:tcPr>
            <w:tcW w:w="1166" w:type="dxa"/>
            <w:tcBorders>
              <w:top w:val="nil"/>
              <w:left w:val="nil"/>
              <w:bottom w:val="single" w:sz="4" w:space="0" w:color="auto"/>
              <w:right w:val="single" w:sz="4" w:space="0" w:color="auto"/>
            </w:tcBorders>
            <w:shd w:val="clear" w:color="000000" w:fill="FCD5B4"/>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r w:rsidRPr="009A2496">
              <w:rPr>
                <w:rFonts w:eastAsia="Times New Roman" w:cs="Times New Roman"/>
                <w:b/>
                <w:bCs/>
                <w:color w:val="000000"/>
                <w:lang w:eastAsia="es-CO"/>
              </w:rPr>
              <w:t>Pasto</w:t>
            </w:r>
          </w:p>
        </w:tc>
        <w:tc>
          <w:tcPr>
            <w:tcW w:w="1187" w:type="dxa"/>
            <w:tcBorders>
              <w:top w:val="nil"/>
              <w:left w:val="nil"/>
              <w:bottom w:val="single" w:sz="4" w:space="0" w:color="auto"/>
              <w:right w:val="single" w:sz="4" w:space="0" w:color="auto"/>
            </w:tcBorders>
            <w:shd w:val="clear" w:color="000000" w:fill="DCE6F1"/>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r w:rsidRPr="009A2496">
              <w:rPr>
                <w:rFonts w:eastAsia="Times New Roman" w:cs="Times New Roman"/>
                <w:b/>
                <w:bCs/>
                <w:color w:val="000000"/>
                <w:lang w:eastAsia="es-CO"/>
              </w:rPr>
              <w:t>Colombia</w:t>
            </w:r>
          </w:p>
        </w:tc>
      </w:tr>
      <w:tr w:rsidR="009A2496" w:rsidRPr="009A2496" w:rsidTr="00000F81">
        <w:trPr>
          <w:trHeight w:val="630"/>
          <w:jc w:val="center"/>
        </w:trPr>
        <w:tc>
          <w:tcPr>
            <w:tcW w:w="1357" w:type="dxa"/>
            <w:tcBorders>
              <w:top w:val="nil"/>
              <w:left w:val="single" w:sz="4" w:space="0" w:color="auto"/>
              <w:bottom w:val="single" w:sz="4" w:space="0" w:color="auto"/>
              <w:right w:val="single" w:sz="4" w:space="0" w:color="auto"/>
            </w:tcBorders>
            <w:shd w:val="clear" w:color="000000" w:fill="E4DFEC"/>
            <w:vAlign w:val="center"/>
            <w:hideMark/>
          </w:tcPr>
          <w:p w:rsidR="009A2496" w:rsidRPr="009A2496" w:rsidRDefault="009A2496" w:rsidP="00A92D87">
            <w:pPr>
              <w:spacing w:after="200" w:line="240" w:lineRule="auto"/>
              <w:rPr>
                <w:rFonts w:eastAsia="Times New Roman" w:cs="Times New Roman"/>
                <w:color w:val="000000"/>
                <w:lang w:eastAsia="es-CO"/>
              </w:rPr>
            </w:pPr>
            <w:r w:rsidRPr="009A2496">
              <w:rPr>
                <w:rFonts w:eastAsia="Times New Roman" w:cs="Times New Roman"/>
                <w:color w:val="000000"/>
                <w:lang w:eastAsia="es-CO"/>
              </w:rPr>
              <w:t>Insuficiente</w:t>
            </w:r>
          </w:p>
        </w:tc>
        <w:tc>
          <w:tcPr>
            <w:tcW w:w="1200" w:type="dxa"/>
            <w:tcBorders>
              <w:top w:val="nil"/>
              <w:left w:val="nil"/>
              <w:bottom w:val="single" w:sz="4" w:space="0" w:color="auto"/>
              <w:right w:val="single" w:sz="4" w:space="0" w:color="auto"/>
            </w:tcBorders>
            <w:shd w:val="clear" w:color="000000" w:fill="FCD5B4"/>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6%</w:t>
            </w:r>
          </w:p>
        </w:tc>
        <w:tc>
          <w:tcPr>
            <w:tcW w:w="1200" w:type="dxa"/>
            <w:tcBorders>
              <w:top w:val="nil"/>
              <w:left w:val="nil"/>
              <w:bottom w:val="single" w:sz="4" w:space="0" w:color="auto"/>
              <w:right w:val="single" w:sz="4" w:space="0" w:color="auto"/>
            </w:tcBorders>
            <w:shd w:val="clear" w:color="000000" w:fill="DCE6F1"/>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19%</w:t>
            </w:r>
          </w:p>
        </w:tc>
        <w:tc>
          <w:tcPr>
            <w:tcW w:w="1166" w:type="dxa"/>
            <w:tcBorders>
              <w:top w:val="nil"/>
              <w:left w:val="nil"/>
              <w:bottom w:val="single" w:sz="4" w:space="0" w:color="auto"/>
              <w:right w:val="single" w:sz="4" w:space="0" w:color="auto"/>
            </w:tcBorders>
            <w:shd w:val="clear" w:color="000000" w:fill="FCD5B4"/>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8%</w:t>
            </w:r>
          </w:p>
        </w:tc>
        <w:tc>
          <w:tcPr>
            <w:tcW w:w="1187" w:type="dxa"/>
            <w:tcBorders>
              <w:top w:val="nil"/>
              <w:left w:val="nil"/>
              <w:bottom w:val="single" w:sz="4" w:space="0" w:color="auto"/>
              <w:right w:val="single" w:sz="4" w:space="0" w:color="auto"/>
            </w:tcBorders>
            <w:shd w:val="clear" w:color="000000" w:fill="DCE6F1"/>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18%</w:t>
            </w:r>
          </w:p>
        </w:tc>
      </w:tr>
      <w:tr w:rsidR="009A2496" w:rsidRPr="009A2496" w:rsidTr="00000F81">
        <w:trPr>
          <w:trHeight w:val="315"/>
          <w:jc w:val="center"/>
        </w:trPr>
        <w:tc>
          <w:tcPr>
            <w:tcW w:w="1357" w:type="dxa"/>
            <w:tcBorders>
              <w:top w:val="nil"/>
              <w:left w:val="single" w:sz="4" w:space="0" w:color="auto"/>
              <w:bottom w:val="single" w:sz="4" w:space="0" w:color="auto"/>
              <w:right w:val="single" w:sz="4" w:space="0" w:color="auto"/>
            </w:tcBorders>
            <w:shd w:val="clear" w:color="000000" w:fill="E4DFEC"/>
            <w:vAlign w:val="center"/>
            <w:hideMark/>
          </w:tcPr>
          <w:p w:rsidR="009A2496" w:rsidRPr="009A2496" w:rsidRDefault="009A2496" w:rsidP="00A92D87">
            <w:pPr>
              <w:spacing w:after="200" w:line="240" w:lineRule="auto"/>
              <w:rPr>
                <w:rFonts w:eastAsia="Times New Roman" w:cs="Times New Roman"/>
                <w:color w:val="000000"/>
                <w:lang w:eastAsia="es-CO"/>
              </w:rPr>
            </w:pPr>
            <w:r w:rsidRPr="009A2496">
              <w:rPr>
                <w:rFonts w:eastAsia="Times New Roman" w:cs="Times New Roman"/>
                <w:color w:val="000000"/>
                <w:lang w:eastAsia="es-CO"/>
              </w:rPr>
              <w:t>Mínimo</w:t>
            </w:r>
          </w:p>
        </w:tc>
        <w:tc>
          <w:tcPr>
            <w:tcW w:w="1200" w:type="dxa"/>
            <w:tcBorders>
              <w:top w:val="nil"/>
              <w:left w:val="nil"/>
              <w:bottom w:val="single" w:sz="4" w:space="0" w:color="auto"/>
              <w:right w:val="single" w:sz="4" w:space="0" w:color="auto"/>
            </w:tcBorders>
            <w:shd w:val="clear" w:color="000000" w:fill="FCD5B4"/>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34%</w:t>
            </w:r>
          </w:p>
        </w:tc>
        <w:tc>
          <w:tcPr>
            <w:tcW w:w="1200" w:type="dxa"/>
            <w:tcBorders>
              <w:top w:val="nil"/>
              <w:left w:val="nil"/>
              <w:bottom w:val="single" w:sz="4" w:space="0" w:color="auto"/>
              <w:right w:val="single" w:sz="4" w:space="0" w:color="auto"/>
            </w:tcBorders>
            <w:shd w:val="clear" w:color="000000" w:fill="DCE6F1"/>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40%</w:t>
            </w:r>
          </w:p>
        </w:tc>
        <w:tc>
          <w:tcPr>
            <w:tcW w:w="1166" w:type="dxa"/>
            <w:tcBorders>
              <w:top w:val="nil"/>
              <w:left w:val="nil"/>
              <w:bottom w:val="single" w:sz="4" w:space="0" w:color="auto"/>
              <w:right w:val="single" w:sz="4" w:space="0" w:color="auto"/>
            </w:tcBorders>
            <w:shd w:val="clear" w:color="000000" w:fill="FCD5B4"/>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34%</w:t>
            </w:r>
          </w:p>
        </w:tc>
        <w:tc>
          <w:tcPr>
            <w:tcW w:w="1187" w:type="dxa"/>
            <w:tcBorders>
              <w:top w:val="nil"/>
              <w:left w:val="nil"/>
              <w:bottom w:val="single" w:sz="4" w:space="0" w:color="auto"/>
              <w:right w:val="single" w:sz="4" w:space="0" w:color="auto"/>
            </w:tcBorders>
            <w:shd w:val="clear" w:color="000000" w:fill="DCE6F1"/>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40%</w:t>
            </w:r>
          </w:p>
          <w:p w:rsidR="009A2496" w:rsidRPr="009A2496" w:rsidRDefault="009A2496" w:rsidP="00A92D87">
            <w:pPr>
              <w:spacing w:after="200" w:line="240" w:lineRule="auto"/>
              <w:jc w:val="center"/>
              <w:rPr>
                <w:rFonts w:eastAsia="Times New Roman" w:cs="Times New Roman"/>
                <w:color w:val="000000"/>
                <w:lang w:eastAsia="es-CO"/>
              </w:rPr>
            </w:pPr>
          </w:p>
        </w:tc>
      </w:tr>
      <w:tr w:rsidR="009A2496" w:rsidRPr="009A2496" w:rsidTr="00000F81">
        <w:trPr>
          <w:trHeight w:val="630"/>
          <w:jc w:val="center"/>
        </w:trPr>
        <w:tc>
          <w:tcPr>
            <w:tcW w:w="1357" w:type="dxa"/>
            <w:tcBorders>
              <w:top w:val="nil"/>
              <w:left w:val="single" w:sz="4" w:space="0" w:color="auto"/>
              <w:bottom w:val="single" w:sz="4" w:space="0" w:color="auto"/>
              <w:right w:val="single" w:sz="4" w:space="0" w:color="auto"/>
            </w:tcBorders>
            <w:shd w:val="clear" w:color="000000" w:fill="E4DFEC"/>
            <w:vAlign w:val="center"/>
            <w:hideMark/>
          </w:tcPr>
          <w:p w:rsidR="009A2496" w:rsidRPr="009A2496" w:rsidRDefault="009A2496" w:rsidP="00A92D87">
            <w:pPr>
              <w:spacing w:after="200" w:line="240" w:lineRule="auto"/>
              <w:rPr>
                <w:rFonts w:eastAsia="Times New Roman" w:cs="Times New Roman"/>
                <w:color w:val="000000"/>
                <w:lang w:eastAsia="es-CO"/>
              </w:rPr>
            </w:pPr>
            <w:r w:rsidRPr="009A2496">
              <w:rPr>
                <w:rFonts w:eastAsia="Times New Roman" w:cs="Times New Roman"/>
                <w:color w:val="000000"/>
                <w:lang w:eastAsia="es-CO"/>
              </w:rPr>
              <w:t>Satisfactorio</w:t>
            </w:r>
          </w:p>
        </w:tc>
        <w:tc>
          <w:tcPr>
            <w:tcW w:w="1200" w:type="dxa"/>
            <w:tcBorders>
              <w:top w:val="nil"/>
              <w:left w:val="nil"/>
              <w:bottom w:val="single" w:sz="4" w:space="0" w:color="auto"/>
              <w:right w:val="single" w:sz="4" w:space="0" w:color="auto"/>
            </w:tcBorders>
            <w:shd w:val="clear" w:color="000000" w:fill="FCD5B4"/>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39%</w:t>
            </w:r>
          </w:p>
        </w:tc>
        <w:tc>
          <w:tcPr>
            <w:tcW w:w="1200" w:type="dxa"/>
            <w:tcBorders>
              <w:top w:val="nil"/>
              <w:left w:val="nil"/>
              <w:bottom w:val="single" w:sz="4" w:space="0" w:color="auto"/>
              <w:right w:val="single" w:sz="4" w:space="0" w:color="auto"/>
            </w:tcBorders>
            <w:shd w:val="clear" w:color="000000" w:fill="DCE6F1"/>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29%</w:t>
            </w:r>
          </w:p>
        </w:tc>
        <w:tc>
          <w:tcPr>
            <w:tcW w:w="1166" w:type="dxa"/>
            <w:tcBorders>
              <w:top w:val="nil"/>
              <w:left w:val="nil"/>
              <w:bottom w:val="single" w:sz="4" w:space="0" w:color="auto"/>
              <w:right w:val="single" w:sz="4" w:space="0" w:color="auto"/>
            </w:tcBorders>
            <w:shd w:val="clear" w:color="000000" w:fill="FCD5B4"/>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38%</w:t>
            </w:r>
          </w:p>
        </w:tc>
        <w:tc>
          <w:tcPr>
            <w:tcW w:w="1187" w:type="dxa"/>
            <w:tcBorders>
              <w:top w:val="nil"/>
              <w:left w:val="nil"/>
              <w:bottom w:val="single" w:sz="4" w:space="0" w:color="auto"/>
              <w:right w:val="single" w:sz="4" w:space="0" w:color="auto"/>
            </w:tcBorders>
            <w:shd w:val="clear" w:color="000000" w:fill="DCE6F1"/>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28%</w:t>
            </w:r>
          </w:p>
        </w:tc>
      </w:tr>
      <w:tr w:rsidR="009A2496" w:rsidRPr="009A2496" w:rsidTr="00000F81">
        <w:trPr>
          <w:trHeight w:val="315"/>
          <w:jc w:val="center"/>
        </w:trPr>
        <w:tc>
          <w:tcPr>
            <w:tcW w:w="1357" w:type="dxa"/>
            <w:tcBorders>
              <w:top w:val="nil"/>
              <w:left w:val="single" w:sz="4" w:space="0" w:color="auto"/>
              <w:bottom w:val="single" w:sz="4" w:space="0" w:color="auto"/>
              <w:right w:val="single" w:sz="4" w:space="0" w:color="auto"/>
            </w:tcBorders>
            <w:shd w:val="clear" w:color="000000" w:fill="E4DFEC"/>
            <w:vAlign w:val="center"/>
            <w:hideMark/>
          </w:tcPr>
          <w:p w:rsidR="009A2496" w:rsidRPr="009A2496" w:rsidRDefault="009A2496" w:rsidP="00A92D87">
            <w:pPr>
              <w:spacing w:after="200" w:line="240" w:lineRule="auto"/>
              <w:rPr>
                <w:rFonts w:eastAsia="Times New Roman" w:cs="Times New Roman"/>
                <w:color w:val="000000"/>
                <w:lang w:eastAsia="es-CO"/>
              </w:rPr>
            </w:pPr>
            <w:r w:rsidRPr="009A2496">
              <w:rPr>
                <w:rFonts w:eastAsia="Times New Roman" w:cs="Times New Roman"/>
                <w:color w:val="000000"/>
                <w:lang w:eastAsia="es-CO"/>
              </w:rPr>
              <w:t>Avanzado</w:t>
            </w:r>
          </w:p>
        </w:tc>
        <w:tc>
          <w:tcPr>
            <w:tcW w:w="1200" w:type="dxa"/>
            <w:tcBorders>
              <w:top w:val="nil"/>
              <w:left w:val="nil"/>
              <w:bottom w:val="single" w:sz="4" w:space="0" w:color="auto"/>
              <w:right w:val="single" w:sz="4" w:space="0" w:color="auto"/>
            </w:tcBorders>
            <w:shd w:val="clear" w:color="000000" w:fill="FCD5B4"/>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21%</w:t>
            </w:r>
          </w:p>
        </w:tc>
        <w:tc>
          <w:tcPr>
            <w:tcW w:w="1200" w:type="dxa"/>
            <w:tcBorders>
              <w:top w:val="nil"/>
              <w:left w:val="nil"/>
              <w:bottom w:val="single" w:sz="4" w:space="0" w:color="auto"/>
              <w:right w:val="single" w:sz="4" w:space="0" w:color="auto"/>
            </w:tcBorders>
            <w:shd w:val="clear" w:color="000000" w:fill="DCE6F1"/>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13%</w:t>
            </w:r>
          </w:p>
        </w:tc>
        <w:tc>
          <w:tcPr>
            <w:tcW w:w="1166" w:type="dxa"/>
            <w:tcBorders>
              <w:top w:val="nil"/>
              <w:left w:val="nil"/>
              <w:bottom w:val="single" w:sz="4" w:space="0" w:color="auto"/>
              <w:right w:val="single" w:sz="4" w:space="0" w:color="auto"/>
            </w:tcBorders>
            <w:shd w:val="clear" w:color="000000" w:fill="FCD5B4"/>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20%</w:t>
            </w:r>
          </w:p>
        </w:tc>
        <w:tc>
          <w:tcPr>
            <w:tcW w:w="1187" w:type="dxa"/>
            <w:tcBorders>
              <w:top w:val="nil"/>
              <w:left w:val="nil"/>
              <w:bottom w:val="single" w:sz="4" w:space="0" w:color="auto"/>
              <w:right w:val="single" w:sz="4" w:space="0" w:color="auto"/>
            </w:tcBorders>
            <w:shd w:val="clear" w:color="000000" w:fill="DCE6F1"/>
            <w:noWrap/>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13%</w:t>
            </w:r>
          </w:p>
          <w:p w:rsidR="009A2496" w:rsidRPr="009A2496" w:rsidRDefault="009A2496" w:rsidP="00A92D87">
            <w:pPr>
              <w:spacing w:after="200" w:line="240" w:lineRule="auto"/>
              <w:jc w:val="center"/>
              <w:rPr>
                <w:rFonts w:eastAsia="Times New Roman" w:cs="Times New Roman"/>
                <w:color w:val="000000"/>
                <w:lang w:eastAsia="es-CO"/>
              </w:rPr>
            </w:pPr>
          </w:p>
        </w:tc>
      </w:tr>
    </w:tbl>
    <w:p w:rsidR="009A2496" w:rsidRPr="009A2496" w:rsidRDefault="009A2496" w:rsidP="00A92D87">
      <w:pPr>
        <w:autoSpaceDE w:val="0"/>
        <w:autoSpaceDN w:val="0"/>
        <w:adjustRightInd w:val="0"/>
        <w:spacing w:after="200" w:line="240" w:lineRule="auto"/>
        <w:rPr>
          <w:rFonts w:eastAsia="Calibri" w:cs="Arial"/>
          <w:i/>
          <w:color w:val="000000"/>
        </w:rPr>
      </w:pPr>
      <w:r w:rsidRPr="009A2496">
        <w:rPr>
          <w:rFonts w:eastAsia="Calibri" w:cs="Arial"/>
          <w:i/>
          <w:color w:val="000000"/>
        </w:rPr>
        <w:t xml:space="preserve">                Fuente: ICFES saber 3°, 5° y 9° </w:t>
      </w:r>
    </w:p>
    <w:p w:rsidR="009A2496" w:rsidRPr="009A2496" w:rsidRDefault="009A2496" w:rsidP="00A92D87">
      <w:pPr>
        <w:autoSpaceDE w:val="0"/>
        <w:autoSpaceDN w:val="0"/>
        <w:adjustRightInd w:val="0"/>
        <w:spacing w:after="200" w:line="240" w:lineRule="auto"/>
        <w:jc w:val="both"/>
        <w:rPr>
          <w:rFonts w:eastAsia="Calibri" w:cs="Arial"/>
          <w:b/>
          <w:i/>
          <w:color w:val="000000"/>
        </w:rPr>
      </w:pPr>
      <w:r w:rsidRPr="009A2496">
        <w:rPr>
          <w:rFonts w:eastAsia="Calibri" w:cs="Arial"/>
          <w:b/>
          <w:i/>
          <w:color w:val="000000"/>
        </w:rPr>
        <w:t>ÁREA DE MATEMÁTICAS</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En la gráfica No. 3 se visualiza el porcentaje de estudiantes en cada nivel de desempeño en el área de matemáticas para el grado 5° en el año 2013; los resultados indican que Colombia registra un porcentaje mayor en  nivel insuficiente que el  Ente Territorial de Pasto,  con  una marcada diferencia del 15%; en nivel mínimo se observa que  la participación porcentual es igual con un 32% para Pasto y Colombia. En Nivel Satisfactorio se ubica el Municipio con una diferencia mayor a la del país con un 8%. En nivel Avanzado el Municipio se posiciona  con una diferencia  significativa del 6% por arriba de Colombia</w:t>
      </w:r>
    </w:p>
    <w:p w:rsidR="009A2496" w:rsidRPr="009A2496" w:rsidRDefault="009A2496" w:rsidP="00A92D87">
      <w:pPr>
        <w:autoSpaceDE w:val="0"/>
        <w:autoSpaceDN w:val="0"/>
        <w:adjustRightInd w:val="0"/>
        <w:spacing w:after="200" w:line="240" w:lineRule="auto"/>
        <w:jc w:val="both"/>
        <w:rPr>
          <w:rFonts w:eastAsia="Calibri" w:cs="Arial"/>
          <w:color w:val="000000"/>
        </w:rPr>
      </w:pPr>
      <w:r w:rsidRPr="009A2496">
        <w:rPr>
          <w:rFonts w:eastAsia="Calibri" w:cs="Arial"/>
          <w:color w:val="000000"/>
        </w:rPr>
        <w:t>Se concluye que en el área de matemáticas del grado 5°, el nivel de desempeño de los estudiantes de Pasto ha sido superior  al de los estudiantes de Colombia, Pasto registra en los  niveles de insuficiente y mínimo el 54%  de los estudiantes y  en Colombia alcanzan  el 69%; de igual manera se aprecia que mientras en Pasto en los niveles de  satisfactorio y avanzado se concentra  el 46% en Colombia se ubica el 33% de los estudiantes.</w:t>
      </w:r>
    </w:p>
    <w:p w:rsidR="009A2496" w:rsidRDefault="009A2496" w:rsidP="00A92D87">
      <w:pPr>
        <w:autoSpaceDE w:val="0"/>
        <w:autoSpaceDN w:val="0"/>
        <w:adjustRightInd w:val="0"/>
        <w:spacing w:after="200" w:line="240" w:lineRule="auto"/>
        <w:jc w:val="center"/>
        <w:rPr>
          <w:rFonts w:eastAsia="Calibri" w:cs="Arial"/>
          <w:b/>
          <w:color w:val="000000"/>
        </w:rPr>
      </w:pPr>
    </w:p>
    <w:p w:rsidR="006C3CF7" w:rsidRPr="009A2496" w:rsidRDefault="006C3CF7" w:rsidP="00A92D87">
      <w:pPr>
        <w:autoSpaceDE w:val="0"/>
        <w:autoSpaceDN w:val="0"/>
        <w:adjustRightInd w:val="0"/>
        <w:spacing w:after="200" w:line="240" w:lineRule="auto"/>
        <w:jc w:val="center"/>
        <w:rPr>
          <w:rFonts w:eastAsia="Calibri" w:cs="Arial"/>
          <w:b/>
          <w:color w:val="000000"/>
        </w:rPr>
      </w:pPr>
    </w:p>
    <w:p w:rsidR="006C3CF7" w:rsidRDefault="006C3CF7" w:rsidP="00A92D87">
      <w:pPr>
        <w:autoSpaceDE w:val="0"/>
        <w:autoSpaceDN w:val="0"/>
        <w:adjustRightInd w:val="0"/>
        <w:spacing w:after="200" w:line="240" w:lineRule="auto"/>
        <w:jc w:val="center"/>
        <w:rPr>
          <w:rFonts w:eastAsia="Calibri" w:cs="Arial"/>
          <w:b/>
          <w:color w:val="000000"/>
        </w:rPr>
      </w:pPr>
    </w:p>
    <w:p w:rsidR="009A2496" w:rsidRPr="009A2496" w:rsidRDefault="009A2496" w:rsidP="00A92D87">
      <w:pPr>
        <w:autoSpaceDE w:val="0"/>
        <w:autoSpaceDN w:val="0"/>
        <w:adjustRightInd w:val="0"/>
        <w:spacing w:after="200" w:line="240" w:lineRule="auto"/>
        <w:jc w:val="center"/>
        <w:rPr>
          <w:rFonts w:eastAsia="Calibri" w:cs="Arial"/>
          <w:b/>
          <w:color w:val="000000"/>
        </w:rPr>
      </w:pPr>
      <w:r w:rsidRPr="009A2496">
        <w:rPr>
          <w:rFonts w:eastAsia="Calibri" w:cs="Arial"/>
          <w:b/>
          <w:color w:val="000000"/>
        </w:rPr>
        <w:t>PORCENTAJE DE ESTUDIANTES EN CADA NIVEL DE DESEMPEÑO</w:t>
      </w:r>
      <w:r w:rsidRPr="009A2496">
        <w:rPr>
          <w:rFonts w:eastAsia="Calibri" w:cs="Times New Roman"/>
          <w:noProof/>
          <w:lang w:val="es-ES" w:eastAsia="es-ES"/>
        </w:rPr>
        <w:drawing>
          <wp:inline distT="0" distB="0" distL="0" distR="0">
            <wp:extent cx="4867275" cy="2757487"/>
            <wp:effectExtent l="0" t="0" r="9525" b="2413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9A2496">
        <w:rPr>
          <w:rFonts w:eastAsia="Calibri" w:cs="Arial"/>
          <w:b/>
          <w:color w:val="000000"/>
        </w:rPr>
        <w:t xml:space="preserve">           </w:t>
      </w:r>
    </w:p>
    <w:p w:rsidR="009A2496" w:rsidRPr="009A2496" w:rsidRDefault="009A2496" w:rsidP="00A92D87">
      <w:pPr>
        <w:autoSpaceDE w:val="0"/>
        <w:autoSpaceDN w:val="0"/>
        <w:adjustRightInd w:val="0"/>
        <w:spacing w:after="200" w:line="240" w:lineRule="auto"/>
        <w:rPr>
          <w:rFonts w:eastAsia="Calibri" w:cs="Arial"/>
          <w:color w:val="000000"/>
        </w:rPr>
      </w:pPr>
      <w:r w:rsidRPr="009A2496">
        <w:rPr>
          <w:rFonts w:eastAsia="Calibri" w:cs="Arial"/>
          <w:b/>
          <w:color w:val="000000"/>
        </w:rPr>
        <w:t xml:space="preserve">                 </w:t>
      </w:r>
      <w:r w:rsidRPr="009A2496">
        <w:rPr>
          <w:rFonts w:eastAsia="Calibri" w:cs="Arial"/>
          <w:color w:val="000000"/>
        </w:rPr>
        <w:t>Fuente: ICFES saber 3°, 5° y 9°</w:t>
      </w:r>
    </w:p>
    <w:p w:rsidR="009A2496" w:rsidRPr="009A2496" w:rsidRDefault="009A2496" w:rsidP="00A92D87">
      <w:pPr>
        <w:autoSpaceDE w:val="0"/>
        <w:autoSpaceDN w:val="0"/>
        <w:adjustRightInd w:val="0"/>
        <w:spacing w:after="200" w:line="240" w:lineRule="auto"/>
        <w:jc w:val="both"/>
        <w:rPr>
          <w:rFonts w:eastAsia="Calibri" w:cs="Arial"/>
        </w:rPr>
      </w:pPr>
      <w:r w:rsidRPr="009A2496">
        <w:rPr>
          <w:rFonts w:eastAsia="Calibri" w:cs="Arial"/>
        </w:rPr>
        <w:t xml:space="preserve">En la tabla No. 3 se aprecia un comparativo del nivel de desempeño de los estudiantes en el área de matemáticas del grado quinto de Pasto y Colombia para los años 2012 2013. Observándose una leve tendencia positiva en los dos Entes sí se tiene en cuenta que  en el nivel de desempeño insuficiente se registra en Pasto el mismo comportamiento en los dos años, en Colombia se denota  un leve mejoramiento al disminuir en un 1%  el nivel de insuficiencia. En el nivel de desempeño mínimo hay un pequeño mejoramiento en el Municipio al reducirse la variación porcentual  en un 1%, mientras que en Colombia hay desmejoramiento al incrementarse el nivel de desempeño de los estudiantes en ese nivel en un 1%. En el nivel satisfactorio se observa que el comportamiento es igual en el Municipio y en el País en los dos años. En el nivel de desempeño avanzado se registra en el Ente Territorial  un mejoramiento equivalente al 2%  y en el País se muestra un deterioro correspondiente al 2%.    </w:t>
      </w:r>
    </w:p>
    <w:p w:rsidR="009A2496" w:rsidRPr="009A2496" w:rsidRDefault="009A2496" w:rsidP="00A92D87">
      <w:pPr>
        <w:autoSpaceDE w:val="0"/>
        <w:autoSpaceDN w:val="0"/>
        <w:adjustRightInd w:val="0"/>
        <w:spacing w:after="200" w:line="240" w:lineRule="auto"/>
        <w:jc w:val="center"/>
        <w:rPr>
          <w:rFonts w:eastAsia="Calibri" w:cs="Arial"/>
          <w:b/>
          <w:color w:val="000000"/>
        </w:rPr>
      </w:pPr>
      <w:r w:rsidRPr="009A2496">
        <w:rPr>
          <w:rFonts w:eastAsia="Calibri" w:cs="Arial"/>
          <w:b/>
          <w:color w:val="000000"/>
        </w:rPr>
        <w:t xml:space="preserve">Tabla No. 3 COMPARATIVO  NIVEL DE DESEMPEÑO AÑO 2012 y 2013 ENTRE PASTO Y   COLOMBIA </w:t>
      </w:r>
    </w:p>
    <w:tbl>
      <w:tblPr>
        <w:tblW w:w="6320" w:type="dxa"/>
        <w:jc w:val="center"/>
        <w:tblCellMar>
          <w:left w:w="70" w:type="dxa"/>
          <w:right w:w="70" w:type="dxa"/>
        </w:tblCellMar>
        <w:tblLook w:val="04A0"/>
      </w:tblPr>
      <w:tblGrid>
        <w:gridCol w:w="1357"/>
        <w:gridCol w:w="1360"/>
        <w:gridCol w:w="1360"/>
        <w:gridCol w:w="1075"/>
        <w:gridCol w:w="1168"/>
      </w:tblGrid>
      <w:tr w:rsidR="009A2496" w:rsidRPr="009A2496" w:rsidTr="00000F81">
        <w:trPr>
          <w:trHeight w:val="476"/>
          <w:jc w:val="center"/>
        </w:trPr>
        <w:tc>
          <w:tcPr>
            <w:tcW w:w="135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9A2496" w:rsidRPr="009A2496" w:rsidRDefault="009A2496" w:rsidP="00A92D87">
            <w:pPr>
              <w:spacing w:after="200" w:line="240" w:lineRule="auto"/>
              <w:rPr>
                <w:rFonts w:eastAsia="Times New Roman" w:cs="Times New Roman"/>
                <w:b/>
                <w:bCs/>
                <w:color w:val="000000"/>
                <w:lang w:eastAsia="es-CO"/>
              </w:rPr>
            </w:pPr>
            <w:r w:rsidRPr="009A2496">
              <w:rPr>
                <w:rFonts w:eastAsia="Times New Roman" w:cs="Times New Roman"/>
                <w:b/>
                <w:bCs/>
                <w:color w:val="000000"/>
                <w:lang w:eastAsia="es-CO"/>
              </w:rPr>
              <w:t>NIVEL </w:t>
            </w:r>
          </w:p>
        </w:tc>
        <w:tc>
          <w:tcPr>
            <w:tcW w:w="272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r w:rsidRPr="009A2496">
              <w:rPr>
                <w:rFonts w:eastAsia="Times New Roman" w:cs="Times New Roman"/>
                <w:b/>
                <w:bCs/>
                <w:color w:val="000000"/>
                <w:lang w:eastAsia="es-CO"/>
              </w:rPr>
              <w:t>2012</w:t>
            </w:r>
          </w:p>
        </w:tc>
        <w:tc>
          <w:tcPr>
            <w:tcW w:w="2243" w:type="dxa"/>
            <w:gridSpan w:val="2"/>
            <w:tcBorders>
              <w:top w:val="single" w:sz="4" w:space="0" w:color="auto"/>
              <w:left w:val="nil"/>
              <w:bottom w:val="single" w:sz="4" w:space="0" w:color="auto"/>
              <w:right w:val="single" w:sz="4" w:space="0" w:color="auto"/>
            </w:tcBorders>
            <w:shd w:val="clear" w:color="000000" w:fill="DAEEF3"/>
            <w:vAlign w:val="center"/>
            <w:hideMark/>
          </w:tcPr>
          <w:p w:rsidR="009A2496" w:rsidRPr="009A2496" w:rsidRDefault="009A2496" w:rsidP="00A92D87">
            <w:pPr>
              <w:spacing w:after="200" w:line="240" w:lineRule="auto"/>
              <w:jc w:val="center"/>
              <w:rPr>
                <w:rFonts w:eastAsia="Times New Roman" w:cs="Times New Roman"/>
                <w:b/>
                <w:bCs/>
                <w:color w:val="000000"/>
                <w:lang w:eastAsia="es-CO"/>
              </w:rPr>
            </w:pPr>
            <w:r w:rsidRPr="009A2496">
              <w:rPr>
                <w:rFonts w:eastAsia="Times New Roman" w:cs="Times New Roman"/>
                <w:b/>
                <w:bCs/>
                <w:color w:val="000000"/>
                <w:lang w:eastAsia="es-CO"/>
              </w:rPr>
              <w:t>2013</w:t>
            </w:r>
          </w:p>
        </w:tc>
      </w:tr>
      <w:tr w:rsidR="009A2496" w:rsidRPr="009A2496" w:rsidTr="00000F81">
        <w:trPr>
          <w:trHeight w:val="567"/>
          <w:jc w:val="center"/>
        </w:trPr>
        <w:tc>
          <w:tcPr>
            <w:tcW w:w="1357" w:type="dxa"/>
            <w:vMerge/>
            <w:tcBorders>
              <w:top w:val="single" w:sz="4" w:space="0" w:color="auto"/>
              <w:left w:val="single" w:sz="4" w:space="0" w:color="auto"/>
              <w:bottom w:val="single" w:sz="4" w:space="0" w:color="auto"/>
              <w:right w:val="single" w:sz="4" w:space="0" w:color="auto"/>
            </w:tcBorders>
            <w:vAlign w:val="center"/>
            <w:hideMark/>
          </w:tcPr>
          <w:p w:rsidR="009A2496" w:rsidRPr="009A2496" w:rsidRDefault="009A2496" w:rsidP="00A92D87">
            <w:pPr>
              <w:spacing w:after="200" w:line="240" w:lineRule="auto"/>
              <w:rPr>
                <w:rFonts w:eastAsia="Times New Roman" w:cs="Times New Roman"/>
                <w:b/>
                <w:bCs/>
                <w:color w:val="000000"/>
                <w:lang w:eastAsia="es-CO"/>
              </w:rPr>
            </w:pPr>
          </w:p>
        </w:tc>
        <w:tc>
          <w:tcPr>
            <w:tcW w:w="1360"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rPr>
                <w:rFonts w:eastAsia="Times New Roman" w:cs="Times New Roman"/>
                <w:b/>
                <w:bCs/>
                <w:color w:val="000000"/>
                <w:lang w:eastAsia="es-CO"/>
              </w:rPr>
            </w:pPr>
            <w:r w:rsidRPr="009A2496">
              <w:rPr>
                <w:rFonts w:eastAsia="Times New Roman" w:cs="Times New Roman"/>
                <w:b/>
                <w:bCs/>
                <w:color w:val="000000"/>
                <w:lang w:eastAsia="es-CO"/>
              </w:rPr>
              <w:t>Pasto</w:t>
            </w:r>
          </w:p>
        </w:tc>
        <w:tc>
          <w:tcPr>
            <w:tcW w:w="1360"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rPr>
                <w:rFonts w:eastAsia="Times New Roman" w:cs="Times New Roman"/>
                <w:b/>
                <w:bCs/>
                <w:color w:val="000000"/>
                <w:lang w:eastAsia="es-CO"/>
              </w:rPr>
            </w:pPr>
            <w:r w:rsidRPr="009A2496">
              <w:rPr>
                <w:rFonts w:eastAsia="Times New Roman" w:cs="Times New Roman"/>
                <w:b/>
                <w:bCs/>
                <w:color w:val="000000"/>
                <w:lang w:eastAsia="es-CO"/>
              </w:rPr>
              <w:t>Colombia</w:t>
            </w:r>
          </w:p>
        </w:tc>
        <w:tc>
          <w:tcPr>
            <w:tcW w:w="1075"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rPr>
                <w:rFonts w:eastAsia="Times New Roman" w:cs="Times New Roman"/>
                <w:b/>
                <w:bCs/>
                <w:color w:val="000000"/>
                <w:lang w:eastAsia="es-CO"/>
              </w:rPr>
            </w:pPr>
            <w:r w:rsidRPr="009A2496">
              <w:rPr>
                <w:rFonts w:eastAsia="Times New Roman" w:cs="Times New Roman"/>
                <w:b/>
                <w:bCs/>
                <w:color w:val="000000"/>
                <w:lang w:eastAsia="es-CO"/>
              </w:rPr>
              <w:t>Pasto</w:t>
            </w:r>
          </w:p>
        </w:tc>
        <w:tc>
          <w:tcPr>
            <w:tcW w:w="1168"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rPr>
                <w:rFonts w:eastAsia="Times New Roman" w:cs="Times New Roman"/>
                <w:b/>
                <w:bCs/>
                <w:color w:val="000000"/>
                <w:lang w:eastAsia="es-CO"/>
              </w:rPr>
            </w:pPr>
            <w:r w:rsidRPr="009A2496">
              <w:rPr>
                <w:rFonts w:eastAsia="Times New Roman" w:cs="Times New Roman"/>
                <w:b/>
                <w:bCs/>
                <w:color w:val="000000"/>
                <w:lang w:eastAsia="es-CO"/>
              </w:rPr>
              <w:t>Colombia</w:t>
            </w:r>
          </w:p>
        </w:tc>
      </w:tr>
      <w:tr w:rsidR="009A2496" w:rsidRPr="009A2496" w:rsidTr="00000F81">
        <w:trPr>
          <w:trHeight w:val="689"/>
          <w:jc w:val="center"/>
        </w:trPr>
        <w:tc>
          <w:tcPr>
            <w:tcW w:w="1357" w:type="dxa"/>
            <w:tcBorders>
              <w:top w:val="nil"/>
              <w:left w:val="single" w:sz="4" w:space="0" w:color="auto"/>
              <w:bottom w:val="single" w:sz="4" w:space="0" w:color="auto"/>
              <w:right w:val="single" w:sz="4" w:space="0" w:color="auto"/>
            </w:tcBorders>
            <w:shd w:val="clear" w:color="000000" w:fill="DAEEF3"/>
            <w:vAlign w:val="center"/>
            <w:hideMark/>
          </w:tcPr>
          <w:p w:rsidR="009A2496" w:rsidRPr="009A2496" w:rsidRDefault="009A2496" w:rsidP="00A92D87">
            <w:pPr>
              <w:spacing w:after="200" w:line="240" w:lineRule="auto"/>
              <w:jc w:val="both"/>
              <w:rPr>
                <w:rFonts w:eastAsia="Times New Roman" w:cs="Times New Roman"/>
                <w:color w:val="000000"/>
                <w:lang w:eastAsia="es-CO"/>
              </w:rPr>
            </w:pPr>
            <w:r w:rsidRPr="009A2496">
              <w:rPr>
                <w:rFonts w:eastAsia="Times New Roman" w:cs="Times New Roman"/>
                <w:color w:val="000000"/>
                <w:lang w:eastAsia="es-CO"/>
              </w:rPr>
              <w:t>Insuficiente</w:t>
            </w:r>
          </w:p>
        </w:tc>
        <w:tc>
          <w:tcPr>
            <w:tcW w:w="1360"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22%</w:t>
            </w:r>
          </w:p>
        </w:tc>
        <w:tc>
          <w:tcPr>
            <w:tcW w:w="1360"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38%</w:t>
            </w:r>
          </w:p>
        </w:tc>
        <w:tc>
          <w:tcPr>
            <w:tcW w:w="1075"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22%</w:t>
            </w:r>
          </w:p>
        </w:tc>
        <w:tc>
          <w:tcPr>
            <w:tcW w:w="1168"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37%</w:t>
            </w:r>
          </w:p>
        </w:tc>
      </w:tr>
      <w:tr w:rsidR="009A2496" w:rsidRPr="009A2496" w:rsidTr="00000F81">
        <w:trPr>
          <w:trHeight w:val="557"/>
          <w:jc w:val="center"/>
        </w:trPr>
        <w:tc>
          <w:tcPr>
            <w:tcW w:w="1357" w:type="dxa"/>
            <w:tcBorders>
              <w:top w:val="nil"/>
              <w:left w:val="single" w:sz="4" w:space="0" w:color="auto"/>
              <w:bottom w:val="single" w:sz="4" w:space="0" w:color="auto"/>
              <w:right w:val="single" w:sz="4" w:space="0" w:color="auto"/>
            </w:tcBorders>
            <w:shd w:val="clear" w:color="000000" w:fill="DAEEF3"/>
            <w:vAlign w:val="center"/>
            <w:hideMark/>
          </w:tcPr>
          <w:p w:rsidR="009A2496" w:rsidRPr="009A2496" w:rsidRDefault="009A2496" w:rsidP="00A92D87">
            <w:pPr>
              <w:spacing w:after="200" w:line="240" w:lineRule="auto"/>
              <w:jc w:val="both"/>
              <w:rPr>
                <w:rFonts w:eastAsia="Times New Roman" w:cs="Times New Roman"/>
                <w:color w:val="000000"/>
                <w:lang w:eastAsia="es-CO"/>
              </w:rPr>
            </w:pPr>
            <w:r w:rsidRPr="009A2496">
              <w:rPr>
                <w:rFonts w:eastAsia="Times New Roman" w:cs="Times New Roman"/>
                <w:color w:val="000000"/>
                <w:lang w:eastAsia="es-CO"/>
              </w:rPr>
              <w:lastRenderedPageBreak/>
              <w:t>Mínimo</w:t>
            </w:r>
          </w:p>
        </w:tc>
        <w:tc>
          <w:tcPr>
            <w:tcW w:w="1360"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33%</w:t>
            </w:r>
          </w:p>
        </w:tc>
        <w:tc>
          <w:tcPr>
            <w:tcW w:w="1360"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31%</w:t>
            </w:r>
          </w:p>
        </w:tc>
        <w:tc>
          <w:tcPr>
            <w:tcW w:w="1075"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32%</w:t>
            </w:r>
          </w:p>
        </w:tc>
        <w:tc>
          <w:tcPr>
            <w:tcW w:w="1168"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32%</w:t>
            </w:r>
          </w:p>
        </w:tc>
      </w:tr>
      <w:tr w:rsidR="009A2496" w:rsidRPr="009A2496" w:rsidTr="00000F81">
        <w:trPr>
          <w:trHeight w:val="696"/>
          <w:jc w:val="center"/>
        </w:trPr>
        <w:tc>
          <w:tcPr>
            <w:tcW w:w="1357" w:type="dxa"/>
            <w:tcBorders>
              <w:top w:val="nil"/>
              <w:left w:val="single" w:sz="4" w:space="0" w:color="auto"/>
              <w:bottom w:val="single" w:sz="4" w:space="0" w:color="auto"/>
              <w:right w:val="single" w:sz="4" w:space="0" w:color="auto"/>
            </w:tcBorders>
            <w:shd w:val="clear" w:color="000000" w:fill="DAEEF3"/>
            <w:vAlign w:val="center"/>
            <w:hideMark/>
          </w:tcPr>
          <w:p w:rsidR="009A2496" w:rsidRPr="009A2496" w:rsidRDefault="009A2496" w:rsidP="00A92D87">
            <w:pPr>
              <w:spacing w:after="200" w:line="240" w:lineRule="auto"/>
              <w:jc w:val="both"/>
              <w:rPr>
                <w:rFonts w:eastAsia="Times New Roman" w:cs="Times New Roman"/>
                <w:color w:val="000000"/>
                <w:lang w:eastAsia="es-CO"/>
              </w:rPr>
            </w:pPr>
            <w:r w:rsidRPr="009A2496">
              <w:rPr>
                <w:rFonts w:eastAsia="Times New Roman" w:cs="Times New Roman"/>
                <w:color w:val="000000"/>
                <w:lang w:eastAsia="es-CO"/>
              </w:rPr>
              <w:t>Satisfactorio</w:t>
            </w:r>
          </w:p>
        </w:tc>
        <w:tc>
          <w:tcPr>
            <w:tcW w:w="1360"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28%</w:t>
            </w:r>
          </w:p>
        </w:tc>
        <w:tc>
          <w:tcPr>
            <w:tcW w:w="1360"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20%</w:t>
            </w:r>
          </w:p>
        </w:tc>
        <w:tc>
          <w:tcPr>
            <w:tcW w:w="1075"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28%</w:t>
            </w:r>
          </w:p>
        </w:tc>
        <w:tc>
          <w:tcPr>
            <w:tcW w:w="1168"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20%</w:t>
            </w:r>
          </w:p>
        </w:tc>
      </w:tr>
      <w:tr w:rsidR="009A2496" w:rsidRPr="009A2496" w:rsidTr="00000F81">
        <w:trPr>
          <w:trHeight w:val="706"/>
          <w:jc w:val="center"/>
        </w:trPr>
        <w:tc>
          <w:tcPr>
            <w:tcW w:w="1357" w:type="dxa"/>
            <w:tcBorders>
              <w:top w:val="nil"/>
              <w:left w:val="single" w:sz="4" w:space="0" w:color="auto"/>
              <w:bottom w:val="single" w:sz="4" w:space="0" w:color="auto"/>
              <w:right w:val="single" w:sz="4" w:space="0" w:color="auto"/>
            </w:tcBorders>
            <w:shd w:val="clear" w:color="000000" w:fill="DAEEF3"/>
            <w:vAlign w:val="center"/>
            <w:hideMark/>
          </w:tcPr>
          <w:p w:rsidR="009A2496" w:rsidRPr="009A2496" w:rsidRDefault="009A2496" w:rsidP="00A92D87">
            <w:pPr>
              <w:spacing w:after="200" w:line="240" w:lineRule="auto"/>
              <w:jc w:val="both"/>
              <w:rPr>
                <w:rFonts w:eastAsia="Times New Roman" w:cs="Times New Roman"/>
                <w:color w:val="000000"/>
                <w:lang w:eastAsia="es-CO"/>
              </w:rPr>
            </w:pPr>
            <w:r w:rsidRPr="009A2496">
              <w:rPr>
                <w:rFonts w:eastAsia="Times New Roman" w:cs="Times New Roman"/>
                <w:color w:val="000000"/>
                <w:lang w:eastAsia="es-CO"/>
              </w:rPr>
              <w:t>Avanzado</w:t>
            </w:r>
          </w:p>
        </w:tc>
        <w:tc>
          <w:tcPr>
            <w:tcW w:w="1360"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17%</w:t>
            </w:r>
          </w:p>
        </w:tc>
        <w:tc>
          <w:tcPr>
            <w:tcW w:w="1360"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11%</w:t>
            </w:r>
          </w:p>
        </w:tc>
        <w:tc>
          <w:tcPr>
            <w:tcW w:w="1075" w:type="dxa"/>
            <w:tcBorders>
              <w:top w:val="nil"/>
              <w:left w:val="nil"/>
              <w:bottom w:val="single" w:sz="4" w:space="0" w:color="auto"/>
              <w:right w:val="single" w:sz="4" w:space="0" w:color="auto"/>
            </w:tcBorders>
            <w:shd w:val="clear" w:color="000000" w:fill="EBF1DE"/>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19%</w:t>
            </w:r>
          </w:p>
        </w:tc>
        <w:tc>
          <w:tcPr>
            <w:tcW w:w="1168" w:type="dxa"/>
            <w:tcBorders>
              <w:top w:val="nil"/>
              <w:left w:val="nil"/>
              <w:bottom w:val="single" w:sz="4" w:space="0" w:color="auto"/>
              <w:right w:val="single" w:sz="4" w:space="0" w:color="auto"/>
            </w:tcBorders>
            <w:shd w:val="clear" w:color="000000" w:fill="FDE9D9"/>
            <w:vAlign w:val="center"/>
            <w:hideMark/>
          </w:tcPr>
          <w:p w:rsidR="009A2496" w:rsidRPr="009A2496" w:rsidRDefault="009A2496" w:rsidP="00A92D87">
            <w:pPr>
              <w:spacing w:after="200" w:line="240" w:lineRule="auto"/>
              <w:jc w:val="center"/>
              <w:rPr>
                <w:rFonts w:eastAsia="Times New Roman" w:cs="Times New Roman"/>
                <w:color w:val="000000"/>
                <w:lang w:eastAsia="es-CO"/>
              </w:rPr>
            </w:pPr>
            <w:r w:rsidRPr="009A2496">
              <w:rPr>
                <w:rFonts w:eastAsia="Times New Roman" w:cs="Times New Roman"/>
                <w:color w:val="000000"/>
                <w:lang w:eastAsia="es-CO"/>
              </w:rPr>
              <w:t>13%</w:t>
            </w:r>
          </w:p>
        </w:tc>
      </w:tr>
    </w:tbl>
    <w:p w:rsidR="009A2496" w:rsidRPr="009A2496" w:rsidRDefault="009A2496" w:rsidP="00A92D87">
      <w:pPr>
        <w:autoSpaceDE w:val="0"/>
        <w:autoSpaceDN w:val="0"/>
        <w:adjustRightInd w:val="0"/>
        <w:spacing w:after="200" w:line="240" w:lineRule="auto"/>
        <w:jc w:val="both"/>
        <w:rPr>
          <w:rFonts w:eastAsia="Calibri" w:cs="Arial"/>
          <w:lang w:val="es-ES"/>
        </w:rPr>
      </w:pPr>
      <w:r w:rsidRPr="009A2496">
        <w:rPr>
          <w:rFonts w:eastAsia="Calibri" w:cs="Arial"/>
          <w:lang w:val="es-ES"/>
        </w:rPr>
        <w:t xml:space="preserve">               Fuente: ICFES resultados saber 3°,5° y 9°</w:t>
      </w:r>
    </w:p>
    <w:p w:rsidR="009A2496" w:rsidRPr="009A2496" w:rsidRDefault="009A2496" w:rsidP="00A92D87">
      <w:pPr>
        <w:autoSpaceDE w:val="0"/>
        <w:autoSpaceDN w:val="0"/>
        <w:adjustRightInd w:val="0"/>
        <w:spacing w:after="200" w:line="240" w:lineRule="auto"/>
        <w:jc w:val="both"/>
        <w:rPr>
          <w:rFonts w:eastAsia="Calibri" w:cs="Arial"/>
          <w:i/>
          <w:color w:val="000000"/>
        </w:rPr>
      </w:pPr>
      <w:r w:rsidRPr="009A2496">
        <w:rPr>
          <w:rFonts w:eastAsia="Calibri" w:cs="Arial"/>
          <w:b/>
          <w:i/>
          <w:color w:val="000000"/>
        </w:rPr>
        <w:t xml:space="preserve"> ÁREA DE PENSAMIENTO CIUDADANO</w:t>
      </w:r>
    </w:p>
    <w:p w:rsidR="009A2496" w:rsidRPr="009A2496" w:rsidRDefault="009A2496" w:rsidP="00A92D87">
      <w:pPr>
        <w:autoSpaceDE w:val="0"/>
        <w:autoSpaceDN w:val="0"/>
        <w:adjustRightInd w:val="0"/>
        <w:spacing w:after="200" w:line="240" w:lineRule="auto"/>
        <w:jc w:val="both"/>
        <w:rPr>
          <w:rFonts w:eastAsia="Calibri" w:cs="Arial"/>
        </w:rPr>
      </w:pPr>
      <w:r w:rsidRPr="009A2496">
        <w:rPr>
          <w:rFonts w:eastAsia="Calibri" w:cs="Arial"/>
        </w:rPr>
        <w:t>El gráfico No. 4 indica el porcentaje de estudiantes en cada nivel de desempeño en pensamiento ciudadano del grado quinto para el año 2013; en nivel de desempeño insuficiente se observa que el Ente Territorial de Pasto supera de manera considerable a Colombia con una diferencia del 12%; en nivel de desempeño mínimo se ubica un 3% de estudiantes de Colombia por encima de los de Pasto, significando una menor concentración de estudiantes de Pasto en este nivel, considerándose positivo para el municipio. En nivel de desempeño satisfactorio y avanzado  el Municipio se posiciona por arriba de Colombia con un 8% y 5% respectivamente.</w:t>
      </w:r>
    </w:p>
    <w:p w:rsidR="009A2496" w:rsidRPr="009A2496" w:rsidRDefault="009A2496" w:rsidP="00A92D87">
      <w:pPr>
        <w:autoSpaceDE w:val="0"/>
        <w:autoSpaceDN w:val="0"/>
        <w:adjustRightInd w:val="0"/>
        <w:spacing w:after="200" w:line="240" w:lineRule="auto"/>
        <w:jc w:val="both"/>
        <w:rPr>
          <w:rFonts w:eastAsia="Calibri" w:cs="Arial"/>
          <w:b/>
          <w:color w:val="000000"/>
        </w:rPr>
      </w:pPr>
      <w:r w:rsidRPr="009A2496">
        <w:rPr>
          <w:rFonts w:eastAsia="Calibri" w:cs="Arial"/>
        </w:rPr>
        <w:t xml:space="preserve">Es procedente decir de manera consolidada que en pensamiento ciudadano del grado quinto,  los estudiantes del Ente Territorial de Pasto presentan un mayor nivel de desempeño  que los estudiantes de Colombia, debido a que en nivel de desempeño satisfactorio y avanzado se concentra  el 54% de  los estudiantes de Pasto y los de Colombia en el 40%;   en nivel insuficiente y mínimo se posiciona el 60% de los estudiantes de Colombia y los estudiantes de Pasto con el 46%. </w:t>
      </w:r>
    </w:p>
    <w:p w:rsidR="009A2496" w:rsidRPr="009A2496" w:rsidRDefault="009A2496" w:rsidP="00A92D87">
      <w:pPr>
        <w:autoSpaceDE w:val="0"/>
        <w:autoSpaceDN w:val="0"/>
        <w:adjustRightInd w:val="0"/>
        <w:spacing w:after="200" w:line="240" w:lineRule="auto"/>
        <w:jc w:val="center"/>
        <w:rPr>
          <w:rFonts w:eastAsia="Calibri" w:cs="Arial"/>
        </w:rPr>
      </w:pPr>
      <w:r w:rsidRPr="009A2496">
        <w:rPr>
          <w:rFonts w:eastAsia="Calibri" w:cs="Arial"/>
          <w:b/>
        </w:rPr>
        <w:t xml:space="preserve">NIVEL DE DESEMPEÑO EN PENSAMIENTO CIUDADANO </w:t>
      </w:r>
      <w:r w:rsidRPr="009A2496">
        <w:rPr>
          <w:rFonts w:eastAsia="Calibri" w:cs="Times New Roman"/>
          <w:noProof/>
          <w:lang w:val="es-ES" w:eastAsia="es-ES"/>
        </w:rPr>
        <w:drawing>
          <wp:inline distT="0" distB="0" distL="0" distR="0">
            <wp:extent cx="4572000" cy="2743200"/>
            <wp:effectExtent l="0" t="0" r="19050" b="190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A2496" w:rsidRPr="009A2496" w:rsidRDefault="009A2496" w:rsidP="00A92D87">
      <w:pPr>
        <w:autoSpaceDE w:val="0"/>
        <w:autoSpaceDN w:val="0"/>
        <w:adjustRightInd w:val="0"/>
        <w:spacing w:after="200" w:line="240" w:lineRule="auto"/>
        <w:jc w:val="both"/>
        <w:rPr>
          <w:rFonts w:eastAsia="Calibri" w:cs="Arial"/>
        </w:rPr>
      </w:pPr>
      <w:r w:rsidRPr="009A2496">
        <w:rPr>
          <w:rFonts w:eastAsia="Calibri" w:cs="Arial"/>
        </w:rPr>
        <w:t xml:space="preserve">           Fuente: ICFES, saber 3°,5° y 9 año 2013.</w:t>
      </w:r>
    </w:p>
    <w:p w:rsidR="009A2496" w:rsidRPr="009A2496" w:rsidRDefault="009A2496" w:rsidP="00A92D87">
      <w:pPr>
        <w:spacing w:line="240" w:lineRule="auto"/>
        <w:jc w:val="center"/>
      </w:pPr>
    </w:p>
    <w:p w:rsidR="009A2496" w:rsidRPr="006C3CF7" w:rsidRDefault="00250676" w:rsidP="00250676">
      <w:pPr>
        <w:pStyle w:val="Ttulo2"/>
        <w:rPr>
          <w:rFonts w:asciiTheme="minorHAnsi" w:hAnsiTheme="minorHAnsi"/>
          <w:color w:val="auto"/>
          <w:sz w:val="22"/>
          <w:szCs w:val="22"/>
        </w:rPr>
      </w:pPr>
      <w:bookmarkStart w:id="110" w:name="_Toc437376054"/>
      <w:r w:rsidRPr="006C3CF7">
        <w:rPr>
          <w:rFonts w:asciiTheme="minorHAnsi" w:hAnsiTheme="minorHAnsi"/>
          <w:color w:val="auto"/>
          <w:sz w:val="22"/>
          <w:szCs w:val="22"/>
        </w:rPr>
        <w:t xml:space="preserve">6.1.3 </w:t>
      </w:r>
      <w:r w:rsidR="009A2496" w:rsidRPr="006C3CF7">
        <w:rPr>
          <w:rFonts w:asciiTheme="minorHAnsi" w:hAnsiTheme="minorHAnsi"/>
          <w:color w:val="auto"/>
          <w:sz w:val="22"/>
          <w:szCs w:val="22"/>
        </w:rPr>
        <w:t>CATEGORÍA DE DERECHOS A LA CIUDADANÍA</w:t>
      </w:r>
      <w:bookmarkEnd w:id="110"/>
    </w:p>
    <w:p w:rsidR="009A2496" w:rsidRPr="009A2496" w:rsidRDefault="009A2496" w:rsidP="00A92D87">
      <w:pPr>
        <w:spacing w:line="240" w:lineRule="auto"/>
        <w:jc w:val="center"/>
      </w:pPr>
      <w:r w:rsidRPr="009A2496">
        <w:tab/>
        <w:t>No. Indicador. 68. Proporción de niños y niñas menores de 1 año con registro civil por lugar de residencia</w:t>
      </w:r>
    </w:p>
    <w:tbl>
      <w:tblPr>
        <w:tblStyle w:val="Tablaconcuadrcula"/>
        <w:tblW w:w="0" w:type="auto"/>
        <w:tblLook w:val="04A0"/>
      </w:tblPr>
      <w:tblGrid>
        <w:gridCol w:w="2207"/>
        <w:gridCol w:w="2207"/>
        <w:gridCol w:w="2207"/>
        <w:gridCol w:w="2207"/>
      </w:tblGrid>
      <w:tr w:rsidR="009A2496" w:rsidRPr="009A2496" w:rsidTr="00000F81">
        <w:tc>
          <w:tcPr>
            <w:tcW w:w="2207" w:type="dxa"/>
          </w:tcPr>
          <w:p w:rsidR="009A2496" w:rsidRPr="009A2496" w:rsidRDefault="009A2496" w:rsidP="00A92D87">
            <w:pPr>
              <w:jc w:val="center"/>
              <w:rPr>
                <w:b/>
              </w:rPr>
            </w:pPr>
            <w:r w:rsidRPr="009A2496">
              <w:rPr>
                <w:b/>
              </w:rPr>
              <w:t>AÑO</w:t>
            </w:r>
          </w:p>
        </w:tc>
        <w:tc>
          <w:tcPr>
            <w:tcW w:w="2207" w:type="dxa"/>
          </w:tcPr>
          <w:p w:rsidR="009A2496" w:rsidRPr="009A2496" w:rsidRDefault="009A2496" w:rsidP="00A92D87">
            <w:pPr>
              <w:jc w:val="center"/>
              <w:rPr>
                <w:b/>
              </w:rPr>
            </w:pPr>
            <w:r w:rsidRPr="009A2496">
              <w:rPr>
                <w:b/>
              </w:rPr>
              <w:t>NUMERADOR</w:t>
            </w:r>
          </w:p>
        </w:tc>
        <w:tc>
          <w:tcPr>
            <w:tcW w:w="2207" w:type="dxa"/>
          </w:tcPr>
          <w:p w:rsidR="009A2496" w:rsidRPr="009A2496" w:rsidRDefault="009A2496" w:rsidP="00A92D87">
            <w:pPr>
              <w:jc w:val="center"/>
              <w:rPr>
                <w:b/>
              </w:rPr>
            </w:pPr>
            <w:r w:rsidRPr="009A2496">
              <w:rPr>
                <w:b/>
              </w:rPr>
              <w:t>DENOMINADOR</w:t>
            </w:r>
          </w:p>
        </w:tc>
        <w:tc>
          <w:tcPr>
            <w:tcW w:w="2207" w:type="dxa"/>
          </w:tcPr>
          <w:p w:rsidR="009A2496" w:rsidRPr="009A2496" w:rsidRDefault="009A2496" w:rsidP="00A92D87">
            <w:pPr>
              <w:jc w:val="center"/>
              <w:rPr>
                <w:b/>
              </w:rPr>
            </w:pPr>
            <w:r w:rsidRPr="009A2496">
              <w:rPr>
                <w:b/>
              </w:rPr>
              <w:t>RESULTADO</w:t>
            </w:r>
          </w:p>
        </w:tc>
      </w:tr>
      <w:tr w:rsidR="009A2496" w:rsidRPr="009A2496" w:rsidTr="00000F81">
        <w:tc>
          <w:tcPr>
            <w:tcW w:w="2207" w:type="dxa"/>
          </w:tcPr>
          <w:p w:rsidR="009A2496" w:rsidRPr="009A2496" w:rsidRDefault="009A2496" w:rsidP="00A92D87">
            <w:pPr>
              <w:jc w:val="center"/>
              <w:rPr>
                <w:b/>
              </w:rPr>
            </w:pPr>
            <w:r w:rsidRPr="009A2496">
              <w:rPr>
                <w:b/>
              </w:rPr>
              <w:t>2011</w:t>
            </w:r>
          </w:p>
        </w:tc>
        <w:tc>
          <w:tcPr>
            <w:tcW w:w="2207" w:type="dxa"/>
          </w:tcPr>
          <w:p w:rsidR="009A2496" w:rsidRPr="009A2496" w:rsidRDefault="009A2496" w:rsidP="00A92D87">
            <w:pPr>
              <w:jc w:val="both"/>
            </w:pPr>
            <w:r w:rsidRPr="009A2496">
              <w:t>5.000</w:t>
            </w:r>
          </w:p>
        </w:tc>
        <w:tc>
          <w:tcPr>
            <w:tcW w:w="2207" w:type="dxa"/>
          </w:tcPr>
          <w:p w:rsidR="009A2496" w:rsidRPr="009A2496" w:rsidRDefault="009A2496" w:rsidP="00A92D87">
            <w:pPr>
              <w:jc w:val="both"/>
            </w:pPr>
            <w:r w:rsidRPr="009A2496">
              <w:t>6.372</w:t>
            </w:r>
          </w:p>
        </w:tc>
        <w:tc>
          <w:tcPr>
            <w:tcW w:w="2207" w:type="dxa"/>
          </w:tcPr>
          <w:p w:rsidR="009A2496" w:rsidRPr="009A2496" w:rsidRDefault="009A2496" w:rsidP="00A92D87">
            <w:pPr>
              <w:jc w:val="both"/>
            </w:pPr>
            <w:r w:rsidRPr="009A2496">
              <w:t>78.50</w:t>
            </w:r>
          </w:p>
        </w:tc>
      </w:tr>
      <w:tr w:rsidR="009A2496" w:rsidRPr="009A2496" w:rsidTr="00000F81">
        <w:tc>
          <w:tcPr>
            <w:tcW w:w="2207" w:type="dxa"/>
          </w:tcPr>
          <w:p w:rsidR="009A2496" w:rsidRPr="009A2496" w:rsidRDefault="009A2496" w:rsidP="00A92D87">
            <w:pPr>
              <w:jc w:val="center"/>
              <w:rPr>
                <w:b/>
              </w:rPr>
            </w:pPr>
            <w:r w:rsidRPr="009A2496">
              <w:rPr>
                <w:b/>
              </w:rPr>
              <w:t>2012</w:t>
            </w:r>
          </w:p>
        </w:tc>
        <w:tc>
          <w:tcPr>
            <w:tcW w:w="2207" w:type="dxa"/>
          </w:tcPr>
          <w:p w:rsidR="009A2496" w:rsidRPr="009A2496" w:rsidRDefault="009A2496" w:rsidP="00A92D87">
            <w:pPr>
              <w:jc w:val="both"/>
            </w:pPr>
            <w:r w:rsidRPr="009A2496">
              <w:t>5.328.0</w:t>
            </w:r>
          </w:p>
        </w:tc>
        <w:tc>
          <w:tcPr>
            <w:tcW w:w="2207" w:type="dxa"/>
          </w:tcPr>
          <w:p w:rsidR="009A2496" w:rsidRPr="009A2496" w:rsidRDefault="009A2496" w:rsidP="00A92D87">
            <w:pPr>
              <w:jc w:val="both"/>
            </w:pPr>
            <w:r w:rsidRPr="009A2496">
              <w:t>6.200</w:t>
            </w:r>
          </w:p>
        </w:tc>
        <w:tc>
          <w:tcPr>
            <w:tcW w:w="2207" w:type="dxa"/>
          </w:tcPr>
          <w:p w:rsidR="009A2496" w:rsidRPr="009A2496" w:rsidRDefault="009A2496" w:rsidP="00A92D87">
            <w:pPr>
              <w:jc w:val="both"/>
            </w:pPr>
            <w:r w:rsidRPr="009A2496">
              <w:t>85.90</w:t>
            </w:r>
          </w:p>
        </w:tc>
      </w:tr>
      <w:tr w:rsidR="009A2496" w:rsidRPr="009A2496" w:rsidTr="00000F81">
        <w:tc>
          <w:tcPr>
            <w:tcW w:w="2207" w:type="dxa"/>
          </w:tcPr>
          <w:p w:rsidR="009A2496" w:rsidRPr="009A2496" w:rsidRDefault="009A2496" w:rsidP="00A92D87">
            <w:pPr>
              <w:jc w:val="center"/>
              <w:rPr>
                <w:b/>
              </w:rPr>
            </w:pPr>
            <w:r w:rsidRPr="009A2496">
              <w:rPr>
                <w:b/>
              </w:rPr>
              <w:t>2013</w:t>
            </w:r>
          </w:p>
        </w:tc>
        <w:tc>
          <w:tcPr>
            <w:tcW w:w="2207" w:type="dxa"/>
          </w:tcPr>
          <w:p w:rsidR="009A2496" w:rsidRPr="009A2496" w:rsidRDefault="009A2496" w:rsidP="00A92D87">
            <w:pPr>
              <w:jc w:val="both"/>
            </w:pPr>
            <w:r w:rsidRPr="009A2496">
              <w:t>5.129</w:t>
            </w:r>
          </w:p>
        </w:tc>
        <w:tc>
          <w:tcPr>
            <w:tcW w:w="2207" w:type="dxa"/>
          </w:tcPr>
          <w:p w:rsidR="009A2496" w:rsidRPr="009A2496" w:rsidRDefault="009A2496" w:rsidP="00A92D87">
            <w:pPr>
              <w:jc w:val="both"/>
            </w:pPr>
            <w:r w:rsidRPr="009A2496">
              <w:t>6.268</w:t>
            </w:r>
          </w:p>
        </w:tc>
        <w:tc>
          <w:tcPr>
            <w:tcW w:w="2207" w:type="dxa"/>
          </w:tcPr>
          <w:p w:rsidR="009A2496" w:rsidRPr="009A2496" w:rsidRDefault="009A2496" w:rsidP="00A92D87">
            <w:pPr>
              <w:jc w:val="both"/>
            </w:pPr>
            <w:r w:rsidRPr="009A2496">
              <w:t>81.80</w:t>
            </w:r>
          </w:p>
        </w:tc>
      </w:tr>
      <w:tr w:rsidR="009A2496" w:rsidRPr="009A2496" w:rsidTr="00000F81">
        <w:tc>
          <w:tcPr>
            <w:tcW w:w="2207" w:type="dxa"/>
          </w:tcPr>
          <w:p w:rsidR="009A2496" w:rsidRPr="009A2496" w:rsidRDefault="009A2496" w:rsidP="00A92D87">
            <w:pPr>
              <w:jc w:val="center"/>
              <w:rPr>
                <w:b/>
              </w:rPr>
            </w:pPr>
            <w:r w:rsidRPr="009A2496">
              <w:rPr>
                <w:b/>
              </w:rPr>
              <w:t>2014</w:t>
            </w:r>
          </w:p>
        </w:tc>
        <w:tc>
          <w:tcPr>
            <w:tcW w:w="2207" w:type="dxa"/>
          </w:tcPr>
          <w:p w:rsidR="009A2496" w:rsidRPr="009A2496" w:rsidRDefault="009A2496" w:rsidP="00A92D87">
            <w:pPr>
              <w:jc w:val="both"/>
            </w:pPr>
          </w:p>
        </w:tc>
        <w:tc>
          <w:tcPr>
            <w:tcW w:w="2207" w:type="dxa"/>
          </w:tcPr>
          <w:p w:rsidR="009A2496" w:rsidRPr="009A2496" w:rsidRDefault="009A2496" w:rsidP="00A92D87">
            <w:pPr>
              <w:jc w:val="both"/>
            </w:pPr>
          </w:p>
        </w:tc>
        <w:tc>
          <w:tcPr>
            <w:tcW w:w="2207" w:type="dxa"/>
          </w:tcPr>
          <w:p w:rsidR="009A2496" w:rsidRPr="009A2496" w:rsidRDefault="009A2496" w:rsidP="00A92D87">
            <w:pPr>
              <w:jc w:val="both"/>
            </w:pPr>
          </w:p>
        </w:tc>
      </w:tr>
    </w:tbl>
    <w:p w:rsidR="009A2496" w:rsidRPr="009A2496" w:rsidRDefault="009A2496" w:rsidP="00A92D87">
      <w:pPr>
        <w:spacing w:line="240" w:lineRule="auto"/>
        <w:jc w:val="both"/>
      </w:pPr>
      <w:r w:rsidRPr="009A2496">
        <w:t xml:space="preserve">Fuente: </w:t>
      </w:r>
      <w:hyperlink r:id="rId44" w:history="1">
        <w:r w:rsidRPr="001B34D0">
          <w:rPr>
            <w:color w:val="0563C1" w:themeColor="hyperlink"/>
            <w:u w:val="single"/>
          </w:rPr>
          <w:t>http://www.vigilanciasuperiorprocuraduria.org/</w:t>
        </w:r>
      </w:hyperlink>
    </w:p>
    <w:p w:rsidR="009A2496" w:rsidRPr="009A2496" w:rsidRDefault="009A2496" w:rsidP="00A92D87">
      <w:pPr>
        <w:spacing w:line="240" w:lineRule="auto"/>
        <w:jc w:val="both"/>
      </w:pPr>
    </w:p>
    <w:p w:rsidR="009A2496" w:rsidRPr="009A2496" w:rsidRDefault="009A2496" w:rsidP="00A92D87">
      <w:pPr>
        <w:spacing w:line="240" w:lineRule="auto"/>
        <w:jc w:val="both"/>
      </w:pPr>
      <w:r w:rsidRPr="009A2496">
        <w:t>Fortalezas:</w:t>
      </w:r>
    </w:p>
    <w:p w:rsidR="009A2496" w:rsidRPr="009A2496" w:rsidRDefault="009A2496" w:rsidP="00A92D87">
      <w:pPr>
        <w:spacing w:line="240" w:lineRule="auto"/>
        <w:jc w:val="both"/>
      </w:pPr>
      <w:r w:rsidRPr="009A2496">
        <w:t>REGISTRAR AL MENOR PARA GARANTIZARLE LA PROTECCIÓN DE LOS NIÑOS Y NIÑAS A UN NOMBRE LO QUE SE TRADUCE A LA ATENCIÓN INMEDIATO A UN REGISTRO CIVIL DE NACIMIENTO. QUE LE PERMITE EL ACCESO A LOS SERVICIOS DE SALUD EDUCACIÓN, Y TODOS LOS SERVICIOS QUE TENGA EL ESTADO.</w:t>
      </w:r>
    </w:p>
    <w:p w:rsidR="009A2496" w:rsidRPr="009A2496" w:rsidRDefault="009A2496" w:rsidP="00A92D87">
      <w:pPr>
        <w:spacing w:line="240" w:lineRule="auto"/>
        <w:jc w:val="both"/>
      </w:pPr>
      <w:r w:rsidRPr="009A2496">
        <w:t xml:space="preserve">Debilidades </w:t>
      </w:r>
    </w:p>
    <w:p w:rsidR="009A2496" w:rsidRPr="009A2496" w:rsidRDefault="009A2496" w:rsidP="00A92D87">
      <w:pPr>
        <w:spacing w:line="240" w:lineRule="auto"/>
        <w:jc w:val="both"/>
      </w:pPr>
      <w:r w:rsidRPr="009A2496">
        <w:t>CUANDO NO REGISTRA AL MENOR, NO PERMITE A LOS DIFERENTES SERVICIOS.</w:t>
      </w:r>
    </w:p>
    <w:p w:rsidR="009A2496" w:rsidRPr="009A2496" w:rsidRDefault="009A2496" w:rsidP="00A92D87">
      <w:pPr>
        <w:spacing w:line="240" w:lineRule="auto"/>
        <w:jc w:val="both"/>
      </w:pPr>
      <w:r w:rsidRPr="009A2496">
        <w:t>Mejoró</w:t>
      </w:r>
    </w:p>
    <w:p w:rsidR="009A2496" w:rsidRPr="009A2496" w:rsidRDefault="009A2496" w:rsidP="00A92D87">
      <w:pPr>
        <w:spacing w:line="240" w:lineRule="auto"/>
        <w:jc w:val="both"/>
      </w:pPr>
      <w:r w:rsidRPr="009A2496">
        <w:t>Impactos positivos</w:t>
      </w:r>
    </w:p>
    <w:p w:rsidR="009A2496" w:rsidRPr="009A2496" w:rsidRDefault="009A2496" w:rsidP="00A92D87">
      <w:pPr>
        <w:spacing w:line="240" w:lineRule="auto"/>
        <w:jc w:val="both"/>
      </w:pPr>
      <w:r w:rsidRPr="009A2496">
        <w:t>EL DERECHO AL MENOR A UNA IDENTIDAD, PORQUE A PARTIR DE ESE MOMENTO EL ESTADO Y LAS LEYES RECONOCEN, SABE QUE EXISTE Y ES PARTICIPE DEL CONJUNTO DE LOS DERECHOS DEL NIÑO ESTABLECIDOS EN LA CONSTITUCION NACIONAL DE COLOMBIA</w:t>
      </w:r>
    </w:p>
    <w:p w:rsidR="009A2496" w:rsidRPr="009A2496" w:rsidRDefault="009A2496" w:rsidP="00A92D87">
      <w:pPr>
        <w:spacing w:line="240" w:lineRule="auto"/>
        <w:jc w:val="both"/>
      </w:pPr>
      <w:r w:rsidRPr="009A2496">
        <w:t>Impactos negativos</w:t>
      </w:r>
    </w:p>
    <w:p w:rsidR="009A2496" w:rsidRPr="009A2496" w:rsidRDefault="009A2496" w:rsidP="00A92D87">
      <w:pPr>
        <w:spacing w:line="240" w:lineRule="auto"/>
        <w:jc w:val="both"/>
      </w:pPr>
      <w:r w:rsidRPr="009A2496">
        <w:t>LOS PADRES CUANDO VIVEN EN VEREDAS MUY LEJANAS DE LA CIUDAD NO SE PREOCUPAN POR REGISTRAR A LOS NIÑOS DESDE QUE NACEN, YA QUE ESTO LO HACEN LOS HOSPITALES GRANDES. NO LLEGAN A TODO EL TERRITORIOS DEL MUNICIPIO.</w:t>
      </w:r>
    </w:p>
    <w:p w:rsidR="009A2496" w:rsidRPr="009A2496" w:rsidRDefault="009A2496" w:rsidP="00A92D87">
      <w:pPr>
        <w:spacing w:line="240" w:lineRule="auto"/>
        <w:jc w:val="both"/>
      </w:pPr>
      <w:r w:rsidRPr="009A2496">
        <w:t>NO SE PUEDE LLEGAR A TODOS LOS CORREGIMIENTOS POR SEGURIDAD, PARA REGISTRAR A TODOS LOS NIÑOS QUE NACEN.</w:t>
      </w:r>
    </w:p>
    <w:p w:rsidR="009A2496" w:rsidRPr="006C3CF7" w:rsidRDefault="00250676" w:rsidP="00250676">
      <w:pPr>
        <w:pStyle w:val="Ttulo2"/>
        <w:rPr>
          <w:rFonts w:asciiTheme="minorHAnsi" w:hAnsiTheme="minorHAnsi"/>
          <w:color w:val="auto"/>
          <w:sz w:val="22"/>
          <w:szCs w:val="22"/>
        </w:rPr>
      </w:pPr>
      <w:bookmarkStart w:id="111" w:name="_Toc437376055"/>
      <w:r w:rsidRPr="006C3CF7">
        <w:rPr>
          <w:rFonts w:asciiTheme="minorHAnsi" w:hAnsiTheme="minorHAnsi"/>
          <w:color w:val="auto"/>
          <w:sz w:val="22"/>
          <w:szCs w:val="22"/>
        </w:rPr>
        <w:t xml:space="preserve">6.1.4 </w:t>
      </w:r>
      <w:r w:rsidR="00215ED6" w:rsidRPr="006C3CF7">
        <w:rPr>
          <w:rFonts w:asciiTheme="minorHAnsi" w:hAnsiTheme="minorHAnsi"/>
          <w:color w:val="auto"/>
          <w:sz w:val="22"/>
          <w:szCs w:val="22"/>
        </w:rPr>
        <w:t xml:space="preserve">CATEGORÍA </w:t>
      </w:r>
      <w:r w:rsidR="009A2496" w:rsidRPr="006C3CF7">
        <w:rPr>
          <w:rFonts w:asciiTheme="minorHAnsi" w:hAnsiTheme="minorHAnsi"/>
          <w:color w:val="auto"/>
          <w:sz w:val="22"/>
          <w:szCs w:val="22"/>
        </w:rPr>
        <w:t>DERECHOS A LA PROTECCIÓN</w:t>
      </w:r>
      <w:bookmarkEnd w:id="111"/>
    </w:p>
    <w:p w:rsidR="006C3CF7" w:rsidRDefault="006C3CF7" w:rsidP="00A92D87">
      <w:pPr>
        <w:spacing w:line="240" w:lineRule="auto"/>
        <w:jc w:val="both"/>
        <w:rPr>
          <w:rFonts w:cs="Arial"/>
          <w:b/>
          <w:noProof/>
          <w:lang w:eastAsia="es-CO"/>
        </w:rPr>
      </w:pPr>
    </w:p>
    <w:p w:rsidR="009A2496" w:rsidRPr="009A2496" w:rsidRDefault="009A2496" w:rsidP="00A92D87">
      <w:pPr>
        <w:spacing w:line="240" w:lineRule="auto"/>
        <w:jc w:val="both"/>
        <w:rPr>
          <w:rFonts w:cs="Arial"/>
          <w:noProof/>
          <w:lang w:eastAsia="es-CO"/>
        </w:rPr>
      </w:pPr>
      <w:r w:rsidRPr="009A2496">
        <w:rPr>
          <w:rFonts w:cs="Arial"/>
          <w:b/>
          <w:noProof/>
          <w:lang w:eastAsia="es-CO"/>
        </w:rPr>
        <w:t>Código del indicador</w:t>
      </w:r>
      <w:r w:rsidRPr="009A2496">
        <w:rPr>
          <w:rFonts w:cs="Arial"/>
          <w:noProof/>
          <w:lang w:eastAsia="es-CO"/>
        </w:rPr>
        <w:t>: 69</w:t>
      </w:r>
    </w:p>
    <w:p w:rsidR="009A2496" w:rsidRPr="009A2496" w:rsidRDefault="009A2496" w:rsidP="00A92D87">
      <w:pPr>
        <w:spacing w:line="240" w:lineRule="auto"/>
        <w:jc w:val="both"/>
        <w:rPr>
          <w:rFonts w:cs="Arial"/>
          <w:b/>
          <w:noProof/>
          <w:lang w:eastAsia="es-CO"/>
        </w:rPr>
      </w:pPr>
      <w:r w:rsidRPr="009A2496">
        <w:rPr>
          <w:rFonts w:cs="Arial"/>
          <w:b/>
          <w:noProof/>
          <w:lang w:eastAsia="es-CO"/>
        </w:rPr>
        <w:t>Nombre del indicador</w:t>
      </w:r>
      <w:r w:rsidRPr="009A2496">
        <w:rPr>
          <w:rFonts w:cs="Arial"/>
          <w:noProof/>
          <w:lang w:eastAsia="es-CO"/>
        </w:rPr>
        <w:t>: Número de niños, niñas y adolescentes en Proceso Administrativo de Restablecimiento de Derechos - PARD</w:t>
      </w:r>
    </w:p>
    <w:p w:rsidR="009A2496" w:rsidRPr="009A2496" w:rsidRDefault="009A2496" w:rsidP="00A92D87">
      <w:pPr>
        <w:numPr>
          <w:ilvl w:val="0"/>
          <w:numId w:val="25"/>
        </w:numPr>
        <w:spacing w:line="240" w:lineRule="auto"/>
        <w:contextualSpacing/>
        <w:jc w:val="both"/>
        <w:rPr>
          <w:rFonts w:cs="Arial"/>
          <w:b/>
          <w:noProof/>
          <w:lang w:eastAsia="es-CO"/>
        </w:rPr>
      </w:pPr>
      <w:r w:rsidRPr="009A2496">
        <w:rPr>
          <w:rFonts w:cs="Arial"/>
          <w:noProof/>
          <w:lang w:eastAsia="es-CO"/>
        </w:rPr>
        <w:lastRenderedPageBreak/>
        <w:t>Identifique cual es la fuente de información que respalda el análisis que realizará a continuación (nacional o local), identificando sus fortalezas y debilidades:</w:t>
      </w:r>
    </w:p>
    <w:p w:rsidR="009A2496" w:rsidRPr="009A2496" w:rsidRDefault="009A2496" w:rsidP="00A92D87">
      <w:pPr>
        <w:numPr>
          <w:ilvl w:val="0"/>
          <w:numId w:val="22"/>
        </w:numPr>
        <w:tabs>
          <w:tab w:val="left" w:pos="1920"/>
        </w:tabs>
        <w:spacing w:line="240" w:lineRule="auto"/>
        <w:contextualSpacing/>
        <w:jc w:val="both"/>
        <w:rPr>
          <w:rFonts w:cs="Arial"/>
          <w:noProof/>
          <w:u w:val="single"/>
          <w:lang w:eastAsia="es-CO"/>
        </w:rPr>
      </w:pPr>
      <w:r w:rsidRPr="009A2496">
        <w:rPr>
          <w:rFonts w:cs="Arial"/>
          <w:noProof/>
          <w:lang w:eastAsia="es-CO"/>
        </w:rPr>
        <w:t xml:space="preserve">Fuente Nacional </w:t>
      </w:r>
      <w:r w:rsidRPr="009A2496">
        <w:rPr>
          <w:rFonts w:cs="Arial"/>
          <w:b/>
          <w:noProof/>
          <w:u w:val="single"/>
          <w:lang w:eastAsia="es-CO"/>
        </w:rPr>
        <w:t>X</w:t>
      </w:r>
    </w:p>
    <w:p w:rsidR="009A2496" w:rsidRPr="009A2496" w:rsidRDefault="009A2496" w:rsidP="00A92D87">
      <w:pPr>
        <w:numPr>
          <w:ilvl w:val="0"/>
          <w:numId w:val="22"/>
        </w:numPr>
        <w:tabs>
          <w:tab w:val="left" w:pos="1920"/>
        </w:tabs>
        <w:spacing w:line="240" w:lineRule="auto"/>
        <w:contextualSpacing/>
        <w:jc w:val="both"/>
        <w:rPr>
          <w:rFonts w:cs="Arial"/>
          <w:noProof/>
          <w:lang w:eastAsia="es-CO"/>
        </w:rPr>
      </w:pPr>
      <w:r w:rsidRPr="009A2496">
        <w:rPr>
          <w:rFonts w:cs="Arial"/>
          <w:noProof/>
          <w:lang w:eastAsia="es-CO"/>
        </w:rPr>
        <w:t>Fuente Local</w:t>
      </w:r>
    </w:p>
    <w:p w:rsidR="006C3CF7" w:rsidRDefault="006C3CF7" w:rsidP="00A92D87">
      <w:pPr>
        <w:tabs>
          <w:tab w:val="left" w:pos="1920"/>
        </w:tabs>
        <w:spacing w:line="240" w:lineRule="auto"/>
        <w:jc w:val="both"/>
        <w:rPr>
          <w:rFonts w:cs="Arial"/>
          <w:b/>
          <w:noProof/>
          <w:lang w:eastAsia="es-CO"/>
        </w:rPr>
      </w:pP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 xml:space="preserve">    Fortalezas:</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Se cuenta con un sistema de información misional SIM desde el ICBF que permite identificar el numero de niños, niñas y adolescentes en proceso administrativo - PARD y las medidas adoptadas por la respectiva Defensoria de Familia para el restablecimiento de derechos.</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Esta informacion sirve para alimentar el Sistema Único de Informacion para la niñez SUIN, el que permite consolidar la estadistica nacional, departamental y municipal de niños, niñas y adolescentes en proceso administrativo de restablecimiento de derechos.</w:t>
      </w: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Debilidades:</w:t>
      </w:r>
    </w:p>
    <w:p w:rsidR="009A2496" w:rsidRPr="009A2496" w:rsidRDefault="009A2496" w:rsidP="00A92D87">
      <w:pPr>
        <w:spacing w:line="240" w:lineRule="auto"/>
        <w:jc w:val="both"/>
        <w:rPr>
          <w:rFonts w:cs="Arial"/>
          <w:lang w:eastAsia="es-CO"/>
        </w:rPr>
      </w:pPr>
      <w:r w:rsidRPr="009A2496">
        <w:rPr>
          <w:rFonts w:cs="Arial"/>
          <w:lang w:eastAsia="es-CO"/>
        </w:rPr>
        <w:t xml:space="preserve">Al Sistema de Información Misional - SIM, solo tiene acceso el ICBF y no los Comisarios de Familia quienes en el territorio por competencia subsidiaria, adelantan procesos administrativos de restablecimiento de derechos. </w:t>
      </w:r>
    </w:p>
    <w:p w:rsidR="009A2496" w:rsidRPr="009A2496" w:rsidRDefault="009A2496" w:rsidP="00A92D87">
      <w:pPr>
        <w:spacing w:line="240" w:lineRule="auto"/>
        <w:jc w:val="both"/>
        <w:rPr>
          <w:rFonts w:cs="Arial"/>
          <w:lang w:eastAsia="es-CO"/>
        </w:rPr>
      </w:pPr>
      <w:r w:rsidRPr="009A2496">
        <w:rPr>
          <w:rFonts w:cs="Arial"/>
          <w:lang w:eastAsia="es-CO"/>
        </w:rPr>
        <w:t>Durante el periodo a analizar, desde las comisarías de familia se envió la información de los Procesos Administrativos de Restablecimiento de Derechos- PARD atendidos al ICBF, en un instrumento diseñado para tal fin, por cuanto, la comisaria de Familia, no cuentan con un sistema de información propio.</w:t>
      </w:r>
    </w:p>
    <w:p w:rsidR="009A2496" w:rsidRPr="009A2496" w:rsidRDefault="009A2496" w:rsidP="00A92D87">
      <w:pPr>
        <w:tabs>
          <w:tab w:val="left" w:pos="1305"/>
        </w:tabs>
        <w:spacing w:line="240" w:lineRule="auto"/>
        <w:jc w:val="both"/>
        <w:rPr>
          <w:rFonts w:cs="Arial"/>
          <w:lang w:eastAsia="es-CO"/>
        </w:rPr>
      </w:pPr>
      <w:r w:rsidRPr="009A2496">
        <w:rPr>
          <w:rFonts w:cs="Arial"/>
        </w:rPr>
        <w:t xml:space="preserve">La fuente nacional allegada, no permite desagregación por motivo de ingreso al proceso administrativo de restablecimiento de derechos- PARD.  </w:t>
      </w:r>
    </w:p>
    <w:p w:rsidR="009A2496" w:rsidRPr="009A2496" w:rsidRDefault="009A2496" w:rsidP="00A92D87">
      <w:pPr>
        <w:numPr>
          <w:ilvl w:val="0"/>
          <w:numId w:val="23"/>
        </w:numPr>
        <w:spacing w:line="240" w:lineRule="auto"/>
        <w:contextualSpacing/>
        <w:jc w:val="both"/>
        <w:rPr>
          <w:rFonts w:cs="Arial"/>
          <w:b/>
          <w:noProof/>
          <w:lang w:eastAsia="es-CO"/>
        </w:rPr>
      </w:pPr>
      <w:r w:rsidRPr="009A2496">
        <w:rPr>
          <w:rFonts w:cs="Arial"/>
          <w:shd w:val="clear" w:color="auto" w:fill="FFFFFF"/>
        </w:rPr>
        <w:t>Indique, según los siguientes criterios de valoración, cual es el que mejor interpreta el comportamiento del indicador analizado, para el periodo comprendido entre los años 2011 y 2014. </w:t>
      </w:r>
      <w:r w:rsidRPr="009A2496">
        <w:rPr>
          <w:rFonts w:cs="Arial"/>
        </w:rPr>
        <w:br/>
      </w:r>
      <w:r w:rsidRPr="009A2496">
        <w:rPr>
          <w:rFonts w:cs="Arial"/>
          <w:shd w:val="clear" w:color="auto" w:fill="FFFFFF"/>
        </w:rPr>
        <w:t>Tenga en cuenta que debe analizar el periodo completo (2011 al 2014), si no cuenta con información para todos los años, la categoría a señalar es "sin serie Temporal":</w:t>
      </w:r>
    </w:p>
    <w:p w:rsidR="009A2496" w:rsidRPr="009A2496" w:rsidRDefault="009A2496" w:rsidP="00A92D87">
      <w:pPr>
        <w:spacing w:line="240" w:lineRule="auto"/>
        <w:ind w:left="720"/>
        <w:contextualSpacing/>
        <w:jc w:val="both"/>
        <w:rPr>
          <w:rFonts w:cs="Arial"/>
          <w:b/>
          <w:noProof/>
          <w:lang w:eastAsia="es-CO"/>
        </w:rPr>
      </w:pPr>
    </w:p>
    <w:p w:rsidR="009A2496" w:rsidRPr="009A2496" w:rsidRDefault="009A2496" w:rsidP="00A92D87">
      <w:pPr>
        <w:numPr>
          <w:ilvl w:val="0"/>
          <w:numId w:val="24"/>
        </w:numPr>
        <w:tabs>
          <w:tab w:val="left" w:pos="1830"/>
        </w:tabs>
        <w:spacing w:line="240" w:lineRule="auto"/>
        <w:contextualSpacing/>
        <w:jc w:val="both"/>
        <w:rPr>
          <w:rFonts w:cs="Arial"/>
          <w:lang w:eastAsia="es-CO"/>
        </w:rPr>
      </w:pPr>
      <w:r w:rsidRPr="009A2496">
        <w:rPr>
          <w:rFonts w:cs="Arial"/>
          <w:lang w:eastAsia="es-CO"/>
        </w:rPr>
        <w:t xml:space="preserve">Mejoró  </w:t>
      </w:r>
    </w:p>
    <w:p w:rsidR="009A2496" w:rsidRPr="009A2496" w:rsidRDefault="009A2496" w:rsidP="00A92D87">
      <w:pPr>
        <w:numPr>
          <w:ilvl w:val="0"/>
          <w:numId w:val="22"/>
        </w:numPr>
        <w:tabs>
          <w:tab w:val="left" w:pos="1830"/>
        </w:tabs>
        <w:spacing w:line="240" w:lineRule="auto"/>
        <w:contextualSpacing/>
        <w:jc w:val="both"/>
        <w:rPr>
          <w:rFonts w:cs="Arial"/>
          <w:lang w:eastAsia="es-CO"/>
        </w:rPr>
      </w:pPr>
      <w:r w:rsidRPr="009A2496">
        <w:rPr>
          <w:rFonts w:cs="Arial"/>
          <w:lang w:eastAsia="es-CO"/>
        </w:rPr>
        <w:t>Desmejoró</w:t>
      </w:r>
    </w:p>
    <w:p w:rsidR="009A2496" w:rsidRPr="009A2496" w:rsidRDefault="009A2496" w:rsidP="00A92D87">
      <w:pPr>
        <w:numPr>
          <w:ilvl w:val="0"/>
          <w:numId w:val="22"/>
        </w:numPr>
        <w:tabs>
          <w:tab w:val="left" w:pos="1830"/>
        </w:tabs>
        <w:spacing w:line="240" w:lineRule="auto"/>
        <w:contextualSpacing/>
        <w:jc w:val="both"/>
        <w:rPr>
          <w:rFonts w:cs="Arial"/>
          <w:lang w:eastAsia="es-CO"/>
        </w:rPr>
      </w:pPr>
      <w:r w:rsidRPr="009A2496">
        <w:rPr>
          <w:rFonts w:cs="Arial"/>
          <w:lang w:eastAsia="es-CO"/>
        </w:rPr>
        <w:t>Estable</w:t>
      </w:r>
    </w:p>
    <w:p w:rsidR="009A2496" w:rsidRPr="009A2496" w:rsidRDefault="009A2496" w:rsidP="00A92D87">
      <w:pPr>
        <w:tabs>
          <w:tab w:val="left" w:pos="1830"/>
        </w:tabs>
        <w:spacing w:line="240" w:lineRule="auto"/>
        <w:ind w:left="360"/>
        <w:contextualSpacing/>
        <w:jc w:val="both"/>
        <w:rPr>
          <w:rFonts w:cs="Arial"/>
          <w:lang w:eastAsia="es-CO"/>
        </w:rPr>
      </w:pPr>
      <w:r w:rsidRPr="009A2496">
        <w:rPr>
          <w:rFonts w:cs="Arial"/>
          <w:lang w:eastAsia="es-CO"/>
        </w:rPr>
        <w:t xml:space="preserve">X   Sin serie temporal </w:t>
      </w:r>
    </w:p>
    <w:p w:rsidR="009A2496" w:rsidRPr="009A2496" w:rsidRDefault="009A2496" w:rsidP="00A92D87">
      <w:pPr>
        <w:numPr>
          <w:ilvl w:val="0"/>
          <w:numId w:val="22"/>
        </w:numPr>
        <w:tabs>
          <w:tab w:val="left" w:pos="1830"/>
        </w:tabs>
        <w:spacing w:line="240" w:lineRule="auto"/>
        <w:contextualSpacing/>
        <w:jc w:val="both"/>
        <w:rPr>
          <w:rFonts w:cs="Arial"/>
          <w:lang w:eastAsia="es-CO"/>
        </w:rPr>
      </w:pPr>
      <w:r w:rsidRPr="009A2496">
        <w:rPr>
          <w:rFonts w:cs="Arial"/>
          <w:lang w:eastAsia="es-CO"/>
        </w:rPr>
        <w:t>Sin datos</w:t>
      </w:r>
    </w:p>
    <w:p w:rsidR="009A2496" w:rsidRPr="009A2496" w:rsidRDefault="009A2496" w:rsidP="00A92D87">
      <w:pPr>
        <w:tabs>
          <w:tab w:val="left" w:pos="1830"/>
        </w:tabs>
        <w:spacing w:line="240" w:lineRule="auto"/>
        <w:ind w:left="720"/>
        <w:contextualSpacing/>
        <w:jc w:val="both"/>
        <w:rPr>
          <w:rFonts w:cs="Arial"/>
          <w:lang w:eastAsia="es-CO"/>
        </w:rPr>
      </w:pPr>
    </w:p>
    <w:p w:rsidR="009A2496" w:rsidRPr="009A2496" w:rsidRDefault="009A2496" w:rsidP="00A92D87">
      <w:pPr>
        <w:tabs>
          <w:tab w:val="left" w:pos="1830"/>
        </w:tabs>
        <w:spacing w:line="240" w:lineRule="auto"/>
        <w:ind w:left="720"/>
        <w:contextualSpacing/>
        <w:jc w:val="both"/>
        <w:rPr>
          <w:rFonts w:cs="Arial"/>
          <w:lang w:eastAsia="es-CO"/>
        </w:rPr>
      </w:pPr>
    </w:p>
    <w:p w:rsidR="009A2496" w:rsidRPr="009A2496" w:rsidRDefault="009A2496" w:rsidP="00A92D87">
      <w:pPr>
        <w:numPr>
          <w:ilvl w:val="0"/>
          <w:numId w:val="23"/>
        </w:numPr>
        <w:tabs>
          <w:tab w:val="left" w:pos="1830"/>
        </w:tabs>
        <w:spacing w:line="240" w:lineRule="auto"/>
        <w:contextualSpacing/>
        <w:jc w:val="both"/>
        <w:rPr>
          <w:rFonts w:cs="Arial"/>
          <w:shd w:val="clear" w:color="auto" w:fill="FFFFFF"/>
        </w:rPr>
      </w:pPr>
      <w:r w:rsidRPr="009A2496">
        <w:rPr>
          <w:rFonts w:cs="Arial"/>
          <w:shd w:val="clear" w:color="auto" w:fill="FFFFFF"/>
        </w:rPr>
        <w:t>Analice la categoría de valoración dada al indicador, identificando los impactos positivos o negativos sobre la población correspondiente al momento del ciclo de vida analizado, desde la situación encontrada al inicio de la administración y la del último año de referencia (2014 o 2015 según aplique)</w:t>
      </w:r>
    </w:p>
    <w:p w:rsidR="009A2496" w:rsidRPr="009A2496" w:rsidRDefault="009A2496" w:rsidP="00A92D87">
      <w:pPr>
        <w:tabs>
          <w:tab w:val="left" w:pos="1830"/>
        </w:tabs>
        <w:spacing w:line="240" w:lineRule="auto"/>
        <w:ind w:left="720"/>
        <w:contextualSpacing/>
        <w:jc w:val="both"/>
        <w:rPr>
          <w:rFonts w:cs="Arial"/>
          <w:shd w:val="clear" w:color="auto" w:fill="FFFFFF"/>
        </w:rPr>
      </w:pPr>
    </w:p>
    <w:p w:rsidR="009A2496" w:rsidRPr="009A2496" w:rsidRDefault="009A2496" w:rsidP="00A92D87">
      <w:pPr>
        <w:numPr>
          <w:ilvl w:val="0"/>
          <w:numId w:val="23"/>
        </w:numPr>
        <w:tabs>
          <w:tab w:val="left" w:pos="1830"/>
        </w:tabs>
        <w:spacing w:line="240" w:lineRule="auto"/>
        <w:contextualSpacing/>
        <w:jc w:val="both"/>
        <w:rPr>
          <w:rFonts w:cs="Arial"/>
          <w:shd w:val="clear" w:color="auto" w:fill="FFFFFF"/>
        </w:rPr>
      </w:pPr>
      <w:r w:rsidRPr="009A2496">
        <w:rPr>
          <w:rFonts w:cs="Arial"/>
          <w:b/>
          <w:noProof/>
          <w:lang w:eastAsia="es-CO"/>
        </w:rPr>
        <w:t>Impactos positivos:</w:t>
      </w:r>
    </w:p>
    <w:p w:rsidR="009A2496" w:rsidRPr="009A2496" w:rsidRDefault="009A2496" w:rsidP="006C3CF7">
      <w:pPr>
        <w:spacing w:line="240" w:lineRule="auto"/>
        <w:ind w:left="360"/>
        <w:jc w:val="both"/>
        <w:rPr>
          <w:rFonts w:cs="Arial"/>
        </w:rPr>
      </w:pPr>
      <w:r w:rsidRPr="009A2496">
        <w:rPr>
          <w:rFonts w:cs="Arial"/>
        </w:rPr>
        <w:t xml:space="preserve">En los municipios, la creación de la  Comisaría de Familia  permitió realizar  la verificación del estado de cumplimiento de los derechos de los niños, niñas o adolescentes, en los casos de inobservancia, amenaza o vulneración,  logrando la restauración de su dignidad e integridad como sujetos y haciendo efectivo el ejercicio de los derechos que fueron vulnerados, a través de los procesos administrativos. </w:t>
      </w:r>
    </w:p>
    <w:p w:rsidR="009A2496" w:rsidRPr="009A2496" w:rsidRDefault="009A2496" w:rsidP="00A92D87">
      <w:pPr>
        <w:tabs>
          <w:tab w:val="left" w:pos="1920"/>
        </w:tabs>
        <w:spacing w:line="240" w:lineRule="auto"/>
        <w:jc w:val="both"/>
        <w:rPr>
          <w:rFonts w:cs="Arial"/>
        </w:rPr>
      </w:pPr>
      <w:r w:rsidRPr="009A2496">
        <w:rPr>
          <w:rFonts w:cs="Arial"/>
          <w:bCs/>
        </w:rPr>
        <w:t>Se empezó a hacer efectivo el principio de corresponsabilidad, consagrado en la ley 1098 de 2006, por parte de las administraciones municipales con</w:t>
      </w:r>
      <w:r w:rsidRPr="009A2496">
        <w:rPr>
          <w:rFonts w:cs="Arial"/>
          <w:b/>
          <w:bCs/>
        </w:rPr>
        <w:t xml:space="preserve"> </w:t>
      </w:r>
      <w:r w:rsidRPr="009A2496">
        <w:rPr>
          <w:rFonts w:cs="Arial"/>
        </w:rPr>
        <w:t xml:space="preserve">la concurrencia de los sectores de salud y educación al vincular a los niños, niñas y adolescentes a sus sistemas, según sus competencias y garantizando el ejercicio de los derechos  fundamentales en sus áreas de atención, articulando el Sistema Nacional de Bienestar Familiar. </w:t>
      </w:r>
    </w:p>
    <w:p w:rsidR="009A2496" w:rsidRPr="009A2496" w:rsidRDefault="009A2496" w:rsidP="00A92D87">
      <w:pPr>
        <w:tabs>
          <w:tab w:val="left" w:pos="1920"/>
        </w:tabs>
        <w:spacing w:line="240" w:lineRule="auto"/>
        <w:jc w:val="both"/>
        <w:rPr>
          <w:rFonts w:cs="Arial"/>
        </w:rPr>
      </w:pPr>
      <w:r w:rsidRPr="009A2496">
        <w:rPr>
          <w:rFonts w:cs="Arial"/>
        </w:rPr>
        <w:t xml:space="preserve">Igualmente desde las Comisarias de Familia  se logró  la sensibilización y conminación a los padres o a las personas responsables del cuidado del niño, niña o adolescente sobre el cumplimiento de las obligaciones que les corresponden. </w:t>
      </w:r>
    </w:p>
    <w:p w:rsidR="009A2496" w:rsidRPr="009A2496" w:rsidRDefault="009A2496" w:rsidP="00A92D87">
      <w:pPr>
        <w:autoSpaceDE w:val="0"/>
        <w:autoSpaceDN w:val="0"/>
        <w:adjustRightInd w:val="0"/>
        <w:spacing w:after="0" w:line="240" w:lineRule="auto"/>
        <w:jc w:val="both"/>
        <w:rPr>
          <w:rFonts w:cs="Arial"/>
          <w:color w:val="000000"/>
        </w:rPr>
      </w:pPr>
      <w:r w:rsidRPr="009A2496">
        <w:rPr>
          <w:rFonts w:cs="Arial"/>
          <w:color w:val="000000"/>
        </w:rPr>
        <w:t>Los niños, niñas y adolescentes fueron atendidos en los programas existentes, en busca de generar procesos de atención que permitan prevenir mayores niveles de amenaza, inobservancia y/o vulneración de sus derechos, considerando los  factores de generatividad y vulnerabilidad de su familia o red vincular.</w:t>
      </w:r>
    </w:p>
    <w:p w:rsidR="009A2496" w:rsidRPr="009A2496" w:rsidRDefault="009A2496" w:rsidP="00A92D87">
      <w:pPr>
        <w:autoSpaceDE w:val="0"/>
        <w:autoSpaceDN w:val="0"/>
        <w:adjustRightInd w:val="0"/>
        <w:spacing w:after="0" w:line="240" w:lineRule="auto"/>
        <w:jc w:val="both"/>
        <w:rPr>
          <w:rFonts w:cs="Arial"/>
          <w:color w:val="000000"/>
        </w:rPr>
      </w:pPr>
    </w:p>
    <w:p w:rsidR="009A2496" w:rsidRPr="009A2496" w:rsidRDefault="009A2496" w:rsidP="00A92D87">
      <w:pPr>
        <w:autoSpaceDE w:val="0"/>
        <w:autoSpaceDN w:val="0"/>
        <w:adjustRightInd w:val="0"/>
        <w:spacing w:after="0" w:line="240" w:lineRule="auto"/>
        <w:jc w:val="both"/>
        <w:rPr>
          <w:rFonts w:cs="Arial"/>
          <w:color w:val="000000"/>
        </w:rPr>
      </w:pPr>
      <w:r w:rsidRPr="009A2496">
        <w:rPr>
          <w:rFonts w:cs="Arial"/>
          <w:color w:val="000000"/>
        </w:rPr>
        <w:t xml:space="preserve">Las mencionadas modalidades son: </w:t>
      </w:r>
    </w:p>
    <w:p w:rsidR="006C3CF7" w:rsidRDefault="009A2496" w:rsidP="006C3CF7">
      <w:pPr>
        <w:numPr>
          <w:ilvl w:val="0"/>
          <w:numId w:val="26"/>
        </w:numPr>
        <w:autoSpaceDE w:val="0"/>
        <w:autoSpaceDN w:val="0"/>
        <w:adjustRightInd w:val="0"/>
        <w:spacing w:after="17" w:line="240" w:lineRule="auto"/>
        <w:ind w:firstLine="360"/>
        <w:jc w:val="both"/>
        <w:rPr>
          <w:rFonts w:cs="Arial"/>
          <w:color w:val="000000"/>
        </w:rPr>
      </w:pPr>
      <w:r w:rsidRPr="006C3CF7">
        <w:rPr>
          <w:rFonts w:cs="Arial"/>
          <w:color w:val="000000"/>
        </w:rPr>
        <w:t>Hogar de paso</w:t>
      </w:r>
    </w:p>
    <w:p w:rsidR="006C3CF7" w:rsidRPr="006C3CF7" w:rsidRDefault="009A2496" w:rsidP="006C3CF7">
      <w:pPr>
        <w:numPr>
          <w:ilvl w:val="0"/>
          <w:numId w:val="26"/>
        </w:numPr>
        <w:autoSpaceDE w:val="0"/>
        <w:autoSpaceDN w:val="0"/>
        <w:adjustRightInd w:val="0"/>
        <w:spacing w:after="17" w:line="240" w:lineRule="auto"/>
        <w:ind w:firstLine="360"/>
        <w:jc w:val="both"/>
        <w:rPr>
          <w:rFonts w:cs="Arial"/>
          <w:color w:val="000000"/>
        </w:rPr>
      </w:pPr>
      <w:r w:rsidRPr="006C3CF7">
        <w:rPr>
          <w:rFonts w:cs="Arial"/>
          <w:color w:val="000000"/>
        </w:rPr>
        <w:t xml:space="preserve">Hogar Sustituto. </w:t>
      </w:r>
    </w:p>
    <w:p w:rsidR="006C3CF7" w:rsidRDefault="009A2496" w:rsidP="00A92D87">
      <w:pPr>
        <w:numPr>
          <w:ilvl w:val="0"/>
          <w:numId w:val="26"/>
        </w:numPr>
        <w:autoSpaceDE w:val="0"/>
        <w:autoSpaceDN w:val="0"/>
        <w:adjustRightInd w:val="0"/>
        <w:spacing w:after="17" w:line="240" w:lineRule="auto"/>
        <w:ind w:firstLine="360"/>
        <w:jc w:val="both"/>
        <w:rPr>
          <w:rFonts w:cs="Arial"/>
          <w:color w:val="000000"/>
        </w:rPr>
      </w:pPr>
      <w:r w:rsidRPr="006C3CF7">
        <w:rPr>
          <w:rFonts w:cs="Arial"/>
          <w:color w:val="000000"/>
        </w:rPr>
        <w:t xml:space="preserve">Hogar Sustituto para Discapacidad. </w:t>
      </w:r>
    </w:p>
    <w:p w:rsidR="006C3CF7" w:rsidRDefault="009A2496" w:rsidP="00A92D87">
      <w:pPr>
        <w:numPr>
          <w:ilvl w:val="0"/>
          <w:numId w:val="26"/>
        </w:numPr>
        <w:autoSpaceDE w:val="0"/>
        <w:autoSpaceDN w:val="0"/>
        <w:adjustRightInd w:val="0"/>
        <w:spacing w:after="17" w:line="240" w:lineRule="auto"/>
        <w:ind w:firstLine="360"/>
        <w:jc w:val="both"/>
        <w:rPr>
          <w:rFonts w:cs="Arial"/>
          <w:color w:val="000000"/>
        </w:rPr>
      </w:pPr>
      <w:r w:rsidRPr="006C3CF7">
        <w:rPr>
          <w:rFonts w:cs="Arial"/>
          <w:color w:val="000000"/>
        </w:rPr>
        <w:t>Internado de Atención Especializada.</w:t>
      </w:r>
    </w:p>
    <w:p w:rsidR="006C3CF7" w:rsidRDefault="009A2496" w:rsidP="00A92D87">
      <w:pPr>
        <w:numPr>
          <w:ilvl w:val="0"/>
          <w:numId w:val="26"/>
        </w:numPr>
        <w:autoSpaceDE w:val="0"/>
        <w:autoSpaceDN w:val="0"/>
        <w:adjustRightInd w:val="0"/>
        <w:spacing w:after="17" w:line="240" w:lineRule="auto"/>
        <w:ind w:firstLine="360"/>
        <w:jc w:val="both"/>
        <w:rPr>
          <w:rFonts w:cs="Arial"/>
          <w:color w:val="000000"/>
        </w:rPr>
      </w:pPr>
      <w:r w:rsidRPr="006C3CF7">
        <w:rPr>
          <w:rFonts w:cs="Arial"/>
          <w:color w:val="000000"/>
        </w:rPr>
        <w:t xml:space="preserve">Casa Hogar de Protección. </w:t>
      </w:r>
    </w:p>
    <w:p w:rsidR="006C3CF7" w:rsidRDefault="009A2496" w:rsidP="00A92D87">
      <w:pPr>
        <w:numPr>
          <w:ilvl w:val="0"/>
          <w:numId w:val="26"/>
        </w:numPr>
        <w:autoSpaceDE w:val="0"/>
        <w:autoSpaceDN w:val="0"/>
        <w:adjustRightInd w:val="0"/>
        <w:spacing w:after="17" w:line="240" w:lineRule="auto"/>
        <w:ind w:firstLine="360"/>
        <w:jc w:val="both"/>
        <w:rPr>
          <w:rFonts w:cs="Arial"/>
          <w:color w:val="000000"/>
        </w:rPr>
      </w:pPr>
      <w:r w:rsidRPr="006C3CF7">
        <w:rPr>
          <w:rFonts w:cs="Arial"/>
          <w:color w:val="000000"/>
        </w:rPr>
        <w:t xml:space="preserve">Internado: Diagnóstico y Acogida para IAPAS. </w:t>
      </w:r>
    </w:p>
    <w:p w:rsidR="006C3CF7" w:rsidRDefault="009A2496" w:rsidP="00A92D87">
      <w:pPr>
        <w:numPr>
          <w:ilvl w:val="0"/>
          <w:numId w:val="26"/>
        </w:numPr>
        <w:autoSpaceDE w:val="0"/>
        <w:autoSpaceDN w:val="0"/>
        <w:adjustRightInd w:val="0"/>
        <w:spacing w:after="17" w:line="240" w:lineRule="auto"/>
        <w:ind w:firstLine="360"/>
        <w:jc w:val="both"/>
        <w:rPr>
          <w:rFonts w:cs="Arial"/>
          <w:color w:val="000000"/>
        </w:rPr>
      </w:pPr>
      <w:r w:rsidRPr="006C3CF7">
        <w:rPr>
          <w:rFonts w:cs="Arial"/>
          <w:color w:val="000000"/>
        </w:rPr>
        <w:t xml:space="preserve">Internado: Discapacidad. </w:t>
      </w:r>
    </w:p>
    <w:p w:rsidR="006C3CF7" w:rsidRDefault="009A2496" w:rsidP="00A92D87">
      <w:pPr>
        <w:numPr>
          <w:ilvl w:val="0"/>
          <w:numId w:val="26"/>
        </w:numPr>
        <w:autoSpaceDE w:val="0"/>
        <w:autoSpaceDN w:val="0"/>
        <w:adjustRightInd w:val="0"/>
        <w:spacing w:after="0" w:line="240" w:lineRule="auto"/>
        <w:ind w:firstLine="360"/>
        <w:jc w:val="both"/>
        <w:rPr>
          <w:rFonts w:cs="Arial"/>
          <w:color w:val="000000"/>
        </w:rPr>
      </w:pPr>
      <w:r w:rsidRPr="006C3CF7">
        <w:rPr>
          <w:rFonts w:cs="Arial"/>
          <w:color w:val="000000"/>
        </w:rPr>
        <w:t xml:space="preserve">Internado: Discapacidad Mental Psicosocial. </w:t>
      </w:r>
    </w:p>
    <w:p w:rsidR="009A2496" w:rsidRPr="006C3CF7" w:rsidRDefault="006C3CF7" w:rsidP="00A92D87">
      <w:pPr>
        <w:numPr>
          <w:ilvl w:val="0"/>
          <w:numId w:val="26"/>
        </w:numPr>
        <w:autoSpaceDE w:val="0"/>
        <w:autoSpaceDN w:val="0"/>
        <w:adjustRightInd w:val="0"/>
        <w:spacing w:after="0" w:line="240" w:lineRule="auto"/>
        <w:ind w:firstLine="360"/>
        <w:jc w:val="both"/>
        <w:rPr>
          <w:rFonts w:cs="Arial"/>
          <w:color w:val="000000"/>
        </w:rPr>
      </w:pPr>
      <w:r>
        <w:rPr>
          <w:rFonts w:cs="Arial"/>
          <w:color w:val="000000"/>
        </w:rPr>
        <w:t>P</w:t>
      </w:r>
      <w:r w:rsidR="009A2496" w:rsidRPr="006C3CF7">
        <w:rPr>
          <w:rFonts w:cs="Arial"/>
          <w:color w:val="000000"/>
        </w:rPr>
        <w:t xml:space="preserve">reparación para la Vida Laboral y Productiva </w:t>
      </w:r>
    </w:p>
    <w:p w:rsidR="009A2496" w:rsidRPr="009A2496" w:rsidRDefault="009A2496" w:rsidP="00A92D87">
      <w:pPr>
        <w:autoSpaceDE w:val="0"/>
        <w:autoSpaceDN w:val="0"/>
        <w:adjustRightInd w:val="0"/>
        <w:spacing w:after="0" w:line="240" w:lineRule="auto"/>
        <w:jc w:val="both"/>
        <w:rPr>
          <w:rFonts w:cs="Arial"/>
          <w:color w:val="000000"/>
        </w:rPr>
      </w:pP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Impactos negativos:</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Debil trabajo con la familia de los  niños,  niñas y adolescentes debido a la falta de equipos interdisciplinarios y recursos financieros en las Comisarias de Familia, requeridos para una optima atención de la problemática presentada, toda vez que tiene a su cargo la competencia legal de atención de VIOLENCIA INTRAFAMILIAR.</w:t>
      </w:r>
    </w:p>
    <w:p w:rsidR="009A2496" w:rsidRPr="006C3CF7" w:rsidRDefault="009A2496" w:rsidP="006C3CF7">
      <w:pPr>
        <w:pStyle w:val="Prrafodelista"/>
        <w:numPr>
          <w:ilvl w:val="0"/>
          <w:numId w:val="76"/>
        </w:numPr>
        <w:tabs>
          <w:tab w:val="left" w:pos="1830"/>
        </w:tabs>
        <w:jc w:val="both"/>
        <w:rPr>
          <w:rFonts w:asciiTheme="majorHAnsi" w:hAnsiTheme="majorHAnsi" w:cs="Arial"/>
          <w:sz w:val="22"/>
          <w:szCs w:val="22"/>
          <w:lang w:eastAsia="es-CO"/>
        </w:rPr>
      </w:pPr>
      <w:r w:rsidRPr="006C3CF7">
        <w:rPr>
          <w:rFonts w:asciiTheme="majorHAnsi" w:hAnsiTheme="majorHAnsi" w:cs="Arial"/>
          <w:sz w:val="22"/>
          <w:szCs w:val="22"/>
          <w:shd w:val="clear" w:color="auto" w:fill="FFFFFF"/>
        </w:rPr>
        <w:t xml:space="preserve">Realice un análisis de las razones del comportamiento del indicador (según serie temporal) teniendo en cuenta la fuente que está utilizando (nacional o local). Si la fuente de información ofrece niveles de desagregación (sexo, área, etnia, discapacidad, </w:t>
      </w:r>
      <w:r w:rsidR="00CD7219" w:rsidRPr="006C3CF7">
        <w:rPr>
          <w:rFonts w:asciiTheme="majorHAnsi" w:hAnsiTheme="majorHAnsi" w:cs="Arial"/>
          <w:sz w:val="22"/>
          <w:szCs w:val="22"/>
          <w:shd w:val="clear" w:color="auto" w:fill="FFFFFF"/>
        </w:rPr>
        <w:t>etc.</w:t>
      </w:r>
      <w:r w:rsidRPr="006C3CF7">
        <w:rPr>
          <w:rFonts w:asciiTheme="majorHAnsi" w:hAnsiTheme="majorHAnsi" w:cs="Arial"/>
          <w:sz w:val="22"/>
          <w:szCs w:val="22"/>
          <w:shd w:val="clear" w:color="auto" w:fill="FFFFFF"/>
        </w:rPr>
        <w:t>,), inclúyalos en el análisis. </w:t>
      </w:r>
      <w:r w:rsidRPr="006C3CF7">
        <w:rPr>
          <w:rFonts w:asciiTheme="majorHAnsi" w:hAnsiTheme="majorHAnsi" w:cs="Arial"/>
          <w:sz w:val="22"/>
          <w:szCs w:val="22"/>
        </w:rPr>
        <w:br/>
      </w:r>
      <w:r w:rsidRPr="006C3CF7">
        <w:rPr>
          <w:rFonts w:asciiTheme="majorHAnsi" w:hAnsiTheme="majorHAnsi" w:cs="Arial"/>
          <w:sz w:val="22"/>
          <w:szCs w:val="22"/>
          <w:shd w:val="clear" w:color="auto" w:fill="FFFFFF"/>
        </w:rPr>
        <w:lastRenderedPageBreak/>
        <w:t>Si puede argumentar el comportamiento del indicador según la fuente alterna puede hacerlo en el campo correspondiente:</w:t>
      </w:r>
    </w:p>
    <w:p w:rsidR="006C3CF7" w:rsidRDefault="006C3CF7" w:rsidP="00A92D87">
      <w:pPr>
        <w:tabs>
          <w:tab w:val="left" w:pos="1920"/>
        </w:tabs>
        <w:spacing w:line="240" w:lineRule="auto"/>
        <w:jc w:val="both"/>
        <w:rPr>
          <w:rFonts w:cs="Arial"/>
          <w:b/>
          <w:noProof/>
          <w:lang w:eastAsia="es-CO"/>
        </w:rPr>
      </w:pP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Fuente Nacional:</w:t>
      </w:r>
    </w:p>
    <w:p w:rsidR="009A2496" w:rsidRPr="009A2496" w:rsidRDefault="009A2496" w:rsidP="00A92D87">
      <w:pPr>
        <w:tabs>
          <w:tab w:val="left" w:pos="1920"/>
        </w:tabs>
        <w:spacing w:line="240" w:lineRule="auto"/>
        <w:jc w:val="both"/>
        <w:rPr>
          <w:rFonts w:cs="Arial"/>
        </w:rPr>
      </w:pPr>
      <w:r w:rsidRPr="009A2496">
        <w:rPr>
          <w:rFonts w:cs="Arial"/>
        </w:rPr>
        <w:t>Revisada la fuente de información nacional</w:t>
      </w:r>
      <w:r w:rsidRPr="009A2496">
        <w:t xml:space="preserve"> </w:t>
      </w:r>
      <w:r w:rsidRPr="009A2496">
        <w:rPr>
          <w:rFonts w:cs="Arial"/>
          <w:color w:val="FF0000"/>
        </w:rPr>
        <w:t>http://www.suin-snbf.gov.co/suin/</w:t>
      </w:r>
      <w:r w:rsidRPr="009A2496">
        <w:rPr>
          <w:rFonts w:cs="Arial"/>
        </w:rPr>
        <w:t>se verifica que para la vigencia 2012 - 2014 se reporta un descenso cuantitativo de una vigencia de un año a otro lo que permite visualizar el impacto de las acciones adelantadas a nivel territorial.</w:t>
      </w:r>
    </w:p>
    <w:p w:rsidR="009A2496" w:rsidRPr="009A2496" w:rsidRDefault="009A2496" w:rsidP="00A92D87">
      <w:pPr>
        <w:tabs>
          <w:tab w:val="left" w:pos="1920"/>
        </w:tabs>
        <w:spacing w:line="240" w:lineRule="auto"/>
        <w:jc w:val="both"/>
        <w:rPr>
          <w:rFonts w:cs="Arial"/>
        </w:rPr>
      </w:pPr>
      <w:r w:rsidRPr="009A2496">
        <w:rPr>
          <w:rFonts w:cs="Arial"/>
        </w:rPr>
        <w:t xml:space="preserve">Como fortalezas que permiten la disminución estadística se encuentra: </w:t>
      </w:r>
    </w:p>
    <w:p w:rsidR="009A2496" w:rsidRPr="009A2496" w:rsidRDefault="009A2496" w:rsidP="00A92D87">
      <w:pPr>
        <w:tabs>
          <w:tab w:val="left" w:pos="1920"/>
        </w:tabs>
        <w:spacing w:line="240" w:lineRule="auto"/>
        <w:jc w:val="both"/>
        <w:rPr>
          <w:rFonts w:cs="Arial"/>
        </w:rPr>
      </w:pPr>
      <w:r w:rsidRPr="009A2496">
        <w:rPr>
          <w:rFonts w:cs="Arial"/>
        </w:rPr>
        <w:t>Capacitación a los comisarios de familia.</w:t>
      </w:r>
    </w:p>
    <w:p w:rsidR="009A2496" w:rsidRPr="009A2496" w:rsidRDefault="009A2496" w:rsidP="00A92D87">
      <w:pPr>
        <w:tabs>
          <w:tab w:val="left" w:pos="1920"/>
        </w:tabs>
        <w:spacing w:line="240" w:lineRule="auto"/>
        <w:jc w:val="both"/>
        <w:rPr>
          <w:rFonts w:eastAsia="Times New Roman" w:cs="Arial"/>
          <w:lang w:eastAsia="es-CO"/>
        </w:rPr>
      </w:pPr>
      <w:r w:rsidRPr="009A2496">
        <w:rPr>
          <w:rFonts w:cs="Arial"/>
        </w:rPr>
        <w:t>Ampliación e impacto de los programas de prevención,</w:t>
      </w:r>
      <w:r w:rsidRPr="009A2496">
        <w:rPr>
          <w:rFonts w:eastAsia="Times New Roman" w:cs="Arial"/>
          <w:lang w:eastAsia="es-CO"/>
        </w:rPr>
        <w:t xml:space="preserve"> encaminados a incentivar la cultura del denuncio. </w:t>
      </w:r>
    </w:p>
    <w:p w:rsidR="009A2496" w:rsidRPr="009A2496" w:rsidRDefault="009A2496" w:rsidP="00A92D87">
      <w:pPr>
        <w:tabs>
          <w:tab w:val="left" w:pos="1920"/>
        </w:tabs>
        <w:spacing w:line="240" w:lineRule="auto"/>
        <w:jc w:val="both"/>
        <w:rPr>
          <w:rFonts w:eastAsia="Times New Roman" w:cs="Arial"/>
          <w:lang w:eastAsia="es-CO"/>
        </w:rPr>
      </w:pPr>
      <w:r w:rsidRPr="009A2496">
        <w:rPr>
          <w:rFonts w:eastAsia="Times New Roman" w:cs="Arial"/>
          <w:lang w:eastAsia="es-CO"/>
        </w:rPr>
        <w:t xml:space="preserve">Implementación y fortalecimiento de la ruta HAZ PAZ  y de las  rutas de atención y prevención de maltrato infantil, abuso sexual, violencia intrafamiliar y trabajo infantil. </w:t>
      </w:r>
    </w:p>
    <w:p w:rsidR="009A2496" w:rsidRPr="009A2496" w:rsidRDefault="009A2496" w:rsidP="00A92D87">
      <w:pPr>
        <w:tabs>
          <w:tab w:val="left" w:pos="1920"/>
        </w:tabs>
        <w:spacing w:line="240" w:lineRule="auto"/>
        <w:jc w:val="both"/>
        <w:rPr>
          <w:rFonts w:cs="Arial"/>
        </w:rPr>
      </w:pPr>
      <w:r w:rsidRPr="009A2496">
        <w:rPr>
          <w:rFonts w:eastAsia="Times New Roman" w:cs="Arial"/>
          <w:lang w:eastAsia="es-CO"/>
        </w:rPr>
        <w:t>Mayor conocimiento y apropiación de la ley 1098 de 2006 por parte de la comunidad</w:t>
      </w:r>
      <w:r w:rsidR="00F07B9B" w:rsidRPr="009A2496">
        <w:rPr>
          <w:rFonts w:eastAsia="Times New Roman" w:cs="Arial"/>
          <w:lang w:eastAsia="es-CO"/>
        </w:rPr>
        <w:t xml:space="preserve">, </w:t>
      </w:r>
      <w:r w:rsidR="00F07B9B">
        <w:rPr>
          <w:rFonts w:eastAsia="Times New Roman" w:cs="Arial"/>
          <w:lang w:eastAsia="es-CO"/>
        </w:rPr>
        <w:t>implementación</w:t>
      </w:r>
      <w:r w:rsidRPr="009A2496">
        <w:rPr>
          <w:rFonts w:eastAsia="Times New Roman" w:cs="Arial"/>
          <w:lang w:eastAsia="es-CO"/>
        </w:rPr>
        <w:t xml:space="preserve"> de la estrategia departamental de prevención de vulneración de derechos de niños, niñas, adolescentes y jóvenes en contextos de conflicto y violencias asociadas</w:t>
      </w:r>
    </w:p>
    <w:p w:rsidR="009A2496" w:rsidRPr="009A2496" w:rsidRDefault="009A2496" w:rsidP="00A92D87">
      <w:pPr>
        <w:autoSpaceDE w:val="0"/>
        <w:autoSpaceDN w:val="0"/>
        <w:adjustRightInd w:val="0"/>
        <w:spacing w:after="38" w:line="240" w:lineRule="auto"/>
        <w:jc w:val="both"/>
        <w:rPr>
          <w:rFonts w:cs="Arial"/>
          <w:color w:val="000000"/>
        </w:rPr>
      </w:pPr>
      <w:r w:rsidRPr="009A2496">
        <w:rPr>
          <w:rFonts w:cs="Arial"/>
          <w:color w:val="000000"/>
        </w:rPr>
        <w:t>Se logró la firma de CONVENIO MARCO, entre ICBF y los entes territoriales para la conformación de hogares de paso, medida que permite a las autoridades administrativas, la ubicación de los niños, niñas y adolescentes, en tanto se adoptan medidas de restablecimiento definitivas.</w:t>
      </w:r>
    </w:p>
    <w:p w:rsidR="006C3CF7" w:rsidRDefault="006C3CF7" w:rsidP="00A92D87">
      <w:pPr>
        <w:autoSpaceDE w:val="0"/>
        <w:autoSpaceDN w:val="0"/>
        <w:adjustRightInd w:val="0"/>
        <w:spacing w:after="38" w:line="240" w:lineRule="auto"/>
        <w:jc w:val="both"/>
        <w:rPr>
          <w:rFonts w:cs="Arial"/>
          <w:color w:val="000000"/>
        </w:rPr>
      </w:pPr>
    </w:p>
    <w:p w:rsidR="009A2496" w:rsidRPr="009A2496" w:rsidRDefault="009A2496" w:rsidP="00A92D87">
      <w:pPr>
        <w:autoSpaceDE w:val="0"/>
        <w:autoSpaceDN w:val="0"/>
        <w:adjustRightInd w:val="0"/>
        <w:spacing w:after="38" w:line="240" w:lineRule="auto"/>
        <w:jc w:val="both"/>
        <w:rPr>
          <w:rFonts w:cs="Arial"/>
          <w:color w:val="000000"/>
        </w:rPr>
      </w:pPr>
      <w:r w:rsidRPr="009A2496">
        <w:rPr>
          <w:rFonts w:cs="Arial"/>
          <w:color w:val="000000"/>
        </w:rPr>
        <w:t>Planes de acción de las mesas de primera infancia, infancia y adolescencia  con seguimiento  a la garantía de derechos.</w:t>
      </w:r>
    </w:p>
    <w:p w:rsidR="006C3CF7" w:rsidRDefault="006C3CF7" w:rsidP="00A92D87">
      <w:pPr>
        <w:tabs>
          <w:tab w:val="left" w:pos="1920"/>
        </w:tabs>
        <w:spacing w:line="240" w:lineRule="auto"/>
        <w:jc w:val="both"/>
        <w:rPr>
          <w:rFonts w:cs="Arial"/>
          <w:b/>
          <w:noProof/>
          <w:lang w:eastAsia="es-CO"/>
        </w:rPr>
      </w:pP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Fuente local:</w:t>
      </w:r>
    </w:p>
    <w:p w:rsidR="009A2496" w:rsidRPr="009A2496" w:rsidRDefault="009A2496" w:rsidP="00A92D87">
      <w:pPr>
        <w:spacing w:line="240" w:lineRule="auto"/>
        <w:jc w:val="both"/>
        <w:rPr>
          <w:rFonts w:cs="Arial"/>
        </w:rPr>
      </w:pPr>
      <w:r w:rsidRPr="009A2496">
        <w:rPr>
          <w:rFonts w:cs="Arial"/>
        </w:rPr>
        <w:t xml:space="preserve">No se adjuntan datos de fuentes locales que permitan hacer interpretación. </w:t>
      </w:r>
    </w:p>
    <w:p w:rsidR="009A2496" w:rsidRPr="009A2496" w:rsidRDefault="009A2496" w:rsidP="006C3CF7">
      <w:pPr>
        <w:tabs>
          <w:tab w:val="left" w:pos="1830"/>
        </w:tabs>
        <w:spacing w:line="240" w:lineRule="auto"/>
        <w:ind w:left="720"/>
        <w:contextualSpacing/>
        <w:jc w:val="both"/>
        <w:rPr>
          <w:rFonts w:cs="Arial"/>
          <w:noProof/>
          <w:lang w:eastAsia="es-CO"/>
        </w:rPr>
      </w:pPr>
      <w:r w:rsidRPr="009A2496">
        <w:rPr>
          <w:rFonts w:cs="Arial"/>
          <w:noProof/>
          <w:lang w:eastAsia="es-CO"/>
        </w:rPr>
        <w:t>Describa las recomendaciones que como gobierno local o departamental, le deja a la próxima administración para mejorar la situación de la población correspondiente al momento del ciclo de vida analizado:</w:t>
      </w:r>
    </w:p>
    <w:p w:rsidR="009A2496" w:rsidRPr="009A2496" w:rsidRDefault="009A2496" w:rsidP="00A92D87">
      <w:pPr>
        <w:tabs>
          <w:tab w:val="left" w:pos="1830"/>
        </w:tabs>
        <w:spacing w:line="240" w:lineRule="auto"/>
        <w:jc w:val="both"/>
        <w:rPr>
          <w:rFonts w:cs="Arial"/>
          <w:noProof/>
          <w:lang w:eastAsia="es-CO"/>
        </w:rPr>
      </w:pPr>
    </w:p>
    <w:p w:rsidR="009A2496" w:rsidRPr="009A2496" w:rsidRDefault="009A2496" w:rsidP="00A92D87">
      <w:pPr>
        <w:tabs>
          <w:tab w:val="left" w:pos="1830"/>
        </w:tabs>
        <w:spacing w:line="240" w:lineRule="auto"/>
        <w:jc w:val="both"/>
        <w:rPr>
          <w:rFonts w:cs="Arial"/>
          <w:noProof/>
          <w:lang w:eastAsia="es-CO"/>
        </w:rPr>
      </w:pPr>
      <w:r w:rsidRPr="009A2496">
        <w:rPr>
          <w:rFonts w:cs="Arial"/>
          <w:noProof/>
          <w:lang w:eastAsia="es-CO"/>
        </w:rPr>
        <w:t>Actualización del diagnostico poblacional y la adecuacion de acciones pertinentes.</w:t>
      </w:r>
    </w:p>
    <w:p w:rsidR="009A2496" w:rsidRPr="009A2496" w:rsidRDefault="009A2496" w:rsidP="00A92D87">
      <w:pPr>
        <w:tabs>
          <w:tab w:val="left" w:pos="1830"/>
        </w:tabs>
        <w:spacing w:line="240" w:lineRule="auto"/>
        <w:jc w:val="both"/>
        <w:rPr>
          <w:rFonts w:cs="Arial"/>
          <w:noProof/>
          <w:lang w:eastAsia="es-CO"/>
        </w:rPr>
      </w:pPr>
      <w:r w:rsidRPr="009A2496">
        <w:rPr>
          <w:rFonts w:cs="Arial"/>
          <w:noProof/>
          <w:lang w:eastAsia="es-CO"/>
        </w:rPr>
        <w:t xml:space="preserve">Reforzar las acciones y programas preventivos. </w:t>
      </w:r>
    </w:p>
    <w:p w:rsidR="009A2496" w:rsidRPr="009A2496" w:rsidRDefault="009A2496" w:rsidP="00A92D87">
      <w:pPr>
        <w:tabs>
          <w:tab w:val="left" w:pos="900"/>
        </w:tabs>
        <w:spacing w:line="240" w:lineRule="auto"/>
        <w:jc w:val="both"/>
        <w:rPr>
          <w:rFonts w:cs="Arial"/>
          <w:lang w:eastAsia="es-CO"/>
        </w:rPr>
      </w:pPr>
      <w:r w:rsidRPr="009A2496">
        <w:rPr>
          <w:rFonts w:cs="Arial"/>
          <w:lang w:eastAsia="es-CO"/>
        </w:rPr>
        <w:t>Garantizar equipos técnicos interdisciplinarios cualificados en las comisarías de familias</w:t>
      </w:r>
    </w:p>
    <w:p w:rsidR="009A2496" w:rsidRPr="009A2496" w:rsidRDefault="009A2496" w:rsidP="00A92D87">
      <w:pPr>
        <w:tabs>
          <w:tab w:val="left" w:pos="900"/>
        </w:tabs>
        <w:spacing w:line="240" w:lineRule="auto"/>
        <w:jc w:val="both"/>
        <w:rPr>
          <w:rFonts w:cs="Arial"/>
          <w:lang w:eastAsia="es-CO"/>
        </w:rPr>
      </w:pPr>
      <w:r w:rsidRPr="009A2496">
        <w:rPr>
          <w:rFonts w:cs="Arial"/>
          <w:lang w:eastAsia="es-CO"/>
        </w:rPr>
        <w:t xml:space="preserve">Asignación de recursos para el fortalecimiento de entornos protectores en el plan de desarrollo. </w:t>
      </w:r>
    </w:p>
    <w:p w:rsidR="009A2496" w:rsidRPr="009A2496" w:rsidRDefault="009A2496" w:rsidP="00A92D87">
      <w:pPr>
        <w:tabs>
          <w:tab w:val="left" w:pos="900"/>
        </w:tabs>
        <w:spacing w:line="240" w:lineRule="auto"/>
        <w:jc w:val="both"/>
        <w:rPr>
          <w:rFonts w:cs="Arial"/>
          <w:lang w:eastAsia="es-CO"/>
        </w:rPr>
      </w:pPr>
      <w:r w:rsidRPr="009A2496">
        <w:rPr>
          <w:rFonts w:cs="Arial"/>
          <w:lang w:eastAsia="es-CO"/>
        </w:rPr>
        <w:lastRenderedPageBreak/>
        <w:t>Asignación de recursos para la financiación de hogares de paso y cofinanciación de cupos en hogares sustitutos e instituciones</w:t>
      </w:r>
    </w:p>
    <w:p w:rsidR="009A2496" w:rsidRPr="009A2496" w:rsidRDefault="009A2496" w:rsidP="00A92D87">
      <w:pPr>
        <w:spacing w:line="240" w:lineRule="auto"/>
        <w:jc w:val="both"/>
        <w:rPr>
          <w:rFonts w:cs="Arial"/>
        </w:rPr>
      </w:pPr>
      <w:r w:rsidRPr="009A2496">
        <w:rPr>
          <w:rFonts w:cs="Arial"/>
        </w:rPr>
        <w:t xml:space="preserve">Adelantar convenios con las universidades y demás instituciones del estado que contribuyan al restablecimiento de los derechos.  De igual manera la </w:t>
      </w:r>
      <w:r w:rsidRPr="009A2496">
        <w:rPr>
          <w:rFonts w:cs="Arial"/>
          <w:bCs/>
        </w:rPr>
        <w:t xml:space="preserve">vinculación a programas de atención especializada para la </w:t>
      </w:r>
      <w:r w:rsidRPr="009A2496">
        <w:rPr>
          <w:rFonts w:cs="Arial"/>
          <w:b/>
          <w:bCs/>
        </w:rPr>
        <w:t xml:space="preserve">PREPARACION PARA LA VIDA LABORAL Y PRODUCTIVA y construcción de proyecto de vida de los adolescentes. </w:t>
      </w:r>
    </w:p>
    <w:p w:rsidR="006C3CF7" w:rsidRDefault="006C3CF7" w:rsidP="00A92D87">
      <w:pPr>
        <w:spacing w:line="240" w:lineRule="auto"/>
        <w:jc w:val="both"/>
        <w:rPr>
          <w:rFonts w:cs="Arial"/>
          <w:b/>
          <w:noProof/>
          <w:lang w:eastAsia="es-CO"/>
        </w:rPr>
      </w:pPr>
    </w:p>
    <w:p w:rsidR="009A2496" w:rsidRPr="009A2496" w:rsidRDefault="009A2496" w:rsidP="00A92D87">
      <w:pPr>
        <w:spacing w:line="240" w:lineRule="auto"/>
        <w:jc w:val="both"/>
        <w:rPr>
          <w:rFonts w:cs="Arial"/>
          <w:noProof/>
          <w:lang w:eastAsia="es-CO"/>
        </w:rPr>
      </w:pPr>
      <w:r w:rsidRPr="009A2496">
        <w:rPr>
          <w:rFonts w:cs="Arial"/>
          <w:b/>
          <w:noProof/>
          <w:lang w:eastAsia="es-CO"/>
        </w:rPr>
        <w:t>CÓDIGO DEL INDICADOR</w:t>
      </w:r>
      <w:r w:rsidRPr="009A2496">
        <w:rPr>
          <w:rFonts w:cs="Arial"/>
          <w:noProof/>
          <w:lang w:eastAsia="es-CO"/>
        </w:rPr>
        <w:t>: 70</w:t>
      </w:r>
    </w:p>
    <w:p w:rsidR="009A2496" w:rsidRPr="009A2496" w:rsidRDefault="009A2496" w:rsidP="00A92D87">
      <w:pPr>
        <w:spacing w:line="240" w:lineRule="auto"/>
        <w:jc w:val="both"/>
        <w:rPr>
          <w:rFonts w:cs="Arial"/>
          <w:b/>
          <w:noProof/>
          <w:lang w:eastAsia="es-CO"/>
        </w:rPr>
      </w:pPr>
      <w:r w:rsidRPr="009A2496">
        <w:rPr>
          <w:rFonts w:cs="Arial"/>
          <w:b/>
          <w:noProof/>
          <w:lang w:eastAsia="es-CO"/>
        </w:rPr>
        <w:t>Nombre del indicador</w:t>
      </w:r>
      <w:r w:rsidRPr="009A2496">
        <w:rPr>
          <w:rFonts w:cs="Arial"/>
          <w:noProof/>
          <w:lang w:eastAsia="es-CO"/>
        </w:rPr>
        <w:t>: Número de niños, niñas y adolescentes atendidos por el ICBF con Proceso Administrativo de Restablecimiento de Derechos - PARD identificados como víctimas de violencia sexual</w:t>
      </w:r>
    </w:p>
    <w:p w:rsidR="009A2496" w:rsidRPr="009A2496" w:rsidRDefault="009A2496" w:rsidP="00EE7888">
      <w:pPr>
        <w:spacing w:line="240" w:lineRule="auto"/>
        <w:ind w:left="1080"/>
        <w:contextualSpacing/>
        <w:jc w:val="both"/>
        <w:rPr>
          <w:rFonts w:cs="Arial"/>
          <w:b/>
          <w:noProof/>
          <w:lang w:eastAsia="es-CO"/>
        </w:rPr>
      </w:pPr>
      <w:r w:rsidRPr="009A2496">
        <w:rPr>
          <w:rFonts w:cs="Arial"/>
          <w:noProof/>
          <w:lang w:eastAsia="es-CO"/>
        </w:rPr>
        <w:t>Identifique cual es la fuente de información que respalda el análisis que realizará a continuación (nacional o local), identificando sus fortalezas y debilidades:</w:t>
      </w:r>
    </w:p>
    <w:p w:rsidR="009A2496" w:rsidRPr="009A2496" w:rsidRDefault="009A2496" w:rsidP="00A92D87">
      <w:pPr>
        <w:spacing w:line="240" w:lineRule="auto"/>
        <w:ind w:left="1080"/>
        <w:contextualSpacing/>
        <w:jc w:val="both"/>
        <w:rPr>
          <w:rFonts w:cs="Arial"/>
          <w:b/>
          <w:noProof/>
          <w:lang w:eastAsia="es-CO"/>
        </w:rPr>
      </w:pPr>
    </w:p>
    <w:p w:rsidR="009A2496" w:rsidRPr="009A2496" w:rsidRDefault="009A2496" w:rsidP="00EE7888">
      <w:pPr>
        <w:numPr>
          <w:ilvl w:val="1"/>
          <w:numId w:val="22"/>
        </w:numPr>
        <w:tabs>
          <w:tab w:val="left" w:pos="1920"/>
        </w:tabs>
        <w:spacing w:line="240" w:lineRule="auto"/>
        <w:contextualSpacing/>
        <w:jc w:val="both"/>
        <w:rPr>
          <w:rFonts w:cs="Arial"/>
          <w:noProof/>
          <w:u w:val="single"/>
          <w:lang w:eastAsia="es-CO"/>
        </w:rPr>
      </w:pPr>
      <w:r w:rsidRPr="009A2496">
        <w:rPr>
          <w:rFonts w:cs="Arial"/>
          <w:noProof/>
          <w:lang w:eastAsia="es-CO"/>
        </w:rPr>
        <w:t xml:space="preserve">Fuente Nacional </w:t>
      </w:r>
      <w:r w:rsidRPr="009A2496">
        <w:rPr>
          <w:rFonts w:cs="Arial"/>
          <w:b/>
          <w:noProof/>
          <w:u w:val="single"/>
          <w:lang w:eastAsia="es-CO"/>
        </w:rPr>
        <w:t>X</w:t>
      </w:r>
    </w:p>
    <w:p w:rsidR="009A2496" w:rsidRPr="009A2496" w:rsidRDefault="009A2496" w:rsidP="00EE7888">
      <w:pPr>
        <w:numPr>
          <w:ilvl w:val="1"/>
          <w:numId w:val="22"/>
        </w:numPr>
        <w:tabs>
          <w:tab w:val="left" w:pos="1920"/>
        </w:tabs>
        <w:spacing w:line="240" w:lineRule="auto"/>
        <w:contextualSpacing/>
        <w:jc w:val="both"/>
        <w:rPr>
          <w:rFonts w:cs="Arial"/>
          <w:noProof/>
          <w:lang w:eastAsia="es-CO"/>
        </w:rPr>
      </w:pPr>
      <w:r w:rsidRPr="009A2496">
        <w:rPr>
          <w:rFonts w:cs="Arial"/>
          <w:noProof/>
          <w:lang w:eastAsia="es-CO"/>
        </w:rPr>
        <w:t>Fuente Local</w:t>
      </w:r>
    </w:p>
    <w:p w:rsidR="00EE7888" w:rsidRDefault="009A2496" w:rsidP="00A92D87">
      <w:pPr>
        <w:tabs>
          <w:tab w:val="left" w:pos="1920"/>
        </w:tabs>
        <w:spacing w:line="240" w:lineRule="auto"/>
        <w:jc w:val="both"/>
        <w:rPr>
          <w:rFonts w:cs="Arial"/>
          <w:b/>
          <w:noProof/>
          <w:lang w:eastAsia="es-CO"/>
        </w:rPr>
      </w:pPr>
      <w:r w:rsidRPr="009A2496">
        <w:rPr>
          <w:rFonts w:cs="Arial"/>
          <w:b/>
          <w:noProof/>
          <w:lang w:eastAsia="es-CO"/>
        </w:rPr>
        <w:t xml:space="preserve"> </w:t>
      </w: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Fortalezas:</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Se cuenta con un sistema de información misional SIM desde el ICBF que permite identificar el numero de niños, niñas y adolescentes en proceso administrativo – PARD, identificados como victimas de violencia sexual y las medidas adoptadas por las respectivas Defensorias de Familia para el restablecimiento de derechos.</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Esta informacion sirve para alimentar el Sistema Único de Informacion para la niñez SUIN, el que permite consolidar la estadistica nacional, departamental y municipal de niños, niñas y adolescentes en proceso administrativo de restablecimiento de derechos, reportados como victimas de violencia sexual.</w:t>
      </w: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Debilidades:</w:t>
      </w:r>
    </w:p>
    <w:p w:rsidR="009A2496" w:rsidRPr="009A2496" w:rsidRDefault="009A2496" w:rsidP="00A92D87">
      <w:pPr>
        <w:spacing w:line="240" w:lineRule="auto"/>
        <w:jc w:val="both"/>
        <w:rPr>
          <w:rFonts w:cs="Arial"/>
          <w:lang w:eastAsia="es-CO"/>
        </w:rPr>
      </w:pPr>
      <w:r w:rsidRPr="009A2496">
        <w:rPr>
          <w:rFonts w:cs="Arial"/>
          <w:lang w:eastAsia="es-CO"/>
        </w:rPr>
        <w:t>Al Sistema de Información Misional - SIM, solo tiene acceso el ICBF y no los Comisarios de Familia quienes en el territorio por competencia subsidiaria, adelantan procesos administrativos de restablecimiento de derechos a víctimas de violencia sexual.</w:t>
      </w:r>
    </w:p>
    <w:p w:rsidR="009A2496" w:rsidRPr="009A2496" w:rsidRDefault="009A2496" w:rsidP="00A92D87">
      <w:pPr>
        <w:spacing w:line="240" w:lineRule="auto"/>
        <w:jc w:val="both"/>
        <w:rPr>
          <w:rFonts w:cs="Arial"/>
          <w:lang w:eastAsia="es-CO"/>
        </w:rPr>
      </w:pPr>
      <w:r w:rsidRPr="009A2496">
        <w:rPr>
          <w:rFonts w:cs="Arial"/>
          <w:lang w:eastAsia="es-CO"/>
        </w:rPr>
        <w:t>Durante el periodo a analizar, desde las comisarías de familia se envió la información de los Procesos Administrativos de Restablecimiento de Derechos- PARD atendidos al ICBF víctimas de violencia sexual , en un instrumento diseñado para tal fin, por cuanto, la comisaria de Familia, no cuentan con un sistema de información propio.</w:t>
      </w:r>
    </w:p>
    <w:p w:rsidR="009A2496" w:rsidRPr="009A2496" w:rsidRDefault="009A2496" w:rsidP="00A92D87">
      <w:pPr>
        <w:tabs>
          <w:tab w:val="left" w:pos="1305"/>
        </w:tabs>
        <w:spacing w:line="240" w:lineRule="auto"/>
        <w:jc w:val="both"/>
        <w:rPr>
          <w:rFonts w:cs="Arial"/>
          <w:lang w:eastAsia="es-CO"/>
        </w:rPr>
      </w:pPr>
      <w:r w:rsidRPr="009A2496">
        <w:rPr>
          <w:rFonts w:cs="Arial"/>
        </w:rPr>
        <w:t xml:space="preserve">  </w:t>
      </w:r>
    </w:p>
    <w:p w:rsidR="009A2496" w:rsidRPr="009A2496" w:rsidRDefault="009A2496" w:rsidP="00EE7888">
      <w:pPr>
        <w:spacing w:line="240" w:lineRule="auto"/>
        <w:ind w:left="720"/>
        <w:contextualSpacing/>
        <w:jc w:val="both"/>
        <w:rPr>
          <w:rFonts w:cs="Arial"/>
          <w:b/>
          <w:noProof/>
          <w:lang w:eastAsia="es-CO"/>
        </w:rPr>
      </w:pPr>
      <w:r w:rsidRPr="009A2496">
        <w:rPr>
          <w:rFonts w:cs="Arial"/>
          <w:shd w:val="clear" w:color="auto" w:fill="FFFFFF"/>
        </w:rPr>
        <w:lastRenderedPageBreak/>
        <w:t>Indique, según los siguientes criterios de valoración, cual es el que mejor interpreta el comportamiento del indicador analizado, para  el periodo comprendido entre los años 2011 y 2014. </w:t>
      </w:r>
      <w:r w:rsidRPr="009A2496">
        <w:rPr>
          <w:rFonts w:cs="Arial"/>
        </w:rPr>
        <w:br/>
      </w:r>
      <w:r w:rsidRPr="009A2496">
        <w:rPr>
          <w:rFonts w:cs="Arial"/>
          <w:shd w:val="clear" w:color="auto" w:fill="FFFFFF"/>
        </w:rPr>
        <w:t>Tenga en cuenta que debe analizar el periodo completo (2011 al 2014), si no cuenta con información para todos los años, la categoría a señalar es "sin serie Temporal":</w:t>
      </w:r>
    </w:p>
    <w:p w:rsidR="009A2496" w:rsidRPr="009A2496" w:rsidRDefault="009A2496" w:rsidP="00A92D87">
      <w:pPr>
        <w:spacing w:line="240" w:lineRule="auto"/>
        <w:ind w:left="720"/>
        <w:contextualSpacing/>
        <w:jc w:val="both"/>
        <w:rPr>
          <w:rFonts w:cs="Arial"/>
          <w:b/>
          <w:noProof/>
          <w:lang w:eastAsia="es-CO"/>
        </w:rPr>
      </w:pPr>
    </w:p>
    <w:p w:rsidR="009A2496" w:rsidRPr="009A2496" w:rsidRDefault="009A2496" w:rsidP="00EE7888">
      <w:pPr>
        <w:numPr>
          <w:ilvl w:val="1"/>
          <w:numId w:val="24"/>
        </w:numPr>
        <w:tabs>
          <w:tab w:val="left" w:pos="1830"/>
        </w:tabs>
        <w:spacing w:line="240" w:lineRule="auto"/>
        <w:contextualSpacing/>
        <w:jc w:val="both"/>
        <w:rPr>
          <w:rFonts w:cs="Arial"/>
          <w:lang w:eastAsia="es-CO"/>
        </w:rPr>
      </w:pPr>
      <w:r w:rsidRPr="009A2496">
        <w:rPr>
          <w:rFonts w:cs="Arial"/>
          <w:lang w:eastAsia="es-CO"/>
        </w:rPr>
        <w:t xml:space="preserve">Mejoró  </w:t>
      </w:r>
    </w:p>
    <w:p w:rsidR="009A2496" w:rsidRPr="009A2496" w:rsidRDefault="009A2496" w:rsidP="00EE7888">
      <w:pPr>
        <w:numPr>
          <w:ilvl w:val="1"/>
          <w:numId w:val="22"/>
        </w:numPr>
        <w:tabs>
          <w:tab w:val="left" w:pos="1830"/>
        </w:tabs>
        <w:spacing w:line="240" w:lineRule="auto"/>
        <w:contextualSpacing/>
        <w:jc w:val="both"/>
        <w:rPr>
          <w:rFonts w:cs="Arial"/>
          <w:lang w:eastAsia="es-CO"/>
        </w:rPr>
      </w:pPr>
      <w:r w:rsidRPr="009A2496">
        <w:rPr>
          <w:rFonts w:cs="Arial"/>
          <w:lang w:eastAsia="es-CO"/>
        </w:rPr>
        <w:t>Desmejoró</w:t>
      </w:r>
    </w:p>
    <w:p w:rsidR="009A2496" w:rsidRPr="009A2496" w:rsidRDefault="009A2496" w:rsidP="00EE7888">
      <w:pPr>
        <w:numPr>
          <w:ilvl w:val="1"/>
          <w:numId w:val="22"/>
        </w:numPr>
        <w:tabs>
          <w:tab w:val="left" w:pos="1830"/>
        </w:tabs>
        <w:spacing w:line="240" w:lineRule="auto"/>
        <w:contextualSpacing/>
        <w:jc w:val="both"/>
        <w:rPr>
          <w:rFonts w:cs="Arial"/>
          <w:lang w:eastAsia="es-CO"/>
        </w:rPr>
      </w:pPr>
      <w:r w:rsidRPr="009A2496">
        <w:rPr>
          <w:rFonts w:cs="Arial"/>
          <w:lang w:eastAsia="es-CO"/>
        </w:rPr>
        <w:t>Estable</w:t>
      </w:r>
    </w:p>
    <w:p w:rsidR="009A2496" w:rsidRPr="009A2496" w:rsidRDefault="00EE7888" w:rsidP="00A92D87">
      <w:pPr>
        <w:tabs>
          <w:tab w:val="left" w:pos="1830"/>
        </w:tabs>
        <w:spacing w:line="240" w:lineRule="auto"/>
        <w:ind w:left="360"/>
        <w:contextualSpacing/>
        <w:jc w:val="both"/>
        <w:rPr>
          <w:rFonts w:cs="Arial"/>
          <w:lang w:eastAsia="es-CO"/>
        </w:rPr>
      </w:pPr>
      <w:r>
        <w:rPr>
          <w:rFonts w:cs="Arial"/>
          <w:lang w:eastAsia="es-CO"/>
        </w:rPr>
        <w:tab/>
      </w:r>
      <w:r w:rsidR="009A2496" w:rsidRPr="009A2496">
        <w:rPr>
          <w:rFonts w:cs="Arial"/>
          <w:lang w:eastAsia="es-CO"/>
        </w:rPr>
        <w:t xml:space="preserve">X   Sin serie temporal </w:t>
      </w:r>
    </w:p>
    <w:p w:rsidR="009A2496" w:rsidRPr="009A2496" w:rsidRDefault="009A2496" w:rsidP="00EE7888">
      <w:pPr>
        <w:numPr>
          <w:ilvl w:val="1"/>
          <w:numId w:val="22"/>
        </w:numPr>
        <w:tabs>
          <w:tab w:val="left" w:pos="1830"/>
        </w:tabs>
        <w:spacing w:line="240" w:lineRule="auto"/>
        <w:contextualSpacing/>
        <w:jc w:val="both"/>
        <w:rPr>
          <w:rFonts w:cs="Arial"/>
          <w:lang w:eastAsia="es-CO"/>
        </w:rPr>
      </w:pPr>
      <w:r w:rsidRPr="009A2496">
        <w:rPr>
          <w:rFonts w:cs="Arial"/>
          <w:lang w:eastAsia="es-CO"/>
        </w:rPr>
        <w:t>Sin datos</w:t>
      </w:r>
    </w:p>
    <w:p w:rsidR="009A2496" w:rsidRPr="009A2496" w:rsidRDefault="009A2496" w:rsidP="00A92D87">
      <w:pPr>
        <w:tabs>
          <w:tab w:val="left" w:pos="1830"/>
        </w:tabs>
        <w:spacing w:line="240" w:lineRule="auto"/>
        <w:ind w:left="720"/>
        <w:contextualSpacing/>
        <w:jc w:val="both"/>
        <w:rPr>
          <w:rFonts w:cs="Arial"/>
          <w:lang w:eastAsia="es-CO"/>
        </w:rPr>
      </w:pPr>
    </w:p>
    <w:p w:rsidR="009A2496" w:rsidRPr="009A2496" w:rsidRDefault="009A2496" w:rsidP="00EE7888">
      <w:pPr>
        <w:tabs>
          <w:tab w:val="left" w:pos="1830"/>
        </w:tabs>
        <w:spacing w:line="240" w:lineRule="auto"/>
        <w:ind w:left="360"/>
        <w:contextualSpacing/>
        <w:jc w:val="both"/>
        <w:rPr>
          <w:rFonts w:cs="Arial"/>
          <w:shd w:val="clear" w:color="auto" w:fill="FFFFFF"/>
        </w:rPr>
      </w:pPr>
      <w:r w:rsidRPr="009A2496">
        <w:rPr>
          <w:rFonts w:cs="Arial"/>
          <w:shd w:val="clear" w:color="auto" w:fill="FFFFFF"/>
        </w:rPr>
        <w:t>Analice la categoría de valoración dada al indicador, identificando los impactos positivos o negativos sobre la población correspondiente al momento del ciclo de vida analizado, desde la situación encontrada al inicio de la administración y la del último año de referencia (2014 o 2015 según aplique):</w:t>
      </w:r>
    </w:p>
    <w:p w:rsidR="009A2496" w:rsidRPr="009A2496" w:rsidRDefault="009A2496" w:rsidP="00A92D87">
      <w:pPr>
        <w:spacing w:line="240" w:lineRule="auto"/>
        <w:ind w:left="720"/>
        <w:contextualSpacing/>
        <w:jc w:val="both"/>
        <w:rPr>
          <w:rFonts w:cs="Arial"/>
          <w:b/>
          <w:noProof/>
          <w:lang w:eastAsia="es-CO"/>
        </w:rPr>
      </w:pP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Impactos positivos:</w:t>
      </w:r>
    </w:p>
    <w:p w:rsidR="009A2496" w:rsidRPr="009A2496" w:rsidRDefault="009A2496" w:rsidP="00A92D87">
      <w:pPr>
        <w:spacing w:after="0" w:line="240" w:lineRule="auto"/>
        <w:jc w:val="both"/>
        <w:textAlignment w:val="baseline"/>
        <w:rPr>
          <w:rFonts w:eastAsia="MS PGothic" w:cs="Arial"/>
          <w:color w:val="000000"/>
          <w:kern w:val="24"/>
          <w:lang w:eastAsia="es-CO"/>
        </w:rPr>
      </w:pPr>
      <w:r w:rsidRPr="009A2496">
        <w:rPr>
          <w:rFonts w:eastAsia="MS PGothic" w:cs="Arial"/>
          <w:color w:val="000000"/>
          <w:kern w:val="24"/>
          <w:lang w:eastAsia="es-CO"/>
        </w:rPr>
        <w:t xml:space="preserve">Los niños, niñas, adolescentes </w:t>
      </w:r>
      <w:r w:rsidR="00F07B9B" w:rsidRPr="009A2496">
        <w:rPr>
          <w:rFonts w:eastAsia="MS PGothic" w:cs="Arial"/>
          <w:color w:val="000000"/>
          <w:kern w:val="24"/>
          <w:lang w:eastAsia="es-CO"/>
        </w:rPr>
        <w:t>y sus</w:t>
      </w:r>
      <w:r w:rsidRPr="009A2496">
        <w:rPr>
          <w:rFonts w:eastAsia="MS PGothic" w:cs="Arial"/>
          <w:color w:val="000000"/>
          <w:kern w:val="24"/>
          <w:lang w:eastAsia="es-CO"/>
        </w:rPr>
        <w:t xml:space="preserve"> familias, que vivieron experiencias de violencia sexual y a quienes se les </w:t>
      </w:r>
      <w:r w:rsidR="00F07B9B" w:rsidRPr="009A2496">
        <w:rPr>
          <w:rFonts w:eastAsia="MS PGothic" w:cs="Arial"/>
          <w:color w:val="000000"/>
          <w:kern w:val="24"/>
          <w:lang w:eastAsia="es-CO"/>
        </w:rPr>
        <w:t>apertura</w:t>
      </w:r>
      <w:r w:rsidRPr="009A2496">
        <w:rPr>
          <w:rFonts w:eastAsia="MS PGothic" w:cs="Arial"/>
          <w:color w:val="000000"/>
          <w:kern w:val="24"/>
          <w:lang w:eastAsia="es-CO"/>
        </w:rPr>
        <w:t xml:space="preserve"> proceso administrativo de restablecimiento de derechos fueron atendidos por la Comisaria de Familia del municipio, pese a la carencia de equipos interdisciplinarios.</w:t>
      </w:r>
    </w:p>
    <w:p w:rsidR="009A2496" w:rsidRPr="009A2496" w:rsidRDefault="009A2496" w:rsidP="00A92D87">
      <w:pPr>
        <w:spacing w:after="0" w:line="240" w:lineRule="auto"/>
        <w:ind w:left="706" w:hanging="706"/>
        <w:jc w:val="both"/>
        <w:textAlignment w:val="baseline"/>
        <w:rPr>
          <w:rFonts w:eastAsia="MS PGothic" w:cs="Arial"/>
          <w:color w:val="000000"/>
          <w:kern w:val="24"/>
          <w:lang w:eastAsia="es-CO"/>
        </w:rPr>
      </w:pPr>
    </w:p>
    <w:p w:rsidR="009A2496" w:rsidRPr="009A2496" w:rsidRDefault="009A2496" w:rsidP="00A92D87">
      <w:pPr>
        <w:spacing w:after="0" w:line="240" w:lineRule="auto"/>
        <w:jc w:val="both"/>
        <w:textAlignment w:val="baseline"/>
        <w:rPr>
          <w:rFonts w:eastAsia="MS PGothic" w:cs="Arial"/>
          <w:color w:val="000000"/>
          <w:kern w:val="24"/>
          <w:lang w:eastAsia="es-CO"/>
        </w:rPr>
      </w:pPr>
      <w:r w:rsidRPr="009A2496">
        <w:rPr>
          <w:rFonts w:eastAsia="MS PGothic" w:cs="Arial"/>
          <w:color w:val="000000"/>
          <w:kern w:val="24"/>
          <w:lang w:eastAsia="es-CO"/>
        </w:rPr>
        <w:t>El territorio desarrollo acciones de prevención de violencia sexual  dirigidas a los niños, niñas adolescentes y sus familias.</w:t>
      </w:r>
    </w:p>
    <w:p w:rsidR="009A2496" w:rsidRPr="009A2496" w:rsidRDefault="009A2496" w:rsidP="00A92D87">
      <w:pPr>
        <w:spacing w:after="0" w:line="240" w:lineRule="auto"/>
        <w:ind w:left="706" w:hanging="706"/>
        <w:jc w:val="both"/>
        <w:textAlignment w:val="baseline"/>
        <w:rPr>
          <w:rFonts w:eastAsia="Times New Roman" w:cs="Arial"/>
          <w:lang w:eastAsia="es-CO"/>
        </w:rPr>
      </w:pPr>
      <w:r w:rsidRPr="009A2496">
        <w:rPr>
          <w:rFonts w:eastAsia="MS PGothic" w:cs="Arial"/>
          <w:color w:val="000000"/>
          <w:kern w:val="24"/>
          <w:lang w:eastAsia="es-CO"/>
        </w:rPr>
        <w:t xml:space="preserve"> </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Ejecución de campañas de prevención y sensibilización para generar factores protectores en la familia y en espacios académicos y promover la denuncia ante las autoridades competentes.</w:t>
      </w:r>
    </w:p>
    <w:p w:rsidR="009A2496" w:rsidRPr="009A2496" w:rsidRDefault="009A2496" w:rsidP="00A92D87">
      <w:pPr>
        <w:spacing w:after="0" w:line="240" w:lineRule="auto"/>
        <w:jc w:val="both"/>
        <w:rPr>
          <w:rFonts w:eastAsia="Times New Roman" w:cs="Arial"/>
          <w:lang w:eastAsia="es-CO"/>
        </w:rPr>
      </w:pPr>
      <w:r w:rsidRPr="009A2496">
        <w:rPr>
          <w:rFonts w:eastAsia="Times New Roman" w:cs="Arial"/>
          <w:lang w:eastAsia="es-CO"/>
        </w:rPr>
        <w:t>Articulación del Sistema Nacional de Bienestar Familiar para la garantía de derechos de los niños, niñas y adolescentes.</w:t>
      </w:r>
    </w:p>
    <w:p w:rsidR="00EE7888" w:rsidRDefault="00EE7888" w:rsidP="00A92D87">
      <w:pPr>
        <w:tabs>
          <w:tab w:val="left" w:pos="1920"/>
        </w:tabs>
        <w:spacing w:line="240" w:lineRule="auto"/>
        <w:jc w:val="both"/>
        <w:rPr>
          <w:rFonts w:cs="Arial"/>
          <w:b/>
          <w:noProof/>
          <w:lang w:eastAsia="es-CO"/>
        </w:rPr>
      </w:pP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Impactos negativos:</w:t>
      </w:r>
    </w:p>
    <w:p w:rsidR="009A2496" w:rsidRPr="009A2496" w:rsidRDefault="009A2496" w:rsidP="00A92D87">
      <w:pPr>
        <w:tabs>
          <w:tab w:val="left" w:pos="1830"/>
        </w:tabs>
        <w:spacing w:line="240" w:lineRule="auto"/>
        <w:jc w:val="both"/>
        <w:rPr>
          <w:rFonts w:cs="Arial"/>
          <w:lang w:eastAsia="es-CO"/>
        </w:rPr>
      </w:pPr>
      <w:r w:rsidRPr="009A2496">
        <w:rPr>
          <w:rFonts w:cs="Arial"/>
          <w:lang w:eastAsia="es-CO"/>
        </w:rPr>
        <w:t xml:space="preserve">Deficiente atención terapéutica para los niños, niñas, adolescentes y familia, requerida para los casos de abuso sexual debido a la falta de recursos que permitan la contratación de profesionales especializados, toda vez que la afectación para las víctimas de abuso sexual generan múltiples y complejas consecuencias como: </w:t>
      </w:r>
    </w:p>
    <w:p w:rsidR="009A2496" w:rsidRPr="009A2496" w:rsidRDefault="009A2496" w:rsidP="00A92D87">
      <w:pPr>
        <w:spacing w:line="240" w:lineRule="auto"/>
        <w:rPr>
          <w:rFonts w:cs="Arial"/>
        </w:rPr>
      </w:pPr>
      <w:r w:rsidRPr="009A2496">
        <w:rPr>
          <w:rFonts w:cs="Arial"/>
        </w:rPr>
        <w:t>Alteraciones físicas, cognitivas, emocionales, comportamentales, sociales, sexuales en los niños, niñas y adolescentes.</w:t>
      </w:r>
    </w:p>
    <w:p w:rsidR="009A2496" w:rsidRPr="009A2496" w:rsidRDefault="009A2496" w:rsidP="00A92D87">
      <w:pPr>
        <w:spacing w:line="240" w:lineRule="auto"/>
        <w:rPr>
          <w:rFonts w:cs="Arial"/>
        </w:rPr>
      </w:pPr>
      <w:r w:rsidRPr="009A2496">
        <w:rPr>
          <w:rFonts w:cs="Arial"/>
        </w:rPr>
        <w:t>Niños, niñas y adolescentes con  vulneración de derechos.</w:t>
      </w:r>
    </w:p>
    <w:p w:rsidR="009A2496" w:rsidRPr="009A2496" w:rsidRDefault="009A2496" w:rsidP="00A92D87">
      <w:pPr>
        <w:spacing w:line="240" w:lineRule="auto"/>
        <w:rPr>
          <w:rFonts w:cs="Arial"/>
        </w:rPr>
      </w:pPr>
      <w:r w:rsidRPr="009A2496">
        <w:rPr>
          <w:rFonts w:cs="Arial"/>
        </w:rPr>
        <w:t>Afectación de la calidad y proyecto de vida.</w:t>
      </w:r>
    </w:p>
    <w:p w:rsidR="009A2496" w:rsidRPr="009A2496" w:rsidRDefault="009A2496" w:rsidP="00A92D87">
      <w:pPr>
        <w:spacing w:line="240" w:lineRule="auto"/>
        <w:rPr>
          <w:rFonts w:cs="Arial"/>
        </w:rPr>
      </w:pPr>
      <w:r w:rsidRPr="009A2496">
        <w:rPr>
          <w:rFonts w:cs="Arial"/>
        </w:rPr>
        <w:lastRenderedPageBreak/>
        <w:t>Conductas suicidas.</w:t>
      </w:r>
    </w:p>
    <w:p w:rsidR="009A2496" w:rsidRPr="009A2496" w:rsidRDefault="009A2496" w:rsidP="00A92D87">
      <w:pPr>
        <w:spacing w:line="240" w:lineRule="auto"/>
        <w:rPr>
          <w:rFonts w:cs="Arial"/>
        </w:rPr>
      </w:pPr>
      <w:r w:rsidRPr="009A2496">
        <w:rPr>
          <w:rFonts w:cs="Arial"/>
        </w:rPr>
        <w:t>Desestructuración familiar.</w:t>
      </w:r>
    </w:p>
    <w:p w:rsidR="009A2496" w:rsidRPr="009A2496" w:rsidRDefault="009A2496" w:rsidP="00A92D87">
      <w:pPr>
        <w:spacing w:line="240" w:lineRule="auto"/>
        <w:rPr>
          <w:rFonts w:cs="Arial"/>
        </w:rPr>
      </w:pPr>
      <w:r w:rsidRPr="009A2496">
        <w:rPr>
          <w:rFonts w:cs="Arial"/>
        </w:rPr>
        <w:t xml:space="preserve">Generación de problemáticas  socio familiares </w:t>
      </w:r>
    </w:p>
    <w:p w:rsidR="009A2496" w:rsidRPr="009A2496" w:rsidRDefault="009A2496" w:rsidP="00A92D87">
      <w:pPr>
        <w:spacing w:line="240" w:lineRule="auto"/>
        <w:rPr>
          <w:rFonts w:cs="Arial"/>
        </w:rPr>
      </w:pPr>
      <w:r w:rsidRPr="009A2496">
        <w:rPr>
          <w:rFonts w:cs="Arial"/>
        </w:rPr>
        <w:t>Entornos protectores no garantes.</w:t>
      </w:r>
    </w:p>
    <w:p w:rsidR="009A2496" w:rsidRPr="009A2496" w:rsidRDefault="009A2496" w:rsidP="00A92D87">
      <w:pPr>
        <w:spacing w:line="240" w:lineRule="auto"/>
        <w:rPr>
          <w:rFonts w:cs="Arial"/>
        </w:rPr>
      </w:pPr>
      <w:r w:rsidRPr="009A2496">
        <w:rPr>
          <w:rFonts w:cs="Arial"/>
        </w:rPr>
        <w:t>Consumo de sustancias psicoactivas</w:t>
      </w:r>
    </w:p>
    <w:p w:rsidR="009A2496" w:rsidRPr="009A2496" w:rsidRDefault="009A2496" w:rsidP="00A92D87">
      <w:pPr>
        <w:spacing w:line="240" w:lineRule="auto"/>
      </w:pPr>
      <w:r w:rsidRPr="009A2496">
        <w:rPr>
          <w:rFonts w:cs="Arial"/>
        </w:rPr>
        <w:t>Embarazos en adolescentes</w:t>
      </w:r>
      <w:r w:rsidRPr="009A2496">
        <w:t>.</w:t>
      </w:r>
    </w:p>
    <w:p w:rsidR="009A2496" w:rsidRPr="00EE7888" w:rsidRDefault="009A2496" w:rsidP="006C3CF7">
      <w:pPr>
        <w:numPr>
          <w:ilvl w:val="0"/>
          <w:numId w:val="76"/>
        </w:numPr>
        <w:tabs>
          <w:tab w:val="left" w:pos="1830"/>
        </w:tabs>
        <w:spacing w:line="240" w:lineRule="auto"/>
        <w:contextualSpacing/>
        <w:jc w:val="both"/>
        <w:rPr>
          <w:rFonts w:cs="Arial"/>
          <w:lang w:eastAsia="es-CO"/>
        </w:rPr>
      </w:pPr>
      <w:r w:rsidRPr="009A2496">
        <w:rPr>
          <w:rFonts w:cs="Arial"/>
          <w:shd w:val="clear" w:color="auto" w:fill="FFFFFF"/>
        </w:rPr>
        <w:t>Realice un análisis de las razones del comportamiento del indicador (según serie temporal) teniendo en cuenta la fuente que está utilizando (nacional o local). Si la fuente de información ofrece niveles de desagregación (sexo, área, etnia, discapacidad, etc.), inclúyalos en el análisis. </w:t>
      </w:r>
      <w:r w:rsidR="00EE7888">
        <w:rPr>
          <w:rFonts w:cs="Arial"/>
          <w:shd w:val="clear" w:color="auto" w:fill="FFFFFF"/>
        </w:rPr>
        <w:t xml:space="preserve"> </w:t>
      </w:r>
      <w:r w:rsidRPr="009A2496">
        <w:rPr>
          <w:rFonts w:cs="Arial"/>
          <w:shd w:val="clear" w:color="auto" w:fill="FFFFFF"/>
        </w:rPr>
        <w:t>Si puede argumentar el comportamiento del indicador según la fuente alterna puede hacerlo en el campo correspondiente:</w:t>
      </w:r>
    </w:p>
    <w:p w:rsidR="00EE7888" w:rsidRPr="009A2496" w:rsidRDefault="00EE7888" w:rsidP="00EE7888">
      <w:pPr>
        <w:tabs>
          <w:tab w:val="left" w:pos="1830"/>
        </w:tabs>
        <w:spacing w:line="240" w:lineRule="auto"/>
        <w:ind w:left="720"/>
        <w:contextualSpacing/>
        <w:jc w:val="both"/>
        <w:rPr>
          <w:rFonts w:cs="Arial"/>
          <w:lang w:eastAsia="es-CO"/>
        </w:rPr>
      </w:pP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Fuente Nacional:</w:t>
      </w:r>
    </w:p>
    <w:p w:rsidR="009A2496" w:rsidRPr="009A2496" w:rsidRDefault="009A2496" w:rsidP="00A92D87">
      <w:pPr>
        <w:spacing w:after="0" w:line="240" w:lineRule="auto"/>
        <w:jc w:val="both"/>
        <w:textAlignment w:val="baseline"/>
        <w:rPr>
          <w:rFonts w:eastAsia="Times New Roman" w:cs="Arial"/>
          <w:lang w:eastAsia="es-CO"/>
        </w:rPr>
      </w:pPr>
      <w:r w:rsidRPr="009A2496">
        <w:rPr>
          <w:rFonts w:eastAsia="Times New Roman" w:cs="Arial"/>
          <w:lang w:eastAsia="es-CO"/>
        </w:rPr>
        <w:t>Revisada la fuente de información nacional,  se verifica para la vigencia 2011-2014 se reportan procesos administrativos de restablecimiento de derechos de niños niñas y adolescentes víctimas de violencia sexual, un descenso cuantitativo de un año a otro. Lo cual se atribuye a acciones como:</w:t>
      </w:r>
    </w:p>
    <w:p w:rsidR="009A2496" w:rsidRPr="009A2496" w:rsidRDefault="009A2496" w:rsidP="00A92D87">
      <w:pPr>
        <w:spacing w:after="0" w:line="240" w:lineRule="auto"/>
        <w:jc w:val="both"/>
        <w:textAlignment w:val="baseline"/>
        <w:rPr>
          <w:rFonts w:eastAsia="Times New Roman" w:cs="Arial"/>
          <w:lang w:eastAsia="es-CO"/>
        </w:rPr>
      </w:pPr>
    </w:p>
    <w:p w:rsidR="009A2496" w:rsidRPr="009A2496" w:rsidRDefault="009A2496" w:rsidP="00A92D87">
      <w:pPr>
        <w:numPr>
          <w:ilvl w:val="0"/>
          <w:numId w:val="30"/>
        </w:numPr>
        <w:spacing w:after="0" w:line="240" w:lineRule="auto"/>
        <w:jc w:val="both"/>
        <w:textAlignment w:val="baseline"/>
        <w:rPr>
          <w:rFonts w:eastAsia="Times New Roman" w:cs="Arial"/>
          <w:lang w:eastAsia="es-CO"/>
        </w:rPr>
      </w:pPr>
      <w:r w:rsidRPr="009A2496">
        <w:rPr>
          <w:rFonts w:eastAsia="Times New Roman" w:cs="Arial"/>
          <w:lang w:eastAsia="es-CO"/>
        </w:rPr>
        <w:t xml:space="preserve">Se desarrollaron campañas preventivas </w:t>
      </w:r>
      <w:r w:rsidR="00F07B9B" w:rsidRPr="009A2496">
        <w:rPr>
          <w:rFonts w:eastAsia="Times New Roman" w:cs="Arial"/>
          <w:lang w:eastAsia="es-CO"/>
        </w:rPr>
        <w:t>y programas encaminados</w:t>
      </w:r>
      <w:r w:rsidRPr="009A2496">
        <w:rPr>
          <w:rFonts w:eastAsia="Times New Roman" w:cs="Arial"/>
          <w:lang w:eastAsia="es-CO"/>
        </w:rPr>
        <w:t xml:space="preserve"> a la sensibilización de las familias para ser garantes de derechos   y protectores.</w:t>
      </w:r>
    </w:p>
    <w:p w:rsidR="009A2496" w:rsidRPr="009A2496" w:rsidRDefault="009A2496" w:rsidP="00A92D87">
      <w:pPr>
        <w:numPr>
          <w:ilvl w:val="0"/>
          <w:numId w:val="30"/>
        </w:numPr>
        <w:spacing w:after="0" w:line="240" w:lineRule="auto"/>
        <w:contextualSpacing/>
        <w:rPr>
          <w:rFonts w:eastAsia="Times New Roman" w:cs="Arial"/>
          <w:lang w:eastAsia="es-CO"/>
        </w:rPr>
      </w:pPr>
      <w:r w:rsidRPr="009A2496">
        <w:rPr>
          <w:rFonts w:eastAsia="Times New Roman" w:cs="Arial"/>
          <w:color w:val="000000" w:themeColor="text1"/>
          <w:lang w:eastAsia="es-CO"/>
        </w:rPr>
        <w:t>M</w:t>
      </w:r>
      <w:r w:rsidRPr="009A2496">
        <w:rPr>
          <w:rFonts w:eastAsia="Times New Roman" w:cs="Arial"/>
          <w:lang w:eastAsia="es-CO"/>
        </w:rPr>
        <w:t>ayor sensibilización de la comunidad en general que incentiva la denuncia.</w:t>
      </w:r>
    </w:p>
    <w:p w:rsidR="009A2496" w:rsidRPr="009A2496" w:rsidRDefault="009A2496" w:rsidP="00A92D87">
      <w:pPr>
        <w:numPr>
          <w:ilvl w:val="0"/>
          <w:numId w:val="30"/>
        </w:numPr>
        <w:spacing w:after="0" w:line="240" w:lineRule="auto"/>
        <w:contextualSpacing/>
        <w:rPr>
          <w:rFonts w:eastAsia="Times New Roman" w:cs="Arial"/>
          <w:lang w:eastAsia="es-CO"/>
        </w:rPr>
      </w:pPr>
      <w:r w:rsidRPr="009A2496">
        <w:rPr>
          <w:rFonts w:eastAsia="Times New Roman" w:cs="Arial"/>
          <w:lang w:eastAsia="es-CO"/>
        </w:rPr>
        <w:t>Implementación y fortalecimiento de la ruta haz paz.</w:t>
      </w:r>
    </w:p>
    <w:p w:rsidR="009A2496" w:rsidRPr="009A2496" w:rsidRDefault="009A2496" w:rsidP="00A92D87">
      <w:pPr>
        <w:numPr>
          <w:ilvl w:val="0"/>
          <w:numId w:val="30"/>
        </w:numPr>
        <w:spacing w:after="0" w:line="240" w:lineRule="auto"/>
        <w:contextualSpacing/>
        <w:rPr>
          <w:rFonts w:eastAsia="Times New Roman" w:cs="Arial"/>
          <w:lang w:eastAsia="es-CO"/>
        </w:rPr>
      </w:pPr>
      <w:r w:rsidRPr="009A2496">
        <w:rPr>
          <w:rFonts w:eastAsia="Times New Roman" w:cs="Arial"/>
          <w:lang w:eastAsia="es-CO"/>
        </w:rPr>
        <w:t>Implementación y fortalecimiento de las rutas de atención y prevención  de maltrato infantil, abuso sexual, violencia intrafamiliar y trabajo infantil.</w:t>
      </w:r>
    </w:p>
    <w:p w:rsidR="00EE7888" w:rsidRDefault="009A2496" w:rsidP="00EE7888">
      <w:pPr>
        <w:numPr>
          <w:ilvl w:val="0"/>
          <w:numId w:val="30"/>
        </w:numPr>
        <w:spacing w:after="0" w:line="240" w:lineRule="auto"/>
        <w:contextualSpacing/>
        <w:rPr>
          <w:rFonts w:eastAsia="Times New Roman" w:cs="Arial"/>
          <w:lang w:eastAsia="es-CO"/>
        </w:rPr>
      </w:pPr>
      <w:r w:rsidRPr="00EE7888">
        <w:rPr>
          <w:rFonts w:eastAsia="Times New Roman" w:cs="Arial"/>
          <w:lang w:eastAsia="es-CO"/>
        </w:rPr>
        <w:t>Mayor conocimiento y apropiación de la ley 1098 de 2006.</w:t>
      </w:r>
    </w:p>
    <w:p w:rsidR="009A2496" w:rsidRPr="00EE7888" w:rsidRDefault="009A2496" w:rsidP="00A92D87">
      <w:pPr>
        <w:numPr>
          <w:ilvl w:val="0"/>
          <w:numId w:val="30"/>
        </w:numPr>
        <w:spacing w:after="0" w:line="240" w:lineRule="auto"/>
        <w:contextualSpacing/>
        <w:rPr>
          <w:rFonts w:eastAsia="Times New Roman" w:cs="Arial"/>
          <w:lang w:eastAsia="es-CO"/>
        </w:rPr>
      </w:pPr>
      <w:r w:rsidRPr="00EE7888">
        <w:rPr>
          <w:rFonts w:eastAsia="Times New Roman" w:cs="Arial"/>
          <w:lang w:eastAsia="es-CO"/>
        </w:rPr>
        <w:t>Mayor concientización  y  apropiación  de factores protectores en la familia y la comunidad  frente al abuso sexual</w:t>
      </w:r>
    </w:p>
    <w:p w:rsidR="00EE7888" w:rsidRPr="00EE7888" w:rsidRDefault="009A2496" w:rsidP="00A92D87">
      <w:pPr>
        <w:numPr>
          <w:ilvl w:val="0"/>
          <w:numId w:val="30"/>
        </w:numPr>
        <w:spacing w:after="0" w:line="240" w:lineRule="auto"/>
        <w:contextualSpacing/>
        <w:rPr>
          <w:rFonts w:eastAsia="Times New Roman" w:cs="Arial"/>
          <w:color w:val="000000" w:themeColor="text1"/>
          <w:lang w:eastAsia="es-CO"/>
        </w:rPr>
      </w:pPr>
      <w:r w:rsidRPr="00EE7888">
        <w:rPr>
          <w:rFonts w:eastAsia="Times New Roman" w:cs="Arial"/>
          <w:lang w:eastAsia="es-CO"/>
        </w:rPr>
        <w:t>Mesa de primera infancia, infancia y adolescencia con planes operativos encaminados a la prevención y atención de violencia sexual.</w:t>
      </w:r>
    </w:p>
    <w:p w:rsidR="00EE7888" w:rsidRPr="00EE7888" w:rsidRDefault="009A2496" w:rsidP="00A92D87">
      <w:pPr>
        <w:numPr>
          <w:ilvl w:val="0"/>
          <w:numId w:val="30"/>
        </w:numPr>
        <w:spacing w:after="0" w:line="240" w:lineRule="auto"/>
        <w:contextualSpacing/>
        <w:rPr>
          <w:rFonts w:eastAsia="Times New Roman" w:cs="Arial"/>
          <w:lang w:eastAsia="es-CO"/>
        </w:rPr>
      </w:pPr>
      <w:r w:rsidRPr="00EE7888">
        <w:rPr>
          <w:rFonts w:eastAsia="Times New Roman" w:cs="Arial"/>
          <w:color w:val="000000" w:themeColor="text1"/>
          <w:lang w:eastAsia="es-CO"/>
        </w:rPr>
        <w:t>Red del buen trato  desarrollando acciones de prevención y atención.</w:t>
      </w:r>
    </w:p>
    <w:p w:rsidR="00EE7888" w:rsidRDefault="009A2496" w:rsidP="00A92D87">
      <w:pPr>
        <w:numPr>
          <w:ilvl w:val="0"/>
          <w:numId w:val="30"/>
        </w:numPr>
        <w:spacing w:after="0" w:line="240" w:lineRule="auto"/>
        <w:contextualSpacing/>
        <w:rPr>
          <w:rFonts w:eastAsia="Times New Roman" w:cs="Arial"/>
          <w:lang w:eastAsia="es-CO"/>
        </w:rPr>
      </w:pPr>
      <w:r w:rsidRPr="00EE7888">
        <w:rPr>
          <w:rFonts w:eastAsia="Times New Roman" w:cs="Arial"/>
          <w:lang w:eastAsia="es-CO"/>
        </w:rPr>
        <w:t>Articulación del sistema nacional de bienestar familiar para la garantía de derechos de los niños, niñas y adolescentes.</w:t>
      </w:r>
    </w:p>
    <w:p w:rsidR="009A2496" w:rsidRPr="00EE7888" w:rsidRDefault="009A2496" w:rsidP="00A92D87">
      <w:pPr>
        <w:numPr>
          <w:ilvl w:val="0"/>
          <w:numId w:val="30"/>
        </w:numPr>
        <w:spacing w:after="0" w:line="240" w:lineRule="auto"/>
        <w:contextualSpacing/>
        <w:rPr>
          <w:rFonts w:eastAsia="Times New Roman" w:cs="Arial"/>
          <w:lang w:eastAsia="es-CO"/>
        </w:rPr>
      </w:pPr>
      <w:r w:rsidRPr="00EE7888">
        <w:rPr>
          <w:rFonts w:eastAsia="Times New Roman" w:cs="Arial"/>
          <w:lang w:eastAsia="es-CO"/>
        </w:rPr>
        <w:t>Aumento de penas para los victimarios de niños, niñas y adolescentes.</w:t>
      </w:r>
    </w:p>
    <w:p w:rsidR="00EE7888" w:rsidRDefault="00EE7888" w:rsidP="00A92D87">
      <w:pPr>
        <w:spacing w:after="0" w:line="240" w:lineRule="auto"/>
        <w:jc w:val="both"/>
        <w:textAlignment w:val="baseline"/>
        <w:rPr>
          <w:rFonts w:eastAsia="Times New Roman" w:cs="Arial"/>
          <w:lang w:eastAsia="es-CO"/>
        </w:rPr>
      </w:pPr>
    </w:p>
    <w:p w:rsidR="009A2496" w:rsidRPr="009A2496" w:rsidRDefault="009A2496" w:rsidP="00A92D87">
      <w:pPr>
        <w:spacing w:after="0" w:line="240" w:lineRule="auto"/>
        <w:jc w:val="both"/>
        <w:textAlignment w:val="baseline"/>
        <w:rPr>
          <w:rFonts w:eastAsia="Times New Roman" w:cs="Arial"/>
          <w:lang w:eastAsia="es-CO"/>
        </w:rPr>
      </w:pPr>
      <w:r w:rsidRPr="009A2496">
        <w:rPr>
          <w:rFonts w:eastAsia="Times New Roman" w:cs="Arial"/>
          <w:lang w:eastAsia="es-CO"/>
        </w:rPr>
        <w:t>Entre las razones que explica la disminución estadística se encuentra el fortalecimiento de los centros de atención de víctimas de violencia sexual, con la corresponsabilidad de la Fiscalía General de la Nación para atender con un  Caivas no solo en la ciudad de Pasto, sino también  en Tumaco.</w:t>
      </w:r>
    </w:p>
    <w:p w:rsidR="009A2496" w:rsidRPr="009A2496" w:rsidRDefault="009A2496" w:rsidP="00A92D87">
      <w:pPr>
        <w:spacing w:after="0" w:line="240" w:lineRule="auto"/>
        <w:jc w:val="both"/>
        <w:textAlignment w:val="baseline"/>
        <w:rPr>
          <w:rFonts w:eastAsia="Times New Roman" w:cs="Arial"/>
          <w:lang w:eastAsia="es-CO"/>
        </w:rPr>
      </w:pPr>
    </w:p>
    <w:p w:rsidR="009A2496" w:rsidRPr="009A2496" w:rsidRDefault="009A2496" w:rsidP="00A92D87">
      <w:pPr>
        <w:spacing w:after="0" w:line="240" w:lineRule="auto"/>
        <w:jc w:val="both"/>
        <w:textAlignment w:val="baseline"/>
        <w:rPr>
          <w:rFonts w:eastAsia="Times New Roman" w:cs="Arial"/>
          <w:lang w:eastAsia="es-CO"/>
        </w:rPr>
      </w:pPr>
      <w:r w:rsidRPr="009A2496">
        <w:rPr>
          <w:rFonts w:eastAsia="Times New Roman" w:cs="Arial"/>
          <w:lang w:eastAsia="es-CO"/>
        </w:rPr>
        <w:lastRenderedPageBreak/>
        <w:t>Se utilizaron las modalidades de atención que dispone el ICBF tales como intervención terapéutica, intervención de apoyo, hogar sustituto.</w:t>
      </w:r>
    </w:p>
    <w:p w:rsidR="009A2496" w:rsidRPr="009A2496" w:rsidRDefault="009A2496" w:rsidP="00A92D87">
      <w:pPr>
        <w:spacing w:after="0" w:line="240" w:lineRule="auto"/>
        <w:jc w:val="both"/>
        <w:textAlignment w:val="baseline"/>
        <w:rPr>
          <w:rFonts w:eastAsia="Times New Roman" w:cs="Arial"/>
          <w:lang w:eastAsia="es-CO"/>
        </w:rPr>
      </w:pPr>
    </w:p>
    <w:p w:rsidR="009A2496" w:rsidRPr="009A2496" w:rsidRDefault="009A2496" w:rsidP="00A92D87">
      <w:pPr>
        <w:tabs>
          <w:tab w:val="left" w:pos="1920"/>
        </w:tabs>
        <w:spacing w:line="240" w:lineRule="auto"/>
        <w:jc w:val="both"/>
      </w:pPr>
      <w:r w:rsidRPr="009A2496">
        <w:rPr>
          <w:rFonts w:eastAsiaTheme="minorEastAsia" w:cs="Arial"/>
          <w:bCs/>
          <w:kern w:val="24"/>
          <w:lang w:val="es-ES"/>
        </w:rPr>
        <w:t xml:space="preserve">Coordinación y participación conjunta con otras entidades en los Comités Interinstitucionales Consultivos para la prevención de la violencia sexual y atención integral de los niños, niñas y adolescentes </w:t>
      </w:r>
      <w:r w:rsidR="00F07B9B" w:rsidRPr="009A2496">
        <w:rPr>
          <w:rFonts w:eastAsiaTheme="minorEastAsia" w:cs="Arial"/>
          <w:bCs/>
          <w:kern w:val="24"/>
          <w:lang w:val="es-ES"/>
        </w:rPr>
        <w:t>víctimas</w:t>
      </w:r>
      <w:r w:rsidRPr="009A2496">
        <w:rPr>
          <w:rFonts w:eastAsiaTheme="minorEastAsia" w:cs="Arial"/>
          <w:bCs/>
          <w:kern w:val="24"/>
          <w:lang w:val="es-ES"/>
        </w:rPr>
        <w:t xml:space="preserve"> de abuso sexual.</w:t>
      </w:r>
    </w:p>
    <w:p w:rsidR="009A2496" w:rsidRPr="009A2496" w:rsidRDefault="009A2496" w:rsidP="00A92D87">
      <w:pPr>
        <w:spacing w:before="100" w:beforeAutospacing="1" w:after="100" w:afterAutospacing="1" w:line="240" w:lineRule="auto"/>
        <w:jc w:val="both"/>
        <w:textAlignment w:val="baseline"/>
        <w:rPr>
          <w:rFonts w:eastAsiaTheme="minorEastAsia" w:cs="Arial"/>
          <w:bCs/>
          <w:kern w:val="24"/>
          <w:lang w:eastAsia="es-CO"/>
        </w:rPr>
      </w:pPr>
      <w:r w:rsidRPr="009A2496">
        <w:rPr>
          <w:rFonts w:eastAsiaTheme="minorEastAsia" w:cs="Arial"/>
          <w:b/>
          <w:bCs/>
          <w:kern w:val="24"/>
          <w:lang w:eastAsia="es-CO"/>
        </w:rPr>
        <w:t>Vigencia 2.012</w:t>
      </w:r>
    </w:p>
    <w:p w:rsidR="009A2496" w:rsidRPr="009A2496" w:rsidRDefault="009A2496" w:rsidP="00A92D87">
      <w:pPr>
        <w:numPr>
          <w:ilvl w:val="0"/>
          <w:numId w:val="27"/>
        </w:numPr>
        <w:spacing w:after="0" w:line="240" w:lineRule="auto"/>
        <w:jc w:val="both"/>
        <w:textAlignment w:val="baseline"/>
        <w:rPr>
          <w:rFonts w:eastAsiaTheme="minorEastAsia" w:cs="Arial"/>
          <w:bCs/>
          <w:kern w:val="24"/>
          <w:lang w:eastAsia="es-CO"/>
        </w:rPr>
      </w:pPr>
      <w:r w:rsidRPr="009A2496">
        <w:rPr>
          <w:rFonts w:eastAsiaTheme="minorEastAsia" w:cs="Arial"/>
          <w:bCs/>
          <w:kern w:val="24"/>
          <w:lang w:eastAsia="es-CO"/>
        </w:rPr>
        <w:t>El IDSN brindó asistencia técnica a los 64 municipios logrando implementar la estrategia ICDP  en el 97% de los municipios, dirigido a actores del SGSSS de nivel municipal.</w:t>
      </w:r>
    </w:p>
    <w:p w:rsidR="009A2496" w:rsidRPr="009A2496" w:rsidRDefault="009A2496" w:rsidP="00A92D87">
      <w:pPr>
        <w:numPr>
          <w:ilvl w:val="0"/>
          <w:numId w:val="27"/>
        </w:numPr>
        <w:spacing w:after="0" w:line="240" w:lineRule="auto"/>
        <w:jc w:val="both"/>
        <w:textAlignment w:val="baseline"/>
        <w:rPr>
          <w:rFonts w:eastAsiaTheme="minorEastAsia" w:cs="Arial"/>
          <w:bCs/>
          <w:kern w:val="24"/>
          <w:lang w:eastAsia="es-CO"/>
        </w:rPr>
      </w:pPr>
      <w:r w:rsidRPr="009A2496">
        <w:rPr>
          <w:rFonts w:eastAsiaTheme="minorEastAsia" w:cs="Arial"/>
          <w:bCs/>
          <w:kern w:val="24"/>
          <w:lang w:eastAsia="es-CO"/>
        </w:rPr>
        <w:t>Taller Departamental "Modelo de Atención Integral a Víctimas de Violencia Sexual". Se capacitó a 31 Directores Locales de Salud, 42 Comisarios de Familia, 45 profesionales de salud de las ESEs, IPSs, 6 EPS y 3 universidades formadoras del recurso humano.</w:t>
      </w:r>
    </w:p>
    <w:p w:rsidR="009A2496" w:rsidRPr="009A2496" w:rsidRDefault="009A2496" w:rsidP="00A92D87">
      <w:pPr>
        <w:numPr>
          <w:ilvl w:val="0"/>
          <w:numId w:val="27"/>
        </w:numPr>
        <w:spacing w:after="0" w:line="240" w:lineRule="auto"/>
        <w:jc w:val="both"/>
        <w:textAlignment w:val="baseline"/>
        <w:rPr>
          <w:rFonts w:eastAsiaTheme="minorEastAsia" w:cs="Arial"/>
          <w:bCs/>
          <w:kern w:val="24"/>
          <w:lang w:eastAsia="es-CO"/>
        </w:rPr>
      </w:pPr>
      <w:r w:rsidRPr="009A2496">
        <w:rPr>
          <w:rFonts w:eastAsiaTheme="minorEastAsia" w:cs="Arial"/>
          <w:bCs/>
          <w:kern w:val="24"/>
          <w:lang w:eastAsia="es-CO"/>
        </w:rPr>
        <w:t>Se realizaron talleres en Tumaco, La Unión, Ipiales y Túquerres en Modelo de Atención Integral a Víctimas de Violencia Sexual.</w:t>
      </w:r>
    </w:p>
    <w:p w:rsidR="009A2496" w:rsidRPr="009A2496" w:rsidRDefault="009A2496" w:rsidP="00A92D87">
      <w:pPr>
        <w:numPr>
          <w:ilvl w:val="0"/>
          <w:numId w:val="27"/>
        </w:numPr>
        <w:spacing w:after="0" w:line="240" w:lineRule="auto"/>
        <w:jc w:val="both"/>
        <w:textAlignment w:val="baseline"/>
        <w:rPr>
          <w:rFonts w:eastAsiaTheme="minorEastAsia" w:cs="Arial"/>
          <w:bCs/>
          <w:kern w:val="24"/>
          <w:lang w:eastAsia="es-CO"/>
        </w:rPr>
      </w:pPr>
      <w:r w:rsidRPr="009A2496">
        <w:rPr>
          <w:rFonts w:eastAsiaTheme="minorEastAsia" w:cs="Arial"/>
          <w:bCs/>
          <w:kern w:val="24"/>
          <w:lang w:eastAsia="es-CO"/>
        </w:rPr>
        <w:t>Implementación del modelo de atención en salud a víctimas de violencia sexual en el departamento de Nariño.</w:t>
      </w:r>
    </w:p>
    <w:p w:rsidR="009A2496" w:rsidRPr="009A2496" w:rsidRDefault="009A2496" w:rsidP="00A92D87">
      <w:pPr>
        <w:spacing w:before="100" w:beforeAutospacing="1" w:after="100" w:afterAutospacing="1" w:line="240" w:lineRule="auto"/>
        <w:jc w:val="both"/>
        <w:textAlignment w:val="baseline"/>
        <w:rPr>
          <w:rFonts w:eastAsiaTheme="minorEastAsia" w:cs="Arial"/>
          <w:bCs/>
          <w:kern w:val="24"/>
          <w:lang w:eastAsia="es-CO"/>
        </w:rPr>
      </w:pPr>
      <w:r w:rsidRPr="009A2496">
        <w:rPr>
          <w:rFonts w:eastAsiaTheme="minorEastAsia" w:cs="Arial"/>
          <w:b/>
          <w:bCs/>
          <w:kern w:val="24"/>
          <w:lang w:eastAsia="es-CO"/>
        </w:rPr>
        <w:t>Vigencia 2.013</w:t>
      </w:r>
    </w:p>
    <w:p w:rsidR="009A2496" w:rsidRPr="009A2496" w:rsidRDefault="009A2496" w:rsidP="00A92D87">
      <w:pPr>
        <w:numPr>
          <w:ilvl w:val="0"/>
          <w:numId w:val="28"/>
        </w:numPr>
        <w:spacing w:after="0" w:line="240" w:lineRule="auto"/>
        <w:jc w:val="both"/>
        <w:textAlignment w:val="baseline"/>
        <w:rPr>
          <w:rFonts w:eastAsiaTheme="minorEastAsia" w:cs="Arial"/>
          <w:bCs/>
          <w:kern w:val="24"/>
          <w:lang w:eastAsia="es-CO"/>
        </w:rPr>
      </w:pPr>
      <w:r w:rsidRPr="009A2496">
        <w:rPr>
          <w:rFonts w:eastAsiaTheme="minorEastAsia" w:cs="Arial"/>
          <w:bCs/>
          <w:kern w:val="24"/>
          <w:lang w:eastAsia="es-CO"/>
        </w:rPr>
        <w:t>Talleres de fortalecimiento intersectorial y de Redes de apoyo en derechos sexuales y reproductivos priorizando municipios de mayor incidencia de los eventos de violencia.  IDSN –SSR. Se realizaron talleres con líderes y docentes de los municipios de Ricaurte, Tuquerres, Ipiales y Policarpa.</w:t>
      </w:r>
    </w:p>
    <w:p w:rsidR="009A2496" w:rsidRPr="009A2496" w:rsidRDefault="009A2496" w:rsidP="00A92D87">
      <w:pPr>
        <w:numPr>
          <w:ilvl w:val="0"/>
          <w:numId w:val="28"/>
        </w:numPr>
        <w:spacing w:after="0" w:line="240" w:lineRule="auto"/>
        <w:jc w:val="both"/>
        <w:textAlignment w:val="baseline"/>
        <w:rPr>
          <w:rFonts w:eastAsiaTheme="minorEastAsia" w:cs="Arial"/>
          <w:bCs/>
          <w:kern w:val="24"/>
          <w:lang w:eastAsia="es-CO"/>
        </w:rPr>
      </w:pPr>
      <w:r w:rsidRPr="009A2496">
        <w:rPr>
          <w:rFonts w:eastAsiaTheme="minorEastAsia" w:cs="Arial"/>
          <w:bCs/>
          <w:kern w:val="24"/>
          <w:lang w:eastAsia="es-CO"/>
        </w:rPr>
        <w:t>Realización de un Foro Departamental en el marco del día de la No violencia contra las mujeres.</w:t>
      </w:r>
    </w:p>
    <w:p w:rsidR="009A2496" w:rsidRPr="009A2496" w:rsidRDefault="009A2496" w:rsidP="00A92D87">
      <w:pPr>
        <w:numPr>
          <w:ilvl w:val="0"/>
          <w:numId w:val="28"/>
        </w:numPr>
        <w:spacing w:after="0" w:line="240" w:lineRule="auto"/>
        <w:jc w:val="both"/>
        <w:textAlignment w:val="baseline"/>
        <w:rPr>
          <w:rFonts w:eastAsiaTheme="minorEastAsia" w:cs="Arial"/>
          <w:bCs/>
          <w:kern w:val="24"/>
          <w:lang w:eastAsia="es-CO"/>
        </w:rPr>
      </w:pPr>
      <w:r w:rsidRPr="009A2496">
        <w:rPr>
          <w:rFonts w:eastAsiaTheme="minorEastAsia" w:cs="Arial"/>
          <w:bCs/>
          <w:kern w:val="24"/>
          <w:lang w:eastAsia="es-CO"/>
        </w:rPr>
        <w:t>Creación de una Macro Ruta en las funciones y acciones que se requieren para hacer prevención y atención de la violencia sexual desde los tres sectores y las diferentes instituciones, liderado por IDSN, Sector Justicia, Protección, Educación, Salud, Ministerio Público, donde se plantearon las acciones que se deben llevar a cabo teniendo en cuenta el contexto del departamento de Nariño y los municipios en los cuales solo cuentan con sector salud, inspección de policía y comisaria de familia.</w:t>
      </w:r>
    </w:p>
    <w:p w:rsidR="009A2496" w:rsidRPr="009A2496" w:rsidRDefault="009A2496" w:rsidP="00A92D87">
      <w:pPr>
        <w:numPr>
          <w:ilvl w:val="0"/>
          <w:numId w:val="28"/>
        </w:numPr>
        <w:spacing w:after="0" w:line="240" w:lineRule="auto"/>
        <w:jc w:val="both"/>
        <w:textAlignment w:val="baseline"/>
        <w:rPr>
          <w:rFonts w:eastAsiaTheme="minorEastAsia" w:cs="Arial"/>
          <w:bCs/>
          <w:kern w:val="24"/>
          <w:lang w:eastAsia="es-CO"/>
        </w:rPr>
      </w:pPr>
      <w:r w:rsidRPr="009A2496">
        <w:rPr>
          <w:rFonts w:eastAsiaTheme="minorEastAsia" w:cs="Arial"/>
          <w:bCs/>
          <w:kern w:val="24"/>
          <w:lang w:eastAsia="es-CO"/>
        </w:rPr>
        <w:t>Se llevó a cabo el plan de medios de la semana de la No Violencia hacia las mujeres con la participación de los representantes de las instituciones del Comités Interinstitucional Consultivo para la Prevención de la violencia Sexual y Atención Integral de los NNA víctimas de Violencia Sexual.</w:t>
      </w:r>
    </w:p>
    <w:p w:rsidR="009A2496" w:rsidRPr="009A2496" w:rsidRDefault="009A2496" w:rsidP="00A92D87">
      <w:pPr>
        <w:spacing w:before="100" w:beforeAutospacing="1" w:after="100" w:afterAutospacing="1" w:line="240" w:lineRule="auto"/>
        <w:jc w:val="both"/>
        <w:textAlignment w:val="baseline"/>
        <w:rPr>
          <w:rFonts w:eastAsiaTheme="minorEastAsia" w:cs="Arial"/>
          <w:bCs/>
          <w:kern w:val="24"/>
          <w:lang w:eastAsia="es-CO"/>
        </w:rPr>
      </w:pPr>
      <w:r w:rsidRPr="009A2496">
        <w:rPr>
          <w:rFonts w:eastAsiaTheme="minorEastAsia" w:cs="Arial"/>
          <w:b/>
          <w:bCs/>
          <w:kern w:val="24"/>
          <w:lang w:eastAsia="es-CO"/>
        </w:rPr>
        <w:t>Vigencia 2.014</w:t>
      </w:r>
    </w:p>
    <w:p w:rsidR="00EE7888" w:rsidRDefault="009A2496" w:rsidP="00A92D87">
      <w:pPr>
        <w:numPr>
          <w:ilvl w:val="0"/>
          <w:numId w:val="29"/>
        </w:numPr>
        <w:spacing w:after="0" w:line="240" w:lineRule="auto"/>
        <w:jc w:val="both"/>
        <w:textAlignment w:val="baseline"/>
        <w:rPr>
          <w:rFonts w:eastAsiaTheme="minorEastAsia" w:cs="Arial"/>
          <w:bCs/>
          <w:kern w:val="24"/>
          <w:lang w:eastAsia="es-CO"/>
        </w:rPr>
      </w:pPr>
      <w:r w:rsidRPr="009A2496">
        <w:rPr>
          <w:rFonts w:eastAsiaTheme="minorEastAsia" w:cs="Arial"/>
          <w:bCs/>
          <w:kern w:val="24"/>
          <w:lang w:eastAsia="es-CO"/>
        </w:rPr>
        <w:t>Validación de la Ruta Departamental de Atención Integral a Víctimas de Violencia Intrafamiliar, donde se contempla el tema de Violencia Sexual y Formulación del Plan de Acción Vigencia 2.014.</w:t>
      </w:r>
    </w:p>
    <w:p w:rsidR="00EE7888" w:rsidRDefault="009A2496" w:rsidP="00EE7888">
      <w:pPr>
        <w:spacing w:after="0" w:line="240" w:lineRule="auto"/>
        <w:ind w:left="720"/>
        <w:jc w:val="both"/>
        <w:textAlignment w:val="baseline"/>
        <w:rPr>
          <w:rFonts w:eastAsiaTheme="minorEastAsia" w:cs="Arial"/>
          <w:bCs/>
          <w:kern w:val="24"/>
          <w:lang w:eastAsia="es-CO"/>
        </w:rPr>
      </w:pPr>
      <w:r w:rsidRPr="009A2496">
        <w:rPr>
          <w:rFonts w:eastAsiaTheme="minorEastAsia" w:cs="Arial"/>
          <w:bCs/>
          <w:kern w:val="24"/>
          <w:lang w:eastAsia="es-CO"/>
        </w:rPr>
        <w:lastRenderedPageBreak/>
        <w:br/>
      </w:r>
      <w:r w:rsidRPr="009A2496">
        <w:rPr>
          <w:rFonts w:eastAsiaTheme="minorEastAsia" w:cs="Arial"/>
          <w:b/>
          <w:bCs/>
          <w:kern w:val="24"/>
          <w:lang w:eastAsia="es-CO"/>
        </w:rPr>
        <w:t>Meta 1.</w:t>
      </w:r>
      <w:r w:rsidRPr="009A2496">
        <w:rPr>
          <w:rFonts w:eastAsiaTheme="minorEastAsia" w:cs="Arial"/>
          <w:bCs/>
          <w:kern w:val="24"/>
          <w:lang w:eastAsia="es-CO"/>
        </w:rPr>
        <w:t xml:space="preserve"> Definir e implementar a nivel departamental estrategias que permitan realizar acciones de promoción y prevención de la violencia sexual en los 64 municipios del departamento</w:t>
      </w:r>
      <w:r w:rsidRPr="009A2496">
        <w:rPr>
          <w:rFonts w:eastAsiaTheme="minorEastAsia" w:cs="Arial"/>
          <w:bCs/>
          <w:kern w:val="24"/>
          <w:lang w:eastAsia="es-CO"/>
        </w:rPr>
        <w:br/>
      </w:r>
      <w:r w:rsidRPr="009A2496">
        <w:rPr>
          <w:rFonts w:eastAsiaTheme="minorEastAsia" w:cs="Arial"/>
          <w:bCs/>
          <w:kern w:val="24"/>
          <w:lang w:eastAsia="es-CO"/>
        </w:rPr>
        <w:br/>
      </w:r>
      <w:r w:rsidRPr="009A2496">
        <w:rPr>
          <w:rFonts w:eastAsiaTheme="minorEastAsia" w:cs="Arial"/>
          <w:b/>
          <w:bCs/>
          <w:kern w:val="24"/>
          <w:lang w:eastAsia="es-CO"/>
        </w:rPr>
        <w:t>Meta 2.</w:t>
      </w:r>
      <w:r w:rsidRPr="009A2496">
        <w:rPr>
          <w:rFonts w:eastAsiaTheme="minorEastAsia" w:cs="Arial"/>
          <w:bCs/>
          <w:kern w:val="24"/>
          <w:lang w:eastAsia="es-CO"/>
        </w:rPr>
        <w:t xml:space="preserve"> Capacitación y asistencia técnica a los sectores salud, justicia, protección y educación en el modelo de promoción y prevención de la violencia y atención a víctimas de violencia sexual de acuerdo a la macro ruta realizada en el 2014 en  los 64 municipios del departamento</w:t>
      </w:r>
    </w:p>
    <w:p w:rsidR="00EE7888" w:rsidRDefault="009A2496" w:rsidP="00EE7888">
      <w:pPr>
        <w:spacing w:after="0" w:line="240" w:lineRule="auto"/>
        <w:ind w:left="720"/>
        <w:jc w:val="both"/>
        <w:textAlignment w:val="baseline"/>
        <w:rPr>
          <w:rFonts w:eastAsiaTheme="minorEastAsia" w:cs="Arial"/>
          <w:bCs/>
          <w:kern w:val="24"/>
          <w:lang w:eastAsia="es-CO"/>
        </w:rPr>
      </w:pPr>
      <w:r w:rsidRPr="009A2496">
        <w:rPr>
          <w:rFonts w:eastAsiaTheme="minorEastAsia" w:cs="Arial"/>
          <w:bCs/>
          <w:kern w:val="24"/>
          <w:lang w:eastAsia="es-CO"/>
        </w:rPr>
        <w:br/>
      </w:r>
      <w:r w:rsidRPr="009A2496">
        <w:rPr>
          <w:rFonts w:eastAsiaTheme="minorEastAsia" w:cs="Arial"/>
          <w:b/>
          <w:bCs/>
          <w:kern w:val="24"/>
          <w:lang w:eastAsia="es-CO"/>
        </w:rPr>
        <w:t>Meta 3.</w:t>
      </w:r>
      <w:r w:rsidRPr="009A2496">
        <w:rPr>
          <w:rFonts w:eastAsiaTheme="minorEastAsia" w:cs="Arial"/>
          <w:bCs/>
          <w:kern w:val="24"/>
          <w:lang w:eastAsia="es-CO"/>
        </w:rPr>
        <w:t xml:space="preserve"> Fortalecer la ruta de atención para Interrupción Voluntaria del Embarazo en los 64 municipios del departamento, coordinado con EPS.</w:t>
      </w:r>
    </w:p>
    <w:p w:rsidR="00EE7888" w:rsidRDefault="009A2496" w:rsidP="00EE7888">
      <w:pPr>
        <w:spacing w:after="0" w:line="240" w:lineRule="auto"/>
        <w:ind w:left="720"/>
        <w:jc w:val="both"/>
        <w:textAlignment w:val="baseline"/>
        <w:rPr>
          <w:rFonts w:eastAsiaTheme="minorEastAsia" w:cs="Arial"/>
          <w:bCs/>
          <w:kern w:val="24"/>
          <w:lang w:eastAsia="es-CO"/>
        </w:rPr>
      </w:pPr>
      <w:r w:rsidRPr="009A2496">
        <w:rPr>
          <w:rFonts w:eastAsiaTheme="minorEastAsia" w:cs="Arial"/>
          <w:bCs/>
          <w:kern w:val="24"/>
          <w:lang w:eastAsia="es-CO"/>
        </w:rPr>
        <w:br/>
      </w:r>
      <w:r w:rsidRPr="009A2496">
        <w:rPr>
          <w:rFonts w:eastAsiaTheme="minorEastAsia" w:cs="Arial"/>
          <w:b/>
          <w:bCs/>
          <w:kern w:val="24"/>
          <w:lang w:eastAsia="es-CO"/>
        </w:rPr>
        <w:t>Meta 4.</w:t>
      </w:r>
      <w:r w:rsidRPr="009A2496">
        <w:rPr>
          <w:rFonts w:eastAsiaTheme="minorEastAsia" w:cs="Arial"/>
          <w:bCs/>
          <w:kern w:val="24"/>
          <w:lang w:eastAsia="es-CO"/>
        </w:rPr>
        <w:t xml:space="preserve"> 64 municipios con Asistencia Técnica a Comités Consultivos Municipales para la prevención de la Violencia sexual y la atención de las VVS.</w:t>
      </w:r>
    </w:p>
    <w:p w:rsidR="009A2496" w:rsidRPr="009A2496" w:rsidRDefault="009A2496" w:rsidP="00EE7888">
      <w:pPr>
        <w:spacing w:after="0" w:line="240" w:lineRule="auto"/>
        <w:ind w:left="720"/>
        <w:jc w:val="both"/>
        <w:textAlignment w:val="baseline"/>
        <w:rPr>
          <w:rFonts w:eastAsiaTheme="minorEastAsia" w:cs="Arial"/>
          <w:bCs/>
          <w:kern w:val="24"/>
          <w:lang w:eastAsia="es-CO"/>
        </w:rPr>
      </w:pPr>
      <w:r w:rsidRPr="009A2496">
        <w:rPr>
          <w:rFonts w:eastAsiaTheme="minorEastAsia" w:cs="Arial"/>
          <w:bCs/>
          <w:kern w:val="24"/>
          <w:lang w:eastAsia="es-CO"/>
        </w:rPr>
        <w:br/>
      </w:r>
      <w:r w:rsidRPr="009A2496">
        <w:rPr>
          <w:rFonts w:eastAsiaTheme="minorEastAsia" w:cs="Arial"/>
          <w:b/>
          <w:bCs/>
          <w:kern w:val="24"/>
          <w:lang w:eastAsia="es-CO"/>
        </w:rPr>
        <w:t>Meta 5.</w:t>
      </w:r>
      <w:r w:rsidRPr="009A2496">
        <w:rPr>
          <w:rFonts w:eastAsiaTheme="minorEastAsia" w:cs="Arial"/>
          <w:bCs/>
          <w:kern w:val="24"/>
          <w:lang w:eastAsia="es-CO"/>
        </w:rPr>
        <w:t xml:space="preserve"> Concertar la ruta de atención a víctimas de violencia basada en género en el marco del conflicto armado e incluirla en las macro rutas ya diseñadas en 2013.</w:t>
      </w:r>
      <w:r w:rsidRPr="009A2496">
        <w:rPr>
          <w:rFonts w:eastAsiaTheme="minorEastAsia" w:cs="Arial"/>
          <w:bCs/>
          <w:kern w:val="24"/>
          <w:lang w:eastAsia="es-CO"/>
        </w:rPr>
        <w:br/>
      </w:r>
      <w:r w:rsidRPr="009A2496">
        <w:rPr>
          <w:rFonts w:eastAsiaTheme="minorEastAsia" w:cs="Arial"/>
          <w:bCs/>
          <w:kern w:val="24"/>
          <w:lang w:eastAsia="es-CO"/>
        </w:rPr>
        <w:br/>
      </w:r>
      <w:r w:rsidRPr="009A2496">
        <w:rPr>
          <w:rFonts w:eastAsiaTheme="minorEastAsia" w:cs="Arial"/>
          <w:b/>
          <w:bCs/>
          <w:kern w:val="24"/>
          <w:lang w:eastAsia="es-CO"/>
        </w:rPr>
        <w:t>Meta 6.</w:t>
      </w:r>
      <w:r w:rsidRPr="009A2496">
        <w:rPr>
          <w:rFonts w:eastAsiaTheme="minorEastAsia" w:cs="Arial"/>
          <w:bCs/>
          <w:kern w:val="24"/>
          <w:lang w:eastAsia="es-CO"/>
        </w:rPr>
        <w:t xml:space="preserve"> Fortalecer el sistema de información de víctimas de violencia sexual y hacer cruce con las bases de datos entre los diferentes sectores con el fin de promover la garantía en la atención integral de los 64 municipios del departamento de Nariño.</w:t>
      </w:r>
    </w:p>
    <w:p w:rsidR="009A2496" w:rsidRPr="009A2496" w:rsidRDefault="009A2496" w:rsidP="00A92D87">
      <w:pPr>
        <w:spacing w:after="0" w:line="240" w:lineRule="auto"/>
        <w:jc w:val="both"/>
        <w:textAlignment w:val="baseline"/>
        <w:rPr>
          <w:rFonts w:eastAsia="Times New Roman" w:cs="Arial"/>
          <w:lang w:eastAsia="es-CO"/>
        </w:rPr>
      </w:pPr>
    </w:p>
    <w:p w:rsidR="009A2496" w:rsidRPr="009A2496" w:rsidRDefault="009A2496" w:rsidP="00A92D87">
      <w:pPr>
        <w:spacing w:line="240" w:lineRule="auto"/>
        <w:jc w:val="both"/>
        <w:rPr>
          <w:rFonts w:cs="Arial"/>
          <w:lang w:eastAsia="es-CO"/>
        </w:rPr>
      </w:pPr>
      <w:r w:rsidRPr="009A2496">
        <w:rPr>
          <w:rFonts w:cs="Arial"/>
          <w:lang w:eastAsia="es-CO"/>
        </w:rPr>
        <w:t>D</w:t>
      </w:r>
      <w:r w:rsidRPr="009A2496">
        <w:rPr>
          <w:rFonts w:cs="Arial"/>
        </w:rPr>
        <w:t xml:space="preserve">entro de las debilidades, se verifica que  los 64 Municipios que corresponden a la Regional Nariño, solo en 2 Municipios hay Centros de atención para víctimas de abuso sexual CAIVAS (Tumaco y Pasto),  quienes cuentan con los equipos defensorías y coadyuvancia interinstitucional de la Fiscalía General de la Nación  para atender los asuntos derivados de la atención de los niños víctimas de abuso sexual en  proceso administrativo de restablecimiento de derechos, en los municipios restantes donde hay ICBF se atiende en los centros zonales y en los municipios donde no hay ICBF se atiende por competencia subsidiaria  a través de las Comisarias de familia que en su gran numero carecen de equipo completos para actuar. </w:t>
      </w:r>
    </w:p>
    <w:p w:rsidR="009A2496" w:rsidRPr="009A2496" w:rsidRDefault="009A2496" w:rsidP="00A92D87">
      <w:pPr>
        <w:tabs>
          <w:tab w:val="left" w:pos="1920"/>
        </w:tabs>
        <w:spacing w:line="240" w:lineRule="auto"/>
        <w:jc w:val="both"/>
        <w:rPr>
          <w:rFonts w:cs="Arial"/>
          <w:b/>
          <w:noProof/>
          <w:lang w:eastAsia="es-CO"/>
        </w:rPr>
      </w:pPr>
      <w:r w:rsidRPr="009A2496">
        <w:rPr>
          <w:rFonts w:cs="Arial"/>
          <w:b/>
          <w:noProof/>
          <w:lang w:eastAsia="es-CO"/>
        </w:rPr>
        <w:t>Fuente local:</w:t>
      </w:r>
    </w:p>
    <w:p w:rsidR="009A2496" w:rsidRPr="009A2496" w:rsidRDefault="00222418" w:rsidP="00A92D87">
      <w:pPr>
        <w:tabs>
          <w:tab w:val="left" w:pos="930"/>
        </w:tabs>
        <w:spacing w:line="240" w:lineRule="auto"/>
        <w:jc w:val="both"/>
        <w:rPr>
          <w:rFonts w:cs="Arial"/>
          <w:i/>
          <w:lang w:eastAsia="es-CO"/>
        </w:rPr>
      </w:pPr>
      <w:r w:rsidRPr="00222418">
        <w:rPr>
          <w:rFonts w:cs="Arial"/>
          <w:b/>
          <w:noProof/>
          <w:lang w:eastAsia="es-CO"/>
        </w:rPr>
        <w:pict>
          <v:rect id="Rectángulo 23" o:spid="_x0000_s1026" style="position:absolute;left:0;text-align:left;margin-left:-9.3pt;margin-top:9.05pt;width:460.65pt;height:36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aYmwIAAEIFAAAOAAAAZHJzL2Uyb0RvYy54bWysVEtu2zAQ3RfoHQjuG9lu1CSC5cCJ4aJA&#10;kARNiqzHFCUR4K8kbdm9Tc+Si3VIyXY+XRXVgprh/N/McHq5VZJsuPPC6JKOT0aUcM1MJXRT0h+P&#10;y0/nlPgAugJpNC/pjnt6Ofv4YdrZgk9Ma2TFHUEn2hedLWkbgi2yzLOWK/AnxnKNwto4BQFZ12SV&#10;gw69K5lNRqMvWWdcZZ1h3Hu8XfRCOkv+65qzcFfXngciS4q5hXS6dK7imc2mUDQObCvYkAb8QxYK&#10;hMagB1cLCEDWTrxzpQRzxps6nDCjMlPXgvFUA1YzHr2p5qEFy1MtCI63B5j8/3PLbjf3joiqpJPP&#10;lGhQ2KPviNrzb92spSF4ixB11heo+WDv3cB5JGO929qp+MdKyDbBujvAyreBMLzMz/PRJM8pYSg7&#10;zc+wb9FpdrS2zoev3CgSiZI6TCChCZsbH3rVvUoM5o0U1VJImZidv5aObAA7jINRmY4SCT7gZUmX&#10;6et9SdtCr7YP75NpyuSVS6lJh8M8OcNECQMcy1pCQFJZBMrrhhKQDc47Cy75fmXtXbM6ZJRfXVwt&#10;8l6phYr3CeQj/AYMBvX3WcSKF+Db3iSFiCZQKBFwZ6RQJT2PjvaepI5SnqZ+wC02rm9VpFam2mG3&#10;nenXwFu2FBjkBtG6B4dzj+XiLoc7PGppEAMzUJS0xv36233Ux3FEKSUd7hHi83MNjmMTvmkc1Ivx&#10;6WlcvMSk5lPiXkpWLyV6ra4NNnKMr4ZliURjF+SerJ1RT7jy8xgVRaAZxu47MTDXod9vfDQYn8+T&#10;Gi6bhXCjHyyLziNOEd7H7RM4O0xdwHm9Nfudg+LN8PW60VKb+TqYWqTJPOKKHYwMLmrq5fCoxJfg&#10;JZ+0jk/f7A8AAAD//wMAUEsDBBQABgAIAAAAIQCJfdp43wAAAAkBAAAPAAAAZHJzL2Rvd25yZXYu&#10;eG1sTI/BTsMwDIbvSLxDZCRuW9odSts1nQBpojfEhoBj1mRNReNETbZ2PD3eCW62/k+/P1eb2Q7s&#10;rMfQOxSQLhNgGluneuwEvO+3ixxYiBKVHBxqARcdYFPf3lSyVG7CN33exY5RCYZSCjAx+pLz0Bpt&#10;ZVg6r5GyoxutjLSOHVejnKjcDnyVJBm3ske6YKTXz0a337uTFfD0UsSm8VnR+5/L1nxMTff5+iXE&#10;/d38uAYW9Rz/YLjqkzrU5HRwJ1SBDQIWaZ4RSkGeAiOgSFYPwA7XIQVeV/z/B/UvAAAA//8DAFBL&#10;AQItABQABgAIAAAAIQC2gziS/gAAAOEBAAATAAAAAAAAAAAAAAAAAAAAAABbQ29udGVudF9UeXBl&#10;c10ueG1sUEsBAi0AFAAGAAgAAAAhADj9If/WAAAAlAEAAAsAAAAAAAAAAAAAAAAALwEAAF9yZWxz&#10;Ly5yZWxzUEsBAi0AFAAGAAgAAAAhAFm7BpibAgAAQgUAAA4AAAAAAAAAAAAAAAAALgIAAGRycy9l&#10;Mm9Eb2MueG1sUEsBAi0AFAAGAAgAAAAhAIl92njfAAAACQEAAA8AAAAAAAAAAAAAAAAA9QQAAGRy&#10;cy9kb3ducmV2LnhtbFBLBQYAAAAABAAEAPMAAAABBgAAAAA=&#10;" fillcolor="window" strokecolor="#41719c" strokeweight="1pt">
            <v:fill opacity="0"/>
          </v:rect>
        </w:pict>
      </w:r>
    </w:p>
    <w:p w:rsidR="009A2496" w:rsidRPr="009A2496" w:rsidRDefault="009A2496" w:rsidP="00A92D87">
      <w:pPr>
        <w:tabs>
          <w:tab w:val="left" w:pos="930"/>
        </w:tabs>
        <w:spacing w:line="240" w:lineRule="auto"/>
        <w:jc w:val="both"/>
        <w:rPr>
          <w:rFonts w:cs="Arial"/>
          <w:i/>
          <w:lang w:eastAsia="es-CO"/>
        </w:rPr>
      </w:pPr>
      <w:r w:rsidRPr="009A2496">
        <w:rPr>
          <w:rFonts w:cs="Arial"/>
          <w:i/>
          <w:lang w:eastAsia="es-CO"/>
        </w:rPr>
        <w:t>No se remiten datos locales que permitan hacer pronunciamiento interpretativo.</w:t>
      </w:r>
    </w:p>
    <w:p w:rsidR="009A2496" w:rsidRPr="009A2496" w:rsidRDefault="009A2496" w:rsidP="00A92D87">
      <w:pPr>
        <w:tabs>
          <w:tab w:val="left" w:pos="930"/>
        </w:tabs>
        <w:spacing w:line="240" w:lineRule="auto"/>
        <w:jc w:val="both"/>
        <w:rPr>
          <w:rFonts w:cs="Arial"/>
          <w:i/>
          <w:lang w:eastAsia="es-CO"/>
        </w:rPr>
      </w:pPr>
    </w:p>
    <w:p w:rsidR="009A2496" w:rsidRPr="009A2496" w:rsidRDefault="009A2496" w:rsidP="006C3CF7">
      <w:pPr>
        <w:numPr>
          <w:ilvl w:val="0"/>
          <w:numId w:val="76"/>
        </w:numPr>
        <w:tabs>
          <w:tab w:val="left" w:pos="1830"/>
        </w:tabs>
        <w:spacing w:line="240" w:lineRule="auto"/>
        <w:contextualSpacing/>
        <w:jc w:val="both"/>
        <w:rPr>
          <w:rFonts w:cs="Arial"/>
          <w:noProof/>
          <w:lang w:eastAsia="es-CO"/>
        </w:rPr>
      </w:pPr>
      <w:r w:rsidRPr="009A2496">
        <w:rPr>
          <w:rFonts w:cs="Arial"/>
          <w:noProof/>
          <w:lang w:eastAsia="es-CO"/>
        </w:rPr>
        <w:t>Si encuentra diferencia entre la información de la fuente nacional y la información de la fuente local para este indicador que analiza, realice un análisis desde su experiencia, sobre las razones que pueden existir para ello. Si no hay diferencia o la información soporte no permite este análisis indique que no aplica registrando N/A:</w:t>
      </w:r>
    </w:p>
    <w:p w:rsidR="009A2496" w:rsidRPr="009A2496" w:rsidRDefault="009A2496" w:rsidP="00A92D87">
      <w:pPr>
        <w:tabs>
          <w:tab w:val="left" w:pos="1830"/>
        </w:tabs>
        <w:spacing w:line="240" w:lineRule="auto"/>
        <w:ind w:left="720"/>
        <w:contextualSpacing/>
        <w:jc w:val="both"/>
        <w:rPr>
          <w:rFonts w:cs="Arial"/>
          <w:noProof/>
          <w:lang w:eastAsia="es-CO"/>
        </w:rPr>
      </w:pPr>
    </w:p>
    <w:p w:rsidR="00EE7888" w:rsidRDefault="00EE7888" w:rsidP="00A92D87">
      <w:pPr>
        <w:spacing w:line="240" w:lineRule="auto"/>
        <w:jc w:val="both"/>
        <w:rPr>
          <w:rFonts w:cs="Arial"/>
        </w:rPr>
      </w:pPr>
    </w:p>
    <w:p w:rsidR="009A2496" w:rsidRPr="009A2496" w:rsidRDefault="009A2496" w:rsidP="00A92D87">
      <w:pPr>
        <w:spacing w:line="240" w:lineRule="auto"/>
        <w:jc w:val="both"/>
        <w:rPr>
          <w:rFonts w:cs="Arial"/>
        </w:rPr>
      </w:pPr>
      <w:r w:rsidRPr="009A2496">
        <w:rPr>
          <w:rFonts w:cs="Arial"/>
        </w:rPr>
        <w:lastRenderedPageBreak/>
        <w:t xml:space="preserve">No se adjuntan datos de fuentes locales que permitan hacer interpretación. </w:t>
      </w:r>
    </w:p>
    <w:p w:rsidR="009A2496" w:rsidRPr="009A2496" w:rsidRDefault="009A2496" w:rsidP="00A92D87">
      <w:pPr>
        <w:tabs>
          <w:tab w:val="left" w:pos="1275"/>
        </w:tabs>
        <w:spacing w:line="240" w:lineRule="auto"/>
        <w:jc w:val="both"/>
        <w:rPr>
          <w:rFonts w:cs="Arial"/>
          <w:b/>
          <w:noProof/>
          <w:lang w:eastAsia="es-CO"/>
        </w:rPr>
      </w:pPr>
    </w:p>
    <w:p w:rsidR="009A2496" w:rsidRPr="009A2496" w:rsidRDefault="009A2496" w:rsidP="00A92D87">
      <w:pPr>
        <w:tabs>
          <w:tab w:val="left" w:pos="1830"/>
        </w:tabs>
        <w:spacing w:line="240" w:lineRule="auto"/>
        <w:jc w:val="both"/>
        <w:rPr>
          <w:rFonts w:cs="Arial"/>
          <w:noProof/>
          <w:lang w:eastAsia="es-CO"/>
        </w:rPr>
      </w:pPr>
      <w:r w:rsidRPr="009A2496">
        <w:rPr>
          <w:rFonts w:cs="Arial"/>
          <w:noProof/>
          <w:lang w:eastAsia="es-CO"/>
        </w:rPr>
        <w:t>Describa las recomendaciones que como gobierno local o departamental, le deja a la próxima administración para mejorar la situación de la población correspondiente al momento del ciclo de vida analizado:</w:t>
      </w:r>
    </w:p>
    <w:p w:rsidR="009A2496" w:rsidRPr="009A2496" w:rsidRDefault="009A2496" w:rsidP="00A92D87">
      <w:pPr>
        <w:tabs>
          <w:tab w:val="left" w:pos="1830"/>
        </w:tabs>
        <w:spacing w:line="240" w:lineRule="auto"/>
        <w:jc w:val="both"/>
        <w:rPr>
          <w:rFonts w:cs="Arial"/>
          <w:noProof/>
          <w:lang w:eastAsia="es-CO"/>
        </w:rPr>
      </w:pPr>
      <w:r w:rsidRPr="009A2496">
        <w:rPr>
          <w:rFonts w:cs="Arial"/>
          <w:noProof/>
          <w:lang w:eastAsia="es-CO"/>
        </w:rPr>
        <w:t>Actualización del diagnostico poblacional y la adecuacion de acciones pertinentes.</w:t>
      </w:r>
    </w:p>
    <w:p w:rsidR="009A2496" w:rsidRPr="009A2496" w:rsidRDefault="009A2496" w:rsidP="00A92D87">
      <w:pPr>
        <w:tabs>
          <w:tab w:val="left" w:pos="1830"/>
        </w:tabs>
        <w:spacing w:line="240" w:lineRule="auto"/>
        <w:jc w:val="both"/>
        <w:rPr>
          <w:rFonts w:cs="Arial"/>
          <w:noProof/>
          <w:lang w:eastAsia="es-CO"/>
        </w:rPr>
      </w:pPr>
      <w:r w:rsidRPr="009A2496">
        <w:rPr>
          <w:rFonts w:cs="Arial"/>
          <w:noProof/>
          <w:lang w:eastAsia="es-CO"/>
        </w:rPr>
        <w:t xml:space="preserve">Reforzar las acciones y programas preventivos. </w:t>
      </w:r>
    </w:p>
    <w:p w:rsidR="009A2496" w:rsidRPr="009A2496" w:rsidRDefault="009A2496" w:rsidP="00A92D87">
      <w:pPr>
        <w:tabs>
          <w:tab w:val="left" w:pos="1920"/>
        </w:tabs>
        <w:spacing w:line="240" w:lineRule="auto"/>
        <w:jc w:val="both"/>
        <w:rPr>
          <w:rFonts w:cs="Arial"/>
          <w:noProof/>
          <w:lang w:eastAsia="es-CO"/>
        </w:rPr>
      </w:pPr>
      <w:r w:rsidRPr="009A2496">
        <w:rPr>
          <w:rFonts w:cs="Arial"/>
          <w:lang w:eastAsia="es-CO"/>
        </w:rPr>
        <w:t xml:space="preserve">Garantizar equipos técnicos interdisciplinarios cualificados en las comisarías de familias, con la respectiva asignación de </w:t>
      </w:r>
      <w:r w:rsidRPr="009A2496">
        <w:rPr>
          <w:rFonts w:cs="Arial"/>
          <w:bCs/>
          <w:noProof/>
          <w:lang w:val="es-ES" w:eastAsia="es-CO"/>
        </w:rPr>
        <w:t xml:space="preserve">recursos para contratacion terapeutica en los municipios con mayor incidencia de violencia sexual. </w:t>
      </w:r>
    </w:p>
    <w:p w:rsidR="009A2496" w:rsidRPr="009A2496" w:rsidRDefault="009A2496" w:rsidP="00A92D87">
      <w:pPr>
        <w:tabs>
          <w:tab w:val="left" w:pos="900"/>
        </w:tabs>
        <w:spacing w:line="240" w:lineRule="auto"/>
        <w:ind w:left="360"/>
        <w:jc w:val="both"/>
        <w:rPr>
          <w:rFonts w:cs="Arial"/>
          <w:lang w:eastAsia="es-CO"/>
        </w:rPr>
      </w:pPr>
    </w:p>
    <w:p w:rsidR="009A2496" w:rsidRPr="009A2496" w:rsidRDefault="009A2496" w:rsidP="00A92D87">
      <w:pPr>
        <w:tabs>
          <w:tab w:val="left" w:pos="900"/>
        </w:tabs>
        <w:spacing w:line="240" w:lineRule="auto"/>
        <w:ind w:left="360"/>
        <w:jc w:val="both"/>
        <w:rPr>
          <w:rFonts w:cs="Arial"/>
          <w:lang w:eastAsia="es-CO"/>
        </w:rPr>
      </w:pPr>
      <w:r w:rsidRPr="009A2496">
        <w:rPr>
          <w:rFonts w:cs="Arial"/>
          <w:lang w:eastAsia="es-CO"/>
        </w:rPr>
        <w:t xml:space="preserve">Asignación de recursos para el fortalecimiento de entornos protectores en el plan de desarrollo. </w:t>
      </w:r>
    </w:p>
    <w:p w:rsidR="009A2496" w:rsidRPr="009A2496" w:rsidRDefault="009A2496" w:rsidP="00A92D87">
      <w:pPr>
        <w:tabs>
          <w:tab w:val="left" w:pos="900"/>
        </w:tabs>
        <w:spacing w:line="240" w:lineRule="auto"/>
        <w:ind w:left="360"/>
        <w:jc w:val="both"/>
        <w:rPr>
          <w:rFonts w:cs="Arial"/>
          <w:lang w:eastAsia="es-CO"/>
        </w:rPr>
      </w:pPr>
      <w:r w:rsidRPr="009A2496">
        <w:rPr>
          <w:rFonts w:cs="Arial"/>
          <w:lang w:eastAsia="es-CO"/>
        </w:rPr>
        <w:t>Asignación de recursos para la financiación de hogares de paso y cofinanciación de cupos en hogares sustitutos e instituciones</w:t>
      </w:r>
    </w:p>
    <w:p w:rsidR="00EE7888" w:rsidRDefault="009A2496" w:rsidP="00EE7888">
      <w:pPr>
        <w:spacing w:line="240" w:lineRule="auto"/>
        <w:ind w:left="360"/>
        <w:jc w:val="both"/>
        <w:rPr>
          <w:rFonts w:cs="Arial"/>
          <w:b/>
          <w:bCs/>
        </w:rPr>
      </w:pPr>
      <w:r w:rsidRPr="009A2496">
        <w:rPr>
          <w:rFonts w:cs="Arial"/>
        </w:rPr>
        <w:t xml:space="preserve">Adelantar convenios con las universidades y demás instituciones del estado que contribuyan al restablecimiento de los derechos.  De igual manera la </w:t>
      </w:r>
      <w:r w:rsidRPr="009A2496">
        <w:rPr>
          <w:rFonts w:cs="Arial"/>
          <w:bCs/>
        </w:rPr>
        <w:t xml:space="preserve">vinculación a programas de atención especializada para la </w:t>
      </w:r>
      <w:r w:rsidRPr="009A2496">
        <w:rPr>
          <w:rFonts w:cs="Arial"/>
          <w:b/>
          <w:bCs/>
        </w:rPr>
        <w:t xml:space="preserve">PREPARACION PARA LA VIDA LABORAL Y PRODUCTIVA y construcción de proyecto de vida de los adolescentes. </w:t>
      </w:r>
    </w:p>
    <w:p w:rsidR="009A2496" w:rsidRPr="009A2496" w:rsidRDefault="009A2496" w:rsidP="00EE7888">
      <w:pPr>
        <w:spacing w:line="240" w:lineRule="auto"/>
        <w:ind w:left="360"/>
        <w:jc w:val="both"/>
        <w:rPr>
          <w:rFonts w:eastAsiaTheme="minorEastAsia" w:cs="Arial"/>
          <w:bCs/>
          <w:color w:val="000000" w:themeColor="dark1"/>
          <w:kern w:val="24"/>
          <w:lang w:eastAsia="es-CO"/>
        </w:rPr>
      </w:pPr>
      <w:r w:rsidRPr="009A2496">
        <w:rPr>
          <w:rFonts w:eastAsiaTheme="minorEastAsia" w:cs="Arial"/>
          <w:bCs/>
          <w:color w:val="000000" w:themeColor="dark1"/>
          <w:kern w:val="24"/>
          <w:lang w:eastAsia="es-CO"/>
        </w:rPr>
        <w:t xml:space="preserve">Adecuar espacios físicos para brindar atención terapéutica idónea. </w:t>
      </w:r>
    </w:p>
    <w:p w:rsidR="009A2496" w:rsidRPr="009A2496" w:rsidRDefault="009A2496" w:rsidP="00A92D87">
      <w:pPr>
        <w:spacing w:after="0" w:line="240" w:lineRule="auto"/>
        <w:jc w:val="both"/>
        <w:textAlignment w:val="baseline"/>
        <w:rPr>
          <w:rFonts w:eastAsiaTheme="minorEastAsia" w:cs="Arial"/>
          <w:bCs/>
          <w:color w:val="000000" w:themeColor="dark1"/>
          <w:kern w:val="24"/>
          <w:lang w:eastAsia="es-CO"/>
        </w:rPr>
      </w:pPr>
    </w:p>
    <w:p w:rsidR="009A2496" w:rsidRPr="009A2496" w:rsidRDefault="009A2496" w:rsidP="00A92D87">
      <w:pPr>
        <w:spacing w:line="240" w:lineRule="auto"/>
        <w:rPr>
          <w:rFonts w:cs="Arial"/>
          <w:noProof/>
          <w:lang w:eastAsia="es-CO"/>
        </w:rPr>
      </w:pPr>
      <w:r w:rsidRPr="009A2496">
        <w:rPr>
          <w:rFonts w:cs="Arial"/>
          <w:b/>
          <w:noProof/>
          <w:lang w:eastAsia="es-CO"/>
        </w:rPr>
        <w:t>Código del indicador</w:t>
      </w:r>
      <w:r w:rsidRPr="009A2496">
        <w:rPr>
          <w:rFonts w:cs="Arial"/>
          <w:noProof/>
          <w:lang w:eastAsia="es-CO"/>
        </w:rPr>
        <w:t>: 71</w:t>
      </w:r>
    </w:p>
    <w:p w:rsidR="009A2496" w:rsidRPr="009A2496" w:rsidRDefault="009A2496" w:rsidP="00A92D87">
      <w:pPr>
        <w:spacing w:line="240" w:lineRule="auto"/>
        <w:jc w:val="both"/>
        <w:rPr>
          <w:rFonts w:cs="Arial"/>
          <w:b/>
          <w:noProof/>
          <w:lang w:eastAsia="es-CO"/>
        </w:rPr>
      </w:pPr>
      <w:r w:rsidRPr="009A2496">
        <w:rPr>
          <w:rFonts w:cs="Arial"/>
          <w:b/>
          <w:noProof/>
          <w:lang w:eastAsia="es-CO"/>
        </w:rPr>
        <w:t>Nombre del indicador</w:t>
      </w:r>
      <w:r w:rsidRPr="009A2496">
        <w:rPr>
          <w:rFonts w:cs="Arial"/>
          <w:noProof/>
          <w:lang w:eastAsia="es-CO"/>
        </w:rPr>
        <w:t>: Número niñas, niños y adolescentes en situación de vida en calle que ingresan al proceso administrativo de restablecimiento de derechos-PARD</w:t>
      </w:r>
    </w:p>
    <w:p w:rsidR="009A2496" w:rsidRPr="009A2496" w:rsidRDefault="009A2496" w:rsidP="00A92D87">
      <w:pPr>
        <w:numPr>
          <w:ilvl w:val="0"/>
          <w:numId w:val="25"/>
        </w:numPr>
        <w:spacing w:line="240" w:lineRule="auto"/>
        <w:contextualSpacing/>
        <w:jc w:val="both"/>
        <w:rPr>
          <w:rFonts w:cs="Arial"/>
          <w:b/>
          <w:noProof/>
          <w:lang w:eastAsia="es-CO"/>
        </w:rPr>
      </w:pPr>
      <w:r w:rsidRPr="009A2496">
        <w:rPr>
          <w:rFonts w:cs="Arial"/>
          <w:noProof/>
          <w:lang w:eastAsia="es-CO"/>
        </w:rPr>
        <w:t>Identifique cual es la fuente de información que respalda el análisis que realizará a continuación (nacional o local), identificando sus fortalezas y debilidades:</w:t>
      </w:r>
    </w:p>
    <w:p w:rsidR="009A2496" w:rsidRPr="009A2496" w:rsidRDefault="009A2496" w:rsidP="00A92D87">
      <w:pPr>
        <w:spacing w:line="240" w:lineRule="auto"/>
        <w:ind w:left="1080"/>
        <w:contextualSpacing/>
        <w:jc w:val="both"/>
        <w:rPr>
          <w:rFonts w:cs="Arial"/>
          <w:b/>
          <w:noProof/>
          <w:lang w:eastAsia="es-CO"/>
        </w:rPr>
      </w:pPr>
    </w:p>
    <w:p w:rsidR="009A2496" w:rsidRPr="009A2496" w:rsidRDefault="009A2496" w:rsidP="00EE7888">
      <w:pPr>
        <w:numPr>
          <w:ilvl w:val="1"/>
          <w:numId w:val="22"/>
        </w:numPr>
        <w:tabs>
          <w:tab w:val="left" w:pos="1920"/>
        </w:tabs>
        <w:spacing w:line="240" w:lineRule="auto"/>
        <w:contextualSpacing/>
        <w:rPr>
          <w:rFonts w:cs="Arial"/>
          <w:noProof/>
          <w:u w:val="single"/>
          <w:lang w:eastAsia="es-CO"/>
        </w:rPr>
      </w:pPr>
      <w:r w:rsidRPr="009A2496">
        <w:rPr>
          <w:rFonts w:cs="Arial"/>
          <w:noProof/>
          <w:lang w:eastAsia="es-CO"/>
        </w:rPr>
        <w:t xml:space="preserve">Fuente nacional </w:t>
      </w:r>
      <w:r w:rsidRPr="009A2496">
        <w:rPr>
          <w:rFonts w:cs="Arial"/>
          <w:b/>
          <w:noProof/>
          <w:u w:val="single"/>
          <w:lang w:eastAsia="es-CO"/>
        </w:rPr>
        <w:t>X</w:t>
      </w:r>
    </w:p>
    <w:p w:rsidR="009A2496" w:rsidRDefault="009A2496" w:rsidP="00EE7888">
      <w:pPr>
        <w:numPr>
          <w:ilvl w:val="1"/>
          <w:numId w:val="22"/>
        </w:numPr>
        <w:tabs>
          <w:tab w:val="left" w:pos="1920"/>
        </w:tabs>
        <w:spacing w:line="240" w:lineRule="auto"/>
        <w:contextualSpacing/>
        <w:rPr>
          <w:rFonts w:cs="Arial"/>
          <w:noProof/>
          <w:lang w:eastAsia="es-CO"/>
        </w:rPr>
      </w:pPr>
      <w:r w:rsidRPr="009A2496">
        <w:rPr>
          <w:rFonts w:cs="Arial"/>
          <w:noProof/>
          <w:lang w:eastAsia="es-CO"/>
        </w:rPr>
        <w:t>Fuente local</w:t>
      </w:r>
    </w:p>
    <w:p w:rsidR="00EE7888" w:rsidRPr="009A2496" w:rsidRDefault="00EE7888" w:rsidP="00EE7888">
      <w:pPr>
        <w:tabs>
          <w:tab w:val="left" w:pos="1920"/>
        </w:tabs>
        <w:spacing w:line="240" w:lineRule="auto"/>
        <w:ind w:left="1440"/>
        <w:contextualSpacing/>
        <w:rPr>
          <w:rFonts w:cs="Arial"/>
          <w:noProof/>
          <w:lang w:eastAsia="es-CO"/>
        </w:rPr>
      </w:pPr>
    </w:p>
    <w:p w:rsidR="009A2496" w:rsidRPr="009A2496" w:rsidRDefault="009A2496" w:rsidP="00A92D87">
      <w:pPr>
        <w:tabs>
          <w:tab w:val="left" w:pos="1920"/>
        </w:tabs>
        <w:spacing w:line="240" w:lineRule="auto"/>
        <w:rPr>
          <w:rFonts w:cs="Arial"/>
          <w:b/>
          <w:noProof/>
          <w:lang w:eastAsia="es-CO"/>
        </w:rPr>
      </w:pPr>
      <w:r w:rsidRPr="009A2496">
        <w:rPr>
          <w:rFonts w:cs="Arial"/>
          <w:b/>
          <w:noProof/>
          <w:lang w:eastAsia="es-CO"/>
        </w:rPr>
        <w:t xml:space="preserve"> Fortalezas:</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Se cuenta con un sistema de información misional SIM desde el ICBF que permite identificar el numero de niños, niñas y adolescentes en proceso administrativo – PARD, en situación de vida en calle y las medidas adoptadas por las respectivas Defensorias de Familia para el restablecimiento de derechos.</w:t>
      </w:r>
    </w:p>
    <w:p w:rsidR="009A2496" w:rsidRPr="009A2496" w:rsidRDefault="009A2496" w:rsidP="00A92D87">
      <w:pPr>
        <w:tabs>
          <w:tab w:val="left" w:pos="1920"/>
        </w:tabs>
        <w:spacing w:line="240" w:lineRule="auto"/>
        <w:ind w:right="-93"/>
        <w:rPr>
          <w:rFonts w:cs="Arial"/>
          <w:b/>
          <w:noProof/>
          <w:lang w:eastAsia="es-CO"/>
        </w:rPr>
      </w:pPr>
      <w:r w:rsidRPr="009A2496">
        <w:rPr>
          <w:rFonts w:cs="Arial"/>
          <w:noProof/>
          <w:lang w:eastAsia="es-CO"/>
        </w:rPr>
        <w:lastRenderedPageBreak/>
        <w:t>Esta informacion sirve para alimentar el Sistema Único de Informacion para la niñez SUIN, el que permite consolidar la estadistica nacional, departamental y municipal de niños, niñas y adolescentes en proceso administrativo de restablecimiento de derechos, reportados en situación de vida en calle.</w:t>
      </w:r>
    </w:p>
    <w:p w:rsidR="009A2496" w:rsidRPr="009A2496" w:rsidRDefault="009A2496" w:rsidP="00A92D87">
      <w:pPr>
        <w:tabs>
          <w:tab w:val="left" w:pos="1920"/>
        </w:tabs>
        <w:spacing w:line="240" w:lineRule="auto"/>
        <w:rPr>
          <w:rFonts w:cs="Arial"/>
          <w:b/>
          <w:noProof/>
          <w:lang w:eastAsia="es-CO"/>
        </w:rPr>
      </w:pPr>
      <w:r w:rsidRPr="009A2496">
        <w:rPr>
          <w:rFonts w:cs="Arial"/>
          <w:b/>
          <w:noProof/>
          <w:lang w:eastAsia="es-CO"/>
        </w:rPr>
        <w:t>Debilidades:</w:t>
      </w:r>
    </w:p>
    <w:p w:rsidR="009A2496" w:rsidRPr="009A2496" w:rsidRDefault="009A2496" w:rsidP="00A92D87">
      <w:pPr>
        <w:spacing w:line="240" w:lineRule="auto"/>
        <w:jc w:val="both"/>
        <w:rPr>
          <w:rFonts w:cs="Arial"/>
          <w:lang w:eastAsia="es-CO"/>
        </w:rPr>
      </w:pPr>
      <w:r w:rsidRPr="009A2496">
        <w:rPr>
          <w:rFonts w:cs="Arial"/>
          <w:lang w:eastAsia="es-CO"/>
        </w:rPr>
        <w:t>Al Sistema de Información Misional - SIM, solo tiene acceso el ICBF y no los Comisarios de Familia quienes en el territorio por competencia subsidiaria, adelantan procesos administrativos de restablecimiento de derechos a  niños, niñas y adolescentes en situación de vida en calle.</w:t>
      </w:r>
    </w:p>
    <w:p w:rsidR="009A2496" w:rsidRPr="009A2496" w:rsidRDefault="009A2496" w:rsidP="00A92D87">
      <w:pPr>
        <w:spacing w:line="240" w:lineRule="auto"/>
        <w:jc w:val="both"/>
        <w:rPr>
          <w:rFonts w:cs="Arial"/>
          <w:lang w:eastAsia="es-CO"/>
        </w:rPr>
      </w:pPr>
      <w:r w:rsidRPr="009A2496">
        <w:rPr>
          <w:rFonts w:cs="Arial"/>
          <w:lang w:eastAsia="es-CO"/>
        </w:rPr>
        <w:t>Durante el periodo a analizar, desde las comisarías de familia se envió la información de los Procesos Administrativos de Restablecimiento de Derechos- PARD de niños, niñas y adolescentes en la situación de vida en calle, en un instrumento diseñado para tal fin, por cuanto, la comisaria de Familia, no cuentan con un sistema de información propio.</w:t>
      </w:r>
    </w:p>
    <w:p w:rsidR="009A2496" w:rsidRPr="009A2496" w:rsidRDefault="009A2496" w:rsidP="00A92D87">
      <w:pPr>
        <w:spacing w:line="240" w:lineRule="auto"/>
        <w:jc w:val="both"/>
        <w:rPr>
          <w:rFonts w:cs="Arial"/>
          <w:b/>
          <w:noProof/>
          <w:lang w:eastAsia="es-CO"/>
        </w:rPr>
      </w:pPr>
      <w:r w:rsidRPr="009A2496">
        <w:rPr>
          <w:rFonts w:cs="Arial"/>
          <w:shd w:val="clear" w:color="auto" w:fill="FFFFFF"/>
        </w:rPr>
        <w:t>Indique, según los siguientes criterios de valoración, cual es el que mejor interpreta el comportamiento del indicador analizado, para  el periodo comprendido entre los años 2011 y 2014. </w:t>
      </w:r>
      <w:r w:rsidR="00EE7888">
        <w:rPr>
          <w:rFonts w:cs="Arial"/>
          <w:shd w:val="clear" w:color="auto" w:fill="FFFFFF"/>
        </w:rPr>
        <w:t xml:space="preserve">  </w:t>
      </w:r>
      <w:r w:rsidRPr="009A2496">
        <w:rPr>
          <w:rFonts w:cs="Arial"/>
          <w:shd w:val="clear" w:color="auto" w:fill="FFFFFF"/>
        </w:rPr>
        <w:t>Tenga en cuenta que debe analizar el periodo completo (2011 al 2014), si no cuenta con información para todos los años, la categoría a señalar es "sin serie Temporal":</w:t>
      </w:r>
    </w:p>
    <w:p w:rsidR="009A2496" w:rsidRPr="009A2496" w:rsidRDefault="009A2496" w:rsidP="00A92D87">
      <w:pPr>
        <w:numPr>
          <w:ilvl w:val="0"/>
          <w:numId w:val="24"/>
        </w:numPr>
        <w:tabs>
          <w:tab w:val="left" w:pos="1830"/>
        </w:tabs>
        <w:spacing w:line="240" w:lineRule="auto"/>
        <w:contextualSpacing/>
        <w:rPr>
          <w:rFonts w:cs="Arial"/>
          <w:lang w:eastAsia="es-CO"/>
        </w:rPr>
      </w:pPr>
      <w:r w:rsidRPr="009A2496">
        <w:rPr>
          <w:rFonts w:cs="Arial"/>
          <w:lang w:eastAsia="es-CO"/>
        </w:rPr>
        <w:t xml:space="preserve">Mejoró  </w:t>
      </w:r>
    </w:p>
    <w:p w:rsidR="009A2496" w:rsidRPr="009A2496" w:rsidRDefault="009A2496" w:rsidP="00A92D87">
      <w:pPr>
        <w:numPr>
          <w:ilvl w:val="0"/>
          <w:numId w:val="22"/>
        </w:numPr>
        <w:tabs>
          <w:tab w:val="left" w:pos="1830"/>
        </w:tabs>
        <w:spacing w:line="240" w:lineRule="auto"/>
        <w:contextualSpacing/>
        <w:rPr>
          <w:rFonts w:cs="Arial"/>
          <w:lang w:eastAsia="es-CO"/>
        </w:rPr>
      </w:pPr>
      <w:r w:rsidRPr="009A2496">
        <w:rPr>
          <w:rFonts w:cs="Arial"/>
          <w:lang w:eastAsia="es-CO"/>
        </w:rPr>
        <w:t>Desmejoró</w:t>
      </w:r>
    </w:p>
    <w:p w:rsidR="009A2496" w:rsidRPr="009A2496" w:rsidRDefault="009A2496" w:rsidP="00A92D87">
      <w:pPr>
        <w:numPr>
          <w:ilvl w:val="0"/>
          <w:numId w:val="22"/>
        </w:numPr>
        <w:tabs>
          <w:tab w:val="left" w:pos="1830"/>
        </w:tabs>
        <w:spacing w:line="240" w:lineRule="auto"/>
        <w:contextualSpacing/>
        <w:rPr>
          <w:rFonts w:cs="Arial"/>
          <w:lang w:eastAsia="es-CO"/>
        </w:rPr>
      </w:pPr>
      <w:r w:rsidRPr="009A2496">
        <w:rPr>
          <w:rFonts w:cs="Arial"/>
          <w:lang w:eastAsia="es-CO"/>
        </w:rPr>
        <w:t>Estable</w:t>
      </w:r>
    </w:p>
    <w:p w:rsidR="009A2496" w:rsidRPr="009A2496" w:rsidRDefault="009A2496" w:rsidP="00A92D87">
      <w:pPr>
        <w:tabs>
          <w:tab w:val="left" w:pos="1830"/>
        </w:tabs>
        <w:spacing w:line="240" w:lineRule="auto"/>
        <w:ind w:left="360"/>
        <w:contextualSpacing/>
        <w:rPr>
          <w:rFonts w:cs="Arial"/>
          <w:lang w:eastAsia="es-CO"/>
        </w:rPr>
      </w:pPr>
      <w:r w:rsidRPr="009A2496">
        <w:rPr>
          <w:rFonts w:cs="Arial"/>
          <w:lang w:eastAsia="es-CO"/>
        </w:rPr>
        <w:t xml:space="preserve">X   Sin serie temporal </w:t>
      </w:r>
    </w:p>
    <w:p w:rsidR="009A2496" w:rsidRPr="009A2496" w:rsidRDefault="009A2496" w:rsidP="00A92D87">
      <w:pPr>
        <w:numPr>
          <w:ilvl w:val="0"/>
          <w:numId w:val="22"/>
        </w:numPr>
        <w:tabs>
          <w:tab w:val="left" w:pos="1830"/>
        </w:tabs>
        <w:spacing w:line="240" w:lineRule="auto"/>
        <w:contextualSpacing/>
        <w:rPr>
          <w:rFonts w:cs="Arial"/>
          <w:lang w:eastAsia="es-CO"/>
        </w:rPr>
      </w:pPr>
      <w:r w:rsidRPr="009A2496">
        <w:rPr>
          <w:rFonts w:cs="Arial"/>
          <w:lang w:eastAsia="es-CO"/>
        </w:rPr>
        <w:t>Sin datos</w:t>
      </w:r>
    </w:p>
    <w:p w:rsidR="009A2496" w:rsidRPr="009A2496" w:rsidRDefault="009A2496" w:rsidP="00A92D87">
      <w:pPr>
        <w:tabs>
          <w:tab w:val="left" w:pos="1830"/>
        </w:tabs>
        <w:spacing w:line="240" w:lineRule="auto"/>
        <w:ind w:left="720"/>
        <w:contextualSpacing/>
        <w:jc w:val="both"/>
        <w:rPr>
          <w:rFonts w:cs="Arial"/>
          <w:lang w:eastAsia="es-CO"/>
        </w:rPr>
      </w:pPr>
    </w:p>
    <w:p w:rsidR="009A2496" w:rsidRPr="009A2496" w:rsidRDefault="009A2496" w:rsidP="00EE7888">
      <w:pPr>
        <w:tabs>
          <w:tab w:val="left" w:pos="1920"/>
        </w:tabs>
        <w:spacing w:line="240" w:lineRule="auto"/>
        <w:jc w:val="both"/>
        <w:rPr>
          <w:rFonts w:cs="Arial"/>
          <w:b/>
          <w:noProof/>
          <w:lang w:eastAsia="es-CO"/>
        </w:rPr>
      </w:pPr>
      <w:r w:rsidRPr="009A2496">
        <w:rPr>
          <w:rFonts w:cs="Arial"/>
          <w:b/>
          <w:noProof/>
          <w:lang w:eastAsia="es-CO"/>
        </w:rPr>
        <w:t>Impactos positivos:</w:t>
      </w:r>
    </w:p>
    <w:p w:rsidR="009A2496" w:rsidRPr="009A2496" w:rsidRDefault="009A2496" w:rsidP="00EE7888">
      <w:pPr>
        <w:tabs>
          <w:tab w:val="left" w:pos="1920"/>
        </w:tabs>
        <w:spacing w:line="240" w:lineRule="auto"/>
        <w:jc w:val="both"/>
        <w:rPr>
          <w:rFonts w:cs="Arial"/>
          <w:noProof/>
          <w:lang w:eastAsia="es-CO"/>
        </w:rPr>
      </w:pPr>
      <w:r w:rsidRPr="009A2496">
        <w:rPr>
          <w:rFonts w:cs="Arial"/>
          <w:noProof/>
          <w:lang w:eastAsia="es-CO"/>
        </w:rPr>
        <w:t>Niños, niñas y adolescentes con medidas de protección garantizadas  y ubicados en una modalidades de atención por la autoridad competente ( Comisaria de Familia) y  con proceso administrativo de restablecimiento de derechos en tiempos establecidos.</w:t>
      </w:r>
    </w:p>
    <w:p w:rsidR="009A2496" w:rsidRPr="009A2496" w:rsidRDefault="009A2496" w:rsidP="00EE7888">
      <w:pPr>
        <w:tabs>
          <w:tab w:val="left" w:pos="1920"/>
        </w:tabs>
        <w:spacing w:line="240" w:lineRule="auto"/>
        <w:jc w:val="both"/>
        <w:rPr>
          <w:rFonts w:cs="Arial"/>
          <w:noProof/>
          <w:lang w:eastAsia="es-CO"/>
        </w:rPr>
      </w:pPr>
      <w:r w:rsidRPr="009A2496">
        <w:rPr>
          <w:rFonts w:cs="Arial"/>
          <w:noProof/>
          <w:lang w:eastAsia="es-CO"/>
        </w:rPr>
        <w:t>Niños, niñas y adolescentes en situación de vida en calle  y a quienes se les aperturó proceso administrativo  accedieron a servicios sociales, espacios y realidades que ofrece  el territorio, garantizando que se supere su situación de exclusión y marginalidad.</w:t>
      </w:r>
    </w:p>
    <w:p w:rsidR="009A2496" w:rsidRPr="009A2496" w:rsidRDefault="009A2496" w:rsidP="00EE7888">
      <w:pPr>
        <w:tabs>
          <w:tab w:val="left" w:pos="1920"/>
        </w:tabs>
        <w:spacing w:line="240" w:lineRule="auto"/>
        <w:jc w:val="both"/>
        <w:rPr>
          <w:rFonts w:cs="Arial"/>
          <w:noProof/>
          <w:lang w:eastAsia="es-CO"/>
        </w:rPr>
      </w:pPr>
      <w:r w:rsidRPr="009A2496">
        <w:rPr>
          <w:rFonts w:cs="Arial"/>
          <w:noProof/>
          <w:lang w:eastAsia="es-CO"/>
        </w:rPr>
        <w:t xml:space="preserve">Niños, niñas adolescentes con oportunidades para definir un proyecto de vida alternativo. </w:t>
      </w:r>
    </w:p>
    <w:p w:rsidR="009A2496" w:rsidRPr="009A2496" w:rsidRDefault="009A2496" w:rsidP="00EE7888">
      <w:pPr>
        <w:tabs>
          <w:tab w:val="left" w:pos="1920"/>
        </w:tabs>
        <w:spacing w:line="240" w:lineRule="auto"/>
        <w:jc w:val="both"/>
        <w:rPr>
          <w:rFonts w:cs="Arial"/>
          <w:noProof/>
          <w:lang w:eastAsia="es-CO"/>
        </w:rPr>
      </w:pPr>
      <w:r w:rsidRPr="009A2496">
        <w:rPr>
          <w:rFonts w:cs="Arial"/>
          <w:noProof/>
          <w:lang w:eastAsia="es-CO"/>
        </w:rPr>
        <w:t>Articulación del Sistema Nacional de Bienestra Familiar  para la atención en salud, educación, recreación, cultura y formación para la vida.</w:t>
      </w:r>
    </w:p>
    <w:p w:rsidR="009A2496" w:rsidRPr="009A2496" w:rsidRDefault="009A2496" w:rsidP="00EE7888">
      <w:pPr>
        <w:tabs>
          <w:tab w:val="left" w:pos="1920"/>
        </w:tabs>
        <w:spacing w:line="240" w:lineRule="auto"/>
        <w:ind w:right="49"/>
        <w:jc w:val="both"/>
        <w:rPr>
          <w:rFonts w:cs="Arial"/>
          <w:noProof/>
          <w:lang w:eastAsia="es-CO"/>
        </w:rPr>
      </w:pPr>
      <w:r w:rsidRPr="009A2496">
        <w:rPr>
          <w:rFonts w:cs="Arial"/>
          <w:noProof/>
          <w:lang w:eastAsia="es-CO"/>
        </w:rPr>
        <w:t xml:space="preserve">Niños, niñas y adolescentes en situación de vida en calle  con valoración del estado de salud mental y coordinación red de servicios. </w:t>
      </w:r>
    </w:p>
    <w:p w:rsidR="009A2496" w:rsidRPr="009A2496" w:rsidRDefault="009A2496" w:rsidP="00EE7888">
      <w:pPr>
        <w:tabs>
          <w:tab w:val="left" w:pos="1920"/>
        </w:tabs>
        <w:spacing w:line="240" w:lineRule="auto"/>
        <w:ind w:right="49"/>
        <w:jc w:val="both"/>
        <w:rPr>
          <w:rFonts w:cs="Arial"/>
          <w:noProof/>
          <w:lang w:eastAsia="es-CO"/>
        </w:rPr>
      </w:pPr>
      <w:r w:rsidRPr="009A2496">
        <w:rPr>
          <w:rFonts w:cs="Arial"/>
          <w:noProof/>
          <w:lang w:eastAsia="es-CO"/>
        </w:rPr>
        <w:t>Niños, niñas y adolescentes en situación de vida en calle con garantia del derecho a la identidad.</w:t>
      </w:r>
    </w:p>
    <w:p w:rsidR="009A2496" w:rsidRPr="009A2496" w:rsidRDefault="009A2496" w:rsidP="00EE7888">
      <w:pPr>
        <w:tabs>
          <w:tab w:val="left" w:pos="1920"/>
        </w:tabs>
        <w:spacing w:line="240" w:lineRule="auto"/>
        <w:ind w:right="49"/>
        <w:jc w:val="both"/>
        <w:rPr>
          <w:rFonts w:cs="Arial"/>
          <w:noProof/>
          <w:lang w:eastAsia="es-CO"/>
        </w:rPr>
      </w:pPr>
      <w:r w:rsidRPr="009A2496">
        <w:rPr>
          <w:rFonts w:cs="Arial"/>
          <w:noProof/>
          <w:lang w:eastAsia="es-CO"/>
        </w:rPr>
        <w:t>Niños, niñas y adolescentes en situación de vida en calle con procesos formativos en jornadas alternas de educación.</w:t>
      </w:r>
    </w:p>
    <w:p w:rsidR="009A2496" w:rsidRPr="009A2496" w:rsidRDefault="009A2496" w:rsidP="00EE7888">
      <w:pPr>
        <w:tabs>
          <w:tab w:val="left" w:pos="1920"/>
        </w:tabs>
        <w:spacing w:line="240" w:lineRule="auto"/>
        <w:jc w:val="both"/>
        <w:rPr>
          <w:rFonts w:cs="Arial"/>
          <w:noProof/>
          <w:lang w:eastAsia="es-CO"/>
        </w:rPr>
      </w:pPr>
      <w:r w:rsidRPr="009A2496">
        <w:rPr>
          <w:rFonts w:cs="Arial"/>
          <w:noProof/>
          <w:lang w:eastAsia="es-CO"/>
        </w:rPr>
        <w:lastRenderedPageBreak/>
        <w:t>Niños, niñas y adolescentes en situación de vida en calle orientados y vinculados en programas de salud sexual y reproductiva.</w:t>
      </w:r>
    </w:p>
    <w:p w:rsidR="009A2496" w:rsidRPr="009A2496" w:rsidRDefault="009A2496" w:rsidP="00EE7888">
      <w:pPr>
        <w:tabs>
          <w:tab w:val="left" w:pos="1920"/>
        </w:tabs>
        <w:spacing w:line="240" w:lineRule="auto"/>
        <w:ind w:right="-93"/>
        <w:jc w:val="both"/>
        <w:rPr>
          <w:rFonts w:cs="Arial"/>
          <w:noProof/>
          <w:lang w:eastAsia="es-CO"/>
        </w:rPr>
      </w:pPr>
      <w:r w:rsidRPr="009A2496">
        <w:rPr>
          <w:rFonts w:cs="Arial"/>
          <w:noProof/>
          <w:lang w:eastAsia="es-CO"/>
        </w:rPr>
        <w:t>Niños, niñas y adolescentes en situación de vida en calle con  talleres para prevenir y detectar el maltrato, abuso sexual, explotación sexual y comercial y otroas vulneracionesa a sus derechos.</w:t>
      </w:r>
    </w:p>
    <w:p w:rsidR="009A2496" w:rsidRPr="009A2496" w:rsidRDefault="009A2496" w:rsidP="00A92D87">
      <w:pPr>
        <w:tabs>
          <w:tab w:val="left" w:pos="1920"/>
        </w:tabs>
        <w:spacing w:line="240" w:lineRule="auto"/>
        <w:rPr>
          <w:rFonts w:cs="Arial"/>
          <w:b/>
          <w:noProof/>
          <w:lang w:eastAsia="es-CO"/>
        </w:rPr>
      </w:pPr>
      <w:r w:rsidRPr="009A2496">
        <w:rPr>
          <w:rFonts w:cs="Arial"/>
          <w:b/>
          <w:noProof/>
          <w:lang w:eastAsia="es-CO"/>
        </w:rPr>
        <w:t>Impactos negativos:</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 xml:space="preserve">Niños, niñas y adolescentes sin tratamiento adecuado a su problemática por negligencia de la familia, familias sin oportunidades laborales, débil red de apoyo para la atención de los casos presentados. </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No existe un centro de emergencia y/o un espacio de permanencia  para la atención.</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Deficiencia de  espacios  artisticos, deportivos, ludicos  destinados para la atención de los niños, niñas y adolescentes en situación de vida en calle.</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Débil oferta institucional para la atención especilizada frente al consumo de sustancias sicoactivas.</w:t>
      </w:r>
    </w:p>
    <w:p w:rsidR="009A2496" w:rsidRPr="009A2496" w:rsidRDefault="009A2496" w:rsidP="00A92D87">
      <w:pPr>
        <w:tabs>
          <w:tab w:val="left" w:pos="1920"/>
        </w:tabs>
        <w:spacing w:line="240" w:lineRule="auto"/>
        <w:jc w:val="both"/>
        <w:rPr>
          <w:rFonts w:cs="Arial"/>
          <w:noProof/>
          <w:lang w:eastAsia="es-CO"/>
        </w:rPr>
      </w:pPr>
      <w:r w:rsidRPr="009A2496">
        <w:rPr>
          <w:rFonts w:cs="Arial"/>
          <w:noProof/>
          <w:lang w:eastAsia="es-CO"/>
        </w:rPr>
        <w:t>Debil oferta  de formación certificada en oficios o carrera tecnológicas y capacitación prelaboral con el SENA para adolescentes en situación de vida en calle.</w:t>
      </w:r>
    </w:p>
    <w:p w:rsidR="009A2496" w:rsidRPr="009A2496" w:rsidRDefault="009A2496" w:rsidP="00A92D87">
      <w:pPr>
        <w:tabs>
          <w:tab w:val="left" w:pos="1920"/>
        </w:tabs>
        <w:spacing w:line="240" w:lineRule="auto"/>
        <w:rPr>
          <w:rFonts w:cs="Arial"/>
          <w:noProof/>
          <w:lang w:eastAsia="es-CO"/>
        </w:rPr>
      </w:pPr>
      <w:r w:rsidRPr="009A2496">
        <w:rPr>
          <w:rFonts w:cs="Arial"/>
          <w:noProof/>
          <w:lang w:eastAsia="es-CO"/>
        </w:rPr>
        <w:t>Deficiente  trabajo de intervencion con familias.</w:t>
      </w:r>
    </w:p>
    <w:p w:rsidR="009A2496" w:rsidRPr="009A2496" w:rsidRDefault="009A2496" w:rsidP="00A92D87">
      <w:pPr>
        <w:tabs>
          <w:tab w:val="left" w:pos="1830"/>
        </w:tabs>
        <w:spacing w:line="240" w:lineRule="auto"/>
        <w:jc w:val="both"/>
        <w:rPr>
          <w:rFonts w:cs="Arial"/>
          <w:lang w:eastAsia="es-CO"/>
        </w:rPr>
      </w:pPr>
      <w:r w:rsidRPr="009A2496">
        <w:rPr>
          <w:rFonts w:cs="Arial"/>
          <w:shd w:val="clear" w:color="auto" w:fill="FFFFFF"/>
        </w:rPr>
        <w:t xml:space="preserve">Realice un análisis de las razones del comportamiento del indicador (según serie temporal) teniendo en cuenta la fuente que está utilizando (nacional o local). Si la fuente de información ofrece niveles de desagregación (sexo, área, etnia, discapacidad, </w:t>
      </w:r>
      <w:r w:rsidR="00F07B9B" w:rsidRPr="009A2496">
        <w:rPr>
          <w:rFonts w:cs="Arial"/>
          <w:shd w:val="clear" w:color="auto" w:fill="FFFFFF"/>
        </w:rPr>
        <w:t>etc.</w:t>
      </w:r>
      <w:r w:rsidRPr="009A2496">
        <w:rPr>
          <w:rFonts w:cs="Arial"/>
          <w:shd w:val="clear" w:color="auto" w:fill="FFFFFF"/>
        </w:rPr>
        <w:t>,), inclúyalos en el análisis. </w:t>
      </w:r>
      <w:r w:rsidRPr="009A2496">
        <w:rPr>
          <w:rFonts w:cs="Arial"/>
        </w:rPr>
        <w:br/>
      </w:r>
      <w:r w:rsidRPr="009A2496">
        <w:rPr>
          <w:rFonts w:cs="Arial"/>
          <w:shd w:val="clear" w:color="auto" w:fill="FFFFFF"/>
        </w:rPr>
        <w:t>Si puede argumentar el comportamiento del indicador según la fuente alterna puede hacerlo en el campo correspondiente:</w:t>
      </w:r>
    </w:p>
    <w:p w:rsidR="009A2496" w:rsidRPr="009A2496" w:rsidRDefault="009A2496" w:rsidP="00A92D87">
      <w:pPr>
        <w:tabs>
          <w:tab w:val="left" w:pos="1920"/>
        </w:tabs>
        <w:spacing w:line="240" w:lineRule="auto"/>
        <w:rPr>
          <w:rFonts w:cs="Arial"/>
          <w:b/>
          <w:noProof/>
          <w:lang w:eastAsia="es-CO"/>
        </w:rPr>
      </w:pPr>
      <w:r w:rsidRPr="009A2496">
        <w:rPr>
          <w:rFonts w:cs="Arial"/>
          <w:b/>
          <w:noProof/>
          <w:lang w:eastAsia="es-CO"/>
        </w:rPr>
        <w:t>Fuente nacional:</w:t>
      </w:r>
    </w:p>
    <w:p w:rsidR="009A2496" w:rsidRPr="009A2496" w:rsidRDefault="009A2496" w:rsidP="00A92D87">
      <w:pPr>
        <w:tabs>
          <w:tab w:val="left" w:pos="1920"/>
        </w:tabs>
        <w:spacing w:line="240" w:lineRule="auto"/>
        <w:jc w:val="both"/>
        <w:rPr>
          <w:rFonts w:cs="Arial"/>
        </w:rPr>
      </w:pPr>
      <w:r w:rsidRPr="009A2496">
        <w:rPr>
          <w:rFonts w:cs="Arial"/>
        </w:rPr>
        <w:t xml:space="preserve">Revisada la fuente de información Nacional,  se verifica un ascenso cuantitativo de la situación de un año a otro para  el departamento de Nariño. </w:t>
      </w:r>
    </w:p>
    <w:p w:rsidR="009A2496" w:rsidRPr="009A2496" w:rsidRDefault="009A2496" w:rsidP="00A92D87">
      <w:pPr>
        <w:tabs>
          <w:tab w:val="left" w:pos="1920"/>
        </w:tabs>
        <w:spacing w:line="240" w:lineRule="auto"/>
        <w:jc w:val="both"/>
        <w:rPr>
          <w:rFonts w:cs="Arial"/>
        </w:rPr>
      </w:pPr>
      <w:r w:rsidRPr="009A2496">
        <w:rPr>
          <w:rFonts w:cs="Arial"/>
        </w:rPr>
        <w:t xml:space="preserve">Como fortalezas se encuentra la motivación  a la denuncia de los flagelos como la vida en calle y la  sensibilización de las familias para vincular a los niños, niñas y adolescentes a programas de atención y a  jornadas alternas de formación.  </w:t>
      </w:r>
    </w:p>
    <w:p w:rsidR="009A2496" w:rsidRPr="009A2496" w:rsidRDefault="009A2496" w:rsidP="00A92D87">
      <w:pPr>
        <w:spacing w:line="240" w:lineRule="auto"/>
        <w:jc w:val="both"/>
        <w:rPr>
          <w:rFonts w:cs="Arial"/>
          <w:lang w:eastAsia="es-CO"/>
        </w:rPr>
      </w:pPr>
      <w:r w:rsidRPr="009A2496">
        <w:rPr>
          <w:rFonts w:cs="Arial"/>
          <w:lang w:eastAsia="es-CO"/>
        </w:rPr>
        <w:t>D</w:t>
      </w:r>
      <w:r w:rsidRPr="009A2496">
        <w:rPr>
          <w:rFonts w:cs="Arial"/>
        </w:rPr>
        <w:t xml:space="preserve">entro de las debilidades, se verifica que de los 64 Municipios que corresponden al departamento de Nariño, solo en 9 de ellos, se atiende por las defensorías de familia con  equipos interdisciplinarios,  los asuntos derivados de la atención de los adolescentes en  proceso administrativo de restablecimiento de derechos con situación de la vida en calle, en los municipios restantes se atiende por competencia subsidiaria  a través de las Comisarias de familia que en su gran numero carecen de equipo completos para actuar. </w:t>
      </w:r>
    </w:p>
    <w:p w:rsidR="009A2496" w:rsidRPr="009A2496" w:rsidRDefault="009A2496" w:rsidP="00A92D87">
      <w:pPr>
        <w:tabs>
          <w:tab w:val="left" w:pos="1920"/>
        </w:tabs>
        <w:spacing w:line="240" w:lineRule="auto"/>
        <w:rPr>
          <w:rFonts w:cs="Arial"/>
          <w:b/>
          <w:noProof/>
          <w:lang w:eastAsia="es-CO"/>
        </w:rPr>
      </w:pPr>
      <w:r w:rsidRPr="009A2496">
        <w:rPr>
          <w:rFonts w:cs="Arial"/>
          <w:b/>
          <w:noProof/>
          <w:lang w:eastAsia="es-CO"/>
        </w:rPr>
        <w:t xml:space="preserve"> Fuente local:</w:t>
      </w:r>
    </w:p>
    <w:p w:rsidR="009A2496" w:rsidRPr="009A2496" w:rsidRDefault="009A2496" w:rsidP="00A92D87">
      <w:pPr>
        <w:tabs>
          <w:tab w:val="left" w:pos="930"/>
        </w:tabs>
        <w:spacing w:line="240" w:lineRule="auto"/>
        <w:jc w:val="both"/>
        <w:rPr>
          <w:rFonts w:cs="Arial"/>
          <w:i/>
          <w:lang w:eastAsia="es-CO"/>
        </w:rPr>
      </w:pPr>
      <w:r w:rsidRPr="009A2496">
        <w:rPr>
          <w:rFonts w:cs="Arial"/>
          <w:i/>
          <w:lang w:eastAsia="es-CO"/>
        </w:rPr>
        <w:t>No se remiten datos locales que permitan hacer pronunciamiento interpretativo.</w:t>
      </w:r>
    </w:p>
    <w:p w:rsidR="009A2496" w:rsidRPr="009A2496" w:rsidRDefault="009A2496" w:rsidP="006C3CF7">
      <w:pPr>
        <w:numPr>
          <w:ilvl w:val="0"/>
          <w:numId w:val="76"/>
        </w:numPr>
        <w:tabs>
          <w:tab w:val="left" w:pos="1830"/>
        </w:tabs>
        <w:spacing w:line="240" w:lineRule="auto"/>
        <w:contextualSpacing/>
        <w:jc w:val="both"/>
        <w:rPr>
          <w:rFonts w:cs="Arial"/>
          <w:noProof/>
          <w:lang w:eastAsia="es-CO"/>
        </w:rPr>
      </w:pPr>
      <w:r w:rsidRPr="009A2496">
        <w:rPr>
          <w:rFonts w:cs="Arial"/>
          <w:noProof/>
          <w:lang w:eastAsia="es-CO"/>
        </w:rPr>
        <w:lastRenderedPageBreak/>
        <w:t>Si encuentra diferencia entre la información de la fuente nacional y la información de la fuente local para este indicador que analiza, realice un análisis desde su experiencia, sobre las razones que pueden existir para ello. Si no hay diferencia o la información soporte no permite este análisis indique que no aplica registrando N/A:</w:t>
      </w:r>
    </w:p>
    <w:p w:rsidR="009A2496" w:rsidRPr="009A2496" w:rsidRDefault="009A2496" w:rsidP="00A92D87">
      <w:pPr>
        <w:tabs>
          <w:tab w:val="left" w:pos="1830"/>
        </w:tabs>
        <w:spacing w:line="240" w:lineRule="auto"/>
        <w:ind w:left="720"/>
        <w:contextualSpacing/>
        <w:jc w:val="both"/>
        <w:rPr>
          <w:rFonts w:cs="Arial"/>
          <w:noProof/>
          <w:lang w:eastAsia="es-CO"/>
        </w:rPr>
      </w:pPr>
    </w:p>
    <w:p w:rsidR="009A2496" w:rsidRPr="009A2496" w:rsidRDefault="009A2496" w:rsidP="00EE7888">
      <w:pPr>
        <w:spacing w:line="240" w:lineRule="auto"/>
        <w:ind w:firstLine="360"/>
        <w:rPr>
          <w:rFonts w:cs="Arial"/>
        </w:rPr>
      </w:pPr>
      <w:r w:rsidRPr="009A2496">
        <w:rPr>
          <w:rFonts w:cs="Arial"/>
        </w:rPr>
        <w:t xml:space="preserve">No se adjuntan datos de fuentes locales que permitan hacer interpretación. </w:t>
      </w:r>
    </w:p>
    <w:p w:rsidR="009A2496" w:rsidRPr="009A2496" w:rsidRDefault="009A2496" w:rsidP="00A92D87">
      <w:pPr>
        <w:tabs>
          <w:tab w:val="left" w:pos="1830"/>
        </w:tabs>
        <w:spacing w:line="240" w:lineRule="auto"/>
        <w:ind w:left="360"/>
        <w:jc w:val="both"/>
        <w:rPr>
          <w:rFonts w:cs="Arial"/>
          <w:noProof/>
          <w:lang w:eastAsia="es-CO"/>
        </w:rPr>
      </w:pPr>
      <w:r w:rsidRPr="009A2496">
        <w:rPr>
          <w:rFonts w:cs="Arial"/>
          <w:noProof/>
          <w:lang w:eastAsia="es-CO"/>
        </w:rPr>
        <w:t>Describa las recomendaciones que como gobierno local o departamental, le deja a la próxima administración para mejorar la situación de la población correspondiente al momento del ciclo de vida analizado:</w:t>
      </w:r>
    </w:p>
    <w:p w:rsidR="009A2496" w:rsidRPr="009A2496" w:rsidRDefault="009A2496" w:rsidP="00A92D87">
      <w:pPr>
        <w:tabs>
          <w:tab w:val="left" w:pos="1830"/>
        </w:tabs>
        <w:spacing w:line="240" w:lineRule="auto"/>
        <w:ind w:left="360"/>
        <w:jc w:val="both"/>
        <w:rPr>
          <w:rFonts w:cs="Arial"/>
          <w:noProof/>
          <w:lang w:eastAsia="es-CO"/>
        </w:rPr>
      </w:pPr>
      <w:r w:rsidRPr="009A2496">
        <w:rPr>
          <w:rFonts w:cs="Arial"/>
          <w:noProof/>
          <w:lang w:eastAsia="es-CO"/>
        </w:rPr>
        <w:t>Actualización del diagnostico poblacional y la adecuacion de acciones pertinentes.</w:t>
      </w:r>
    </w:p>
    <w:p w:rsidR="009A2496" w:rsidRPr="009A2496" w:rsidRDefault="009A2496" w:rsidP="00A92D87">
      <w:pPr>
        <w:tabs>
          <w:tab w:val="left" w:pos="1830"/>
        </w:tabs>
        <w:spacing w:line="240" w:lineRule="auto"/>
        <w:ind w:left="360"/>
        <w:jc w:val="both"/>
        <w:rPr>
          <w:rFonts w:cs="Arial"/>
          <w:noProof/>
          <w:lang w:eastAsia="es-CO"/>
        </w:rPr>
      </w:pPr>
      <w:r w:rsidRPr="009A2496">
        <w:rPr>
          <w:rFonts w:cs="Arial"/>
          <w:noProof/>
          <w:lang w:eastAsia="es-CO"/>
        </w:rPr>
        <w:t>Reforzar las acciones y programas preventivos para la atención de esta problemática.</w:t>
      </w:r>
    </w:p>
    <w:p w:rsidR="009A2496" w:rsidRPr="009A2496" w:rsidRDefault="009A2496" w:rsidP="00A92D87">
      <w:pPr>
        <w:tabs>
          <w:tab w:val="left" w:pos="1920"/>
        </w:tabs>
        <w:spacing w:line="240" w:lineRule="auto"/>
        <w:ind w:left="360"/>
        <w:jc w:val="both"/>
        <w:rPr>
          <w:rFonts w:cs="Arial"/>
          <w:noProof/>
          <w:lang w:eastAsia="es-CO"/>
        </w:rPr>
      </w:pPr>
      <w:r w:rsidRPr="009A2496">
        <w:rPr>
          <w:rFonts w:cs="Arial"/>
          <w:lang w:eastAsia="es-CO"/>
        </w:rPr>
        <w:t xml:space="preserve">Garantizar equipos  interdisciplinarios cualificados en las comisarías de familias, con la respectiva asignación de </w:t>
      </w:r>
      <w:r w:rsidRPr="009A2496">
        <w:rPr>
          <w:rFonts w:cs="Arial"/>
          <w:bCs/>
          <w:noProof/>
          <w:lang w:val="es-ES" w:eastAsia="es-CO"/>
        </w:rPr>
        <w:t xml:space="preserve">recursos para contratacion terapeutica en los municipios con mayor incidencia de niños, niñas y adolescentes en situación de vida en calle. </w:t>
      </w:r>
    </w:p>
    <w:p w:rsidR="009A2496" w:rsidRPr="009A2496" w:rsidRDefault="009A2496" w:rsidP="00A92D87">
      <w:pPr>
        <w:tabs>
          <w:tab w:val="left" w:pos="900"/>
        </w:tabs>
        <w:spacing w:line="240" w:lineRule="auto"/>
        <w:ind w:left="360"/>
        <w:jc w:val="both"/>
        <w:rPr>
          <w:rFonts w:cs="Arial"/>
          <w:lang w:eastAsia="es-CO"/>
        </w:rPr>
      </w:pPr>
      <w:r w:rsidRPr="009A2496">
        <w:rPr>
          <w:rFonts w:cs="Arial"/>
          <w:lang w:eastAsia="es-CO"/>
        </w:rPr>
        <w:t xml:space="preserve">Asignación de recursos para el fortalecimiento de entornos protectores en el plan de desarrollo. </w:t>
      </w:r>
    </w:p>
    <w:p w:rsidR="009A2496" w:rsidRPr="009A2496" w:rsidRDefault="009A2496" w:rsidP="00A92D87">
      <w:pPr>
        <w:tabs>
          <w:tab w:val="left" w:pos="900"/>
        </w:tabs>
        <w:spacing w:line="240" w:lineRule="auto"/>
        <w:ind w:left="360"/>
        <w:jc w:val="both"/>
        <w:rPr>
          <w:rFonts w:cs="Arial"/>
          <w:lang w:eastAsia="es-CO"/>
        </w:rPr>
      </w:pPr>
      <w:r w:rsidRPr="009A2496">
        <w:rPr>
          <w:rFonts w:cs="Arial"/>
          <w:lang w:eastAsia="es-CO"/>
        </w:rPr>
        <w:t>Asignación de recursos para la financiación de hogares de paso y cofinanciación de cupos en otras modalidades de atención.</w:t>
      </w:r>
    </w:p>
    <w:p w:rsidR="009A2496" w:rsidRPr="009A2496" w:rsidRDefault="009A2496" w:rsidP="00A92D87">
      <w:pPr>
        <w:spacing w:line="240" w:lineRule="auto"/>
        <w:ind w:left="360"/>
        <w:jc w:val="both"/>
        <w:rPr>
          <w:rFonts w:cs="Arial"/>
          <w:bCs/>
        </w:rPr>
      </w:pPr>
      <w:r w:rsidRPr="009A2496">
        <w:rPr>
          <w:rFonts w:cs="Arial"/>
        </w:rPr>
        <w:t xml:space="preserve">Adelantar convenios con las universidades y demás instituciones del estado que contribuyan al restablecimiento de los derechos.  De igual manera la </w:t>
      </w:r>
      <w:r w:rsidRPr="009A2496">
        <w:rPr>
          <w:rFonts w:cs="Arial"/>
          <w:bCs/>
        </w:rPr>
        <w:t xml:space="preserve">vinculación a programas de atención especializada para la </w:t>
      </w:r>
      <w:r w:rsidRPr="009A2496">
        <w:rPr>
          <w:rFonts w:cs="Arial"/>
          <w:b/>
          <w:bCs/>
        </w:rPr>
        <w:t xml:space="preserve">PREPARACION PARA LA VIDA LABORAL Y PRODUCTIVA </w:t>
      </w:r>
      <w:r w:rsidRPr="009A2496">
        <w:rPr>
          <w:rFonts w:cs="Arial"/>
          <w:bCs/>
        </w:rPr>
        <w:t xml:space="preserve">y construcción de proyecto de vida de los adolescentes. </w:t>
      </w:r>
    </w:p>
    <w:p w:rsidR="009A2496" w:rsidRPr="009A2496" w:rsidRDefault="009A2496" w:rsidP="00A92D87">
      <w:pPr>
        <w:tabs>
          <w:tab w:val="left" w:pos="1920"/>
        </w:tabs>
        <w:spacing w:line="240" w:lineRule="auto"/>
        <w:ind w:left="284"/>
        <w:rPr>
          <w:rFonts w:cs="Arial"/>
          <w:noProof/>
          <w:lang w:eastAsia="es-CO"/>
        </w:rPr>
      </w:pPr>
      <w:r w:rsidRPr="009A2496">
        <w:rPr>
          <w:rFonts w:cs="Arial"/>
          <w:noProof/>
          <w:lang w:eastAsia="es-CO"/>
        </w:rPr>
        <w:t xml:space="preserve"> Crear alternativas de formacion en jornadas alternas  para los niños, niñas y   adolescentes en situación de vida en calle.</w:t>
      </w:r>
    </w:p>
    <w:p w:rsidR="009A2496" w:rsidRPr="009A2496" w:rsidRDefault="009A2496"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9A2496">
        <w:rPr>
          <w:b/>
          <w:i/>
          <w:iCs/>
        </w:rPr>
        <w:t>DESCRIPCIÓN DEL INDICADOR No. 82</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cnfStyle w:val="100000000000"/>
          <w:trHeight w:val="579"/>
          <w:jc w:val="center"/>
        </w:trPr>
        <w:tc>
          <w:tcPr>
            <w:cnfStyle w:val="001000000000"/>
            <w:tcW w:w="8828" w:type="dxa"/>
            <w:tcBorders>
              <w:top w:val="none" w:sz="0" w:space="0" w:color="auto"/>
              <w:bottom w:val="none" w:sz="0" w:space="0" w:color="auto"/>
            </w:tcBorders>
          </w:tcPr>
          <w:p w:rsidR="009A2496" w:rsidRPr="009A2496" w:rsidRDefault="009A2496" w:rsidP="00A92D87">
            <w:r w:rsidRPr="009A2496">
              <w:t>MUNICIPIO:  PASTO</w:t>
            </w:r>
          </w:p>
        </w:tc>
      </w:tr>
      <w:tr w:rsidR="009A2496" w:rsidRPr="009A2496" w:rsidTr="00000F81">
        <w:trPr>
          <w:cnfStyle w:val="000000100000"/>
          <w:trHeight w:val="579"/>
          <w:jc w:val="center"/>
        </w:trPr>
        <w:tc>
          <w:tcPr>
            <w:cnfStyle w:val="001000000000"/>
            <w:tcW w:w="8828" w:type="dxa"/>
          </w:tcPr>
          <w:p w:rsidR="009A2496" w:rsidRPr="009A2496" w:rsidRDefault="009A2496" w:rsidP="00A92D87">
            <w:r w:rsidRPr="009A2496">
              <w:t>Nombre del indicador: Porcentaje de niñas, niños y adolescentes víctimas del conflicto armado</w:t>
            </w:r>
          </w:p>
        </w:tc>
      </w:tr>
      <w:tr w:rsidR="009A2496" w:rsidRPr="009A2496" w:rsidTr="00000F81">
        <w:trPr>
          <w:trHeight w:val="332"/>
          <w:jc w:val="center"/>
        </w:trPr>
        <w:tc>
          <w:tcPr>
            <w:cnfStyle w:val="001000000000"/>
            <w:tcW w:w="8828" w:type="dxa"/>
          </w:tcPr>
          <w:p w:rsidR="009A2496" w:rsidRPr="009A2496" w:rsidRDefault="009A2496" w:rsidP="00A92D87">
            <w:r w:rsidRPr="009A2496">
              <w:t xml:space="preserve">Fuente Nacional: </w:t>
            </w:r>
          </w:p>
          <w:p w:rsidR="009A2496" w:rsidRPr="009A2496" w:rsidRDefault="009A2496" w:rsidP="00A92D87">
            <w:r w:rsidRPr="009A2496">
              <w:t>Otra Fuente: UNIDAD DE VICTIMAS Y RED NACIONAL DE INFORMACION</w:t>
            </w:r>
          </w:p>
        </w:tc>
      </w:tr>
      <w:tr w:rsidR="009A2496" w:rsidRPr="009A2496" w:rsidTr="00000F81">
        <w:trPr>
          <w:cnfStyle w:val="000000100000"/>
          <w:trHeight w:val="458"/>
          <w:jc w:val="center"/>
        </w:trPr>
        <w:tc>
          <w:tcPr>
            <w:cnfStyle w:val="001000000000"/>
            <w:tcW w:w="8828" w:type="dxa"/>
          </w:tcPr>
          <w:p w:rsidR="009A2496" w:rsidRPr="009A2496" w:rsidRDefault="009A2496" w:rsidP="00A92D87">
            <w:r w:rsidRPr="009A2496">
              <w:t>Categoría de derechos: DERECHO A LA PROTECCION</w:t>
            </w:r>
          </w:p>
        </w:tc>
      </w:tr>
      <w:tr w:rsidR="009A2496" w:rsidRPr="009A2496" w:rsidTr="00000F81">
        <w:trPr>
          <w:trHeight w:val="458"/>
          <w:jc w:val="center"/>
        </w:trPr>
        <w:tc>
          <w:tcPr>
            <w:cnfStyle w:val="001000000000"/>
            <w:tcW w:w="8828" w:type="dxa"/>
          </w:tcPr>
          <w:p w:rsidR="009A2496" w:rsidRPr="009A2496" w:rsidRDefault="009A2496" w:rsidP="00A92D87">
            <w:r w:rsidRPr="009A2496">
              <w:t>Metodología: Análisis de la información a partir de la cadena de resultados</w:t>
            </w:r>
          </w:p>
        </w:tc>
      </w:tr>
    </w:tbl>
    <w:p w:rsidR="009A2496" w:rsidRPr="009A2496" w:rsidRDefault="009A2496" w:rsidP="00DF63E8">
      <w:pPr>
        <w:numPr>
          <w:ilvl w:val="0"/>
          <w:numId w:val="41"/>
        </w:numPr>
        <w:spacing w:after="0" w:line="240" w:lineRule="auto"/>
        <w:ind w:left="644"/>
        <w:contextualSpacing/>
        <w:rPr>
          <w:rFonts w:eastAsia="Times New Roman" w:cs="Times New Roman"/>
          <w:b/>
          <w:lang w:eastAsia="es-CO"/>
        </w:rPr>
      </w:pPr>
      <w:r w:rsidRPr="009A2496">
        <w:rPr>
          <w:rFonts w:eastAsia="Times New Roman" w:cs="Times New Roman"/>
          <w:b/>
          <w:lang w:eastAsia="es-CO"/>
        </w:rPr>
        <w:lastRenderedPageBreak/>
        <w:t>Información estadística</w:t>
      </w:r>
    </w:p>
    <w:p w:rsidR="009A2496" w:rsidRPr="009A2496" w:rsidRDefault="009A2496"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9A2496" w:rsidRPr="009A2496" w:rsidTr="00000F81">
        <w:tc>
          <w:tcPr>
            <w:tcW w:w="2196" w:type="dxa"/>
          </w:tcPr>
          <w:p w:rsidR="009A2496" w:rsidRPr="009A2496" w:rsidRDefault="009A2496" w:rsidP="00A92D87">
            <w:pPr>
              <w:jc w:val="center"/>
              <w:rPr>
                <w:b/>
              </w:rPr>
            </w:pPr>
            <w:r w:rsidRPr="009A2496">
              <w:rPr>
                <w:b/>
              </w:rPr>
              <w:t>Indicador</w:t>
            </w:r>
          </w:p>
        </w:tc>
        <w:tc>
          <w:tcPr>
            <w:tcW w:w="1765" w:type="dxa"/>
          </w:tcPr>
          <w:p w:rsidR="009A2496" w:rsidRPr="009A2496" w:rsidRDefault="009A2496" w:rsidP="00A92D87">
            <w:pPr>
              <w:jc w:val="center"/>
              <w:rPr>
                <w:b/>
              </w:rPr>
            </w:pPr>
            <w:r w:rsidRPr="009A2496">
              <w:rPr>
                <w:b/>
              </w:rPr>
              <w:t>2011</w:t>
            </w:r>
          </w:p>
        </w:tc>
        <w:tc>
          <w:tcPr>
            <w:tcW w:w="1766" w:type="dxa"/>
          </w:tcPr>
          <w:p w:rsidR="009A2496" w:rsidRPr="009A2496" w:rsidRDefault="009A2496" w:rsidP="00A92D87">
            <w:pPr>
              <w:jc w:val="center"/>
              <w:rPr>
                <w:b/>
              </w:rPr>
            </w:pPr>
            <w:r w:rsidRPr="009A2496">
              <w:rPr>
                <w:b/>
              </w:rPr>
              <w:t>2012</w:t>
            </w:r>
          </w:p>
        </w:tc>
        <w:tc>
          <w:tcPr>
            <w:tcW w:w="1766" w:type="dxa"/>
          </w:tcPr>
          <w:p w:rsidR="009A2496" w:rsidRPr="009A2496" w:rsidRDefault="009A2496" w:rsidP="00A92D87">
            <w:pPr>
              <w:jc w:val="center"/>
              <w:rPr>
                <w:b/>
              </w:rPr>
            </w:pPr>
            <w:r w:rsidRPr="009A2496">
              <w:rPr>
                <w:b/>
              </w:rPr>
              <w:t>2013</w:t>
            </w:r>
          </w:p>
        </w:tc>
        <w:tc>
          <w:tcPr>
            <w:tcW w:w="1766" w:type="dxa"/>
          </w:tcPr>
          <w:p w:rsidR="009A2496" w:rsidRPr="009A2496" w:rsidRDefault="009A2496" w:rsidP="00A92D87">
            <w:pPr>
              <w:jc w:val="center"/>
              <w:rPr>
                <w:b/>
              </w:rPr>
            </w:pPr>
            <w:r w:rsidRPr="009A2496">
              <w:rPr>
                <w:b/>
              </w:rPr>
              <w:t>2014</w:t>
            </w:r>
          </w:p>
        </w:tc>
      </w:tr>
      <w:tr w:rsidR="009A2496" w:rsidRPr="009A2496" w:rsidTr="00000F81">
        <w:tc>
          <w:tcPr>
            <w:tcW w:w="2196" w:type="dxa"/>
          </w:tcPr>
          <w:p w:rsidR="009A2496" w:rsidRPr="009A2496" w:rsidRDefault="009A2496" w:rsidP="00A92D87">
            <w:r w:rsidRPr="009A2496">
              <w:t>Porcentaje de niñas, niños y adolescentes víctimas del conflicto armado</w:t>
            </w:r>
          </w:p>
        </w:tc>
        <w:tc>
          <w:tcPr>
            <w:tcW w:w="1765" w:type="dxa"/>
          </w:tcPr>
          <w:p w:rsidR="009A2496" w:rsidRPr="009A2496" w:rsidRDefault="009A2496" w:rsidP="00A92D87">
            <w:pPr>
              <w:jc w:val="center"/>
            </w:pPr>
          </w:p>
        </w:tc>
        <w:tc>
          <w:tcPr>
            <w:tcW w:w="1766" w:type="dxa"/>
          </w:tcPr>
          <w:p w:rsidR="009A2496" w:rsidRPr="009A2496" w:rsidRDefault="009A2496" w:rsidP="00A92D87">
            <w:pPr>
              <w:jc w:val="center"/>
            </w:pPr>
          </w:p>
          <w:p w:rsidR="009A2496" w:rsidRPr="009A2496" w:rsidRDefault="009A2496" w:rsidP="00A92D87">
            <w:pPr>
              <w:jc w:val="center"/>
            </w:pPr>
            <w:r w:rsidRPr="009A2496">
              <w:t>0.18</w:t>
            </w:r>
          </w:p>
        </w:tc>
        <w:tc>
          <w:tcPr>
            <w:tcW w:w="1766" w:type="dxa"/>
          </w:tcPr>
          <w:p w:rsidR="009A2496" w:rsidRPr="009A2496" w:rsidRDefault="009A2496" w:rsidP="00A92D87">
            <w:pPr>
              <w:jc w:val="center"/>
            </w:pPr>
          </w:p>
          <w:p w:rsidR="009A2496" w:rsidRPr="009A2496" w:rsidRDefault="009A2496" w:rsidP="00A92D87">
            <w:pPr>
              <w:jc w:val="center"/>
            </w:pPr>
            <w:r w:rsidRPr="009A2496">
              <w:t>0.133</w:t>
            </w:r>
          </w:p>
        </w:tc>
        <w:tc>
          <w:tcPr>
            <w:tcW w:w="1766" w:type="dxa"/>
          </w:tcPr>
          <w:p w:rsidR="009A2496" w:rsidRPr="009A2496" w:rsidRDefault="009A2496" w:rsidP="00A92D87">
            <w:pPr>
              <w:jc w:val="center"/>
            </w:pPr>
          </w:p>
          <w:p w:rsidR="009A2496" w:rsidRPr="009A2496" w:rsidRDefault="009A2496" w:rsidP="00A92D87">
            <w:pPr>
              <w:jc w:val="center"/>
            </w:pPr>
            <w:r w:rsidRPr="009A2496">
              <w:t>0.09</w:t>
            </w:r>
          </w:p>
        </w:tc>
      </w:tr>
      <w:tr w:rsidR="009A2496" w:rsidRPr="009A2496" w:rsidTr="00000F81">
        <w:tc>
          <w:tcPr>
            <w:tcW w:w="9259" w:type="dxa"/>
            <w:gridSpan w:val="5"/>
          </w:tcPr>
          <w:p w:rsidR="009A2496" w:rsidRPr="009A2496" w:rsidRDefault="009A2496" w:rsidP="00A92D87">
            <w:pPr>
              <w:rPr>
                <w:b/>
              </w:rPr>
            </w:pPr>
            <w:r w:rsidRPr="009A2496">
              <w:rPr>
                <w:b/>
              </w:rPr>
              <w:t>Fuente y año:  UNIDAD DE VICTIMAS</w:t>
            </w:r>
          </w:p>
        </w:tc>
      </w:tr>
    </w:tbl>
    <w:p w:rsidR="009A2496" w:rsidRPr="009A2496" w:rsidRDefault="009A2496" w:rsidP="00A92D87">
      <w:pPr>
        <w:spacing w:line="240" w:lineRule="auto"/>
      </w:pPr>
    </w:p>
    <w:p w:rsidR="009A2496" w:rsidRPr="009A2496" w:rsidRDefault="009A2496" w:rsidP="00A92D87">
      <w:pPr>
        <w:spacing w:line="240" w:lineRule="auto"/>
        <w:rPr>
          <w:b/>
        </w:rPr>
      </w:pPr>
      <w:r w:rsidRPr="009A2496">
        <w:rPr>
          <w:b/>
        </w:rPr>
        <w:t xml:space="preserve">Gráfico: </w:t>
      </w:r>
    </w:p>
    <w:tbl>
      <w:tblPr>
        <w:tblW w:w="9617" w:type="dxa"/>
        <w:tblInd w:w="-639" w:type="dxa"/>
        <w:tblCellMar>
          <w:left w:w="70" w:type="dxa"/>
          <w:right w:w="70" w:type="dxa"/>
        </w:tblCellMar>
        <w:tblLook w:val="04A0"/>
      </w:tblPr>
      <w:tblGrid>
        <w:gridCol w:w="1578"/>
        <w:gridCol w:w="823"/>
        <w:gridCol w:w="1591"/>
        <w:gridCol w:w="1823"/>
        <w:gridCol w:w="1506"/>
        <w:gridCol w:w="1148"/>
        <w:gridCol w:w="1148"/>
      </w:tblGrid>
      <w:tr w:rsidR="009A2496" w:rsidRPr="009A2496" w:rsidTr="00000F81">
        <w:trPr>
          <w:trHeight w:val="615"/>
        </w:trPr>
        <w:tc>
          <w:tcPr>
            <w:tcW w:w="1578"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PERIODO</w:t>
            </w:r>
          </w:p>
        </w:tc>
        <w:tc>
          <w:tcPr>
            <w:tcW w:w="823"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CICLO VITAL</w:t>
            </w:r>
          </w:p>
        </w:tc>
        <w:tc>
          <w:tcPr>
            <w:tcW w:w="1591"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NUMERADOR</w:t>
            </w:r>
          </w:p>
        </w:tc>
        <w:tc>
          <w:tcPr>
            <w:tcW w:w="1823"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DENOMINADOR</w:t>
            </w:r>
          </w:p>
        </w:tc>
        <w:tc>
          <w:tcPr>
            <w:tcW w:w="1506"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RESULTADO</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578"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2012</w:t>
            </w:r>
          </w:p>
        </w:tc>
        <w:tc>
          <w:tcPr>
            <w:tcW w:w="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591"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80</w:t>
            </w:r>
          </w:p>
        </w:tc>
        <w:tc>
          <w:tcPr>
            <w:tcW w:w="1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38.306</w:t>
            </w:r>
          </w:p>
        </w:tc>
        <w:tc>
          <w:tcPr>
            <w:tcW w:w="1506"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0,21</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591"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82</w:t>
            </w:r>
          </w:p>
        </w:tc>
        <w:tc>
          <w:tcPr>
            <w:tcW w:w="1823"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41.853</w:t>
            </w:r>
          </w:p>
        </w:tc>
        <w:tc>
          <w:tcPr>
            <w:tcW w:w="1506"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0,2</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jc w:val="right"/>
              <w:rPr>
                <w:rFonts w:eastAsia="Times New Roman" w:cs="Times New Roman"/>
                <w:color w:val="000000"/>
                <w:lang w:eastAsia="es-CO"/>
              </w:rPr>
            </w:pPr>
            <w:r w:rsidRPr="009A2496">
              <w:rPr>
                <w:rFonts w:eastAsia="Times New Roman" w:cs="Times New Roman"/>
                <w:color w:val="000000"/>
                <w:lang w:eastAsia="es-CO"/>
              </w:rPr>
              <w:t>0,18</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591"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59</w:t>
            </w:r>
          </w:p>
        </w:tc>
        <w:tc>
          <w:tcPr>
            <w:tcW w:w="1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45.576</w:t>
            </w:r>
          </w:p>
        </w:tc>
        <w:tc>
          <w:tcPr>
            <w:tcW w:w="1506"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0,13</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578"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2013</w:t>
            </w:r>
          </w:p>
        </w:tc>
        <w:tc>
          <w:tcPr>
            <w:tcW w:w="823"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591"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67</w:t>
            </w:r>
          </w:p>
        </w:tc>
        <w:tc>
          <w:tcPr>
            <w:tcW w:w="1823"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38.027</w:t>
            </w:r>
          </w:p>
        </w:tc>
        <w:tc>
          <w:tcPr>
            <w:tcW w:w="1506"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0,18</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591"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40</w:t>
            </w:r>
          </w:p>
        </w:tc>
        <w:tc>
          <w:tcPr>
            <w:tcW w:w="1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41.390</w:t>
            </w:r>
          </w:p>
        </w:tc>
        <w:tc>
          <w:tcPr>
            <w:tcW w:w="1506"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0,1</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jc w:val="right"/>
              <w:rPr>
                <w:rFonts w:eastAsia="Times New Roman" w:cs="Times New Roman"/>
                <w:color w:val="000000"/>
                <w:lang w:eastAsia="es-CO"/>
              </w:rPr>
            </w:pPr>
            <w:r w:rsidRPr="009A2496">
              <w:rPr>
                <w:rFonts w:eastAsia="Times New Roman" w:cs="Times New Roman"/>
                <w:color w:val="000000"/>
                <w:lang w:eastAsia="es-CO"/>
              </w:rPr>
              <w:t>0,133</w:t>
            </w:r>
          </w:p>
        </w:tc>
        <w:tc>
          <w:tcPr>
            <w:tcW w:w="1148" w:type="dxa"/>
            <w:tcBorders>
              <w:top w:val="nil"/>
              <w:left w:val="nil"/>
              <w:bottom w:val="nil"/>
              <w:right w:val="nil"/>
            </w:tcBorders>
            <w:shd w:val="clear" w:color="000000" w:fill="FFFF00"/>
            <w:noWrap/>
            <w:vAlign w:val="bottom"/>
            <w:hideMark/>
          </w:tcPr>
          <w:p w:rsidR="009A2496" w:rsidRPr="009A2496" w:rsidRDefault="009A2496" w:rsidP="00A92D87">
            <w:pPr>
              <w:spacing w:after="0" w:line="240" w:lineRule="auto"/>
              <w:jc w:val="right"/>
              <w:rPr>
                <w:rFonts w:eastAsia="Times New Roman" w:cs="Times New Roman"/>
                <w:color w:val="000000"/>
                <w:lang w:eastAsia="es-CO"/>
              </w:rPr>
            </w:pPr>
            <w:r w:rsidRPr="009A2496">
              <w:rPr>
                <w:rFonts w:eastAsia="Times New Roman" w:cs="Times New Roman"/>
                <w:color w:val="000000"/>
                <w:lang w:eastAsia="es-CO"/>
              </w:rPr>
              <w:t>0,134</w:t>
            </w:r>
          </w:p>
        </w:tc>
      </w:tr>
      <w:tr w:rsidR="009A2496" w:rsidRPr="009A2496"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591"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54</w:t>
            </w:r>
          </w:p>
        </w:tc>
        <w:tc>
          <w:tcPr>
            <w:tcW w:w="1823"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45.462</w:t>
            </w:r>
          </w:p>
        </w:tc>
        <w:tc>
          <w:tcPr>
            <w:tcW w:w="1506"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0,12</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578"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2014</w:t>
            </w:r>
          </w:p>
        </w:tc>
        <w:tc>
          <w:tcPr>
            <w:tcW w:w="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591"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39</w:t>
            </w:r>
          </w:p>
        </w:tc>
        <w:tc>
          <w:tcPr>
            <w:tcW w:w="1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37.793</w:t>
            </w:r>
          </w:p>
        </w:tc>
        <w:tc>
          <w:tcPr>
            <w:tcW w:w="1506"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0,1</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591"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36</w:t>
            </w:r>
          </w:p>
        </w:tc>
        <w:tc>
          <w:tcPr>
            <w:tcW w:w="1823"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40.935</w:t>
            </w:r>
          </w:p>
        </w:tc>
        <w:tc>
          <w:tcPr>
            <w:tcW w:w="1506"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0,09</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jc w:val="right"/>
              <w:rPr>
                <w:rFonts w:eastAsia="Times New Roman" w:cs="Times New Roman"/>
                <w:color w:val="000000"/>
                <w:lang w:eastAsia="es-CO"/>
              </w:rPr>
            </w:pPr>
            <w:r w:rsidRPr="009A2496">
              <w:rPr>
                <w:rFonts w:eastAsia="Times New Roman" w:cs="Times New Roman"/>
                <w:color w:val="000000"/>
                <w:lang w:eastAsia="es-CO"/>
              </w:rPr>
              <w:t>0,09</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591"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35</w:t>
            </w:r>
          </w:p>
        </w:tc>
        <w:tc>
          <w:tcPr>
            <w:tcW w:w="1823"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45.218</w:t>
            </w:r>
          </w:p>
        </w:tc>
        <w:tc>
          <w:tcPr>
            <w:tcW w:w="1506"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0,08</w:t>
            </w: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bl>
    <w:p w:rsidR="009A2496" w:rsidRPr="009A2496" w:rsidRDefault="009A2496" w:rsidP="00A92D87">
      <w:pPr>
        <w:spacing w:line="240" w:lineRule="auto"/>
        <w:rPr>
          <w:b/>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Situación detectada: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EE7888">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Dentro del conflicto armado Colombiano, el 0.134% de los casos que se presentan afectan a niñas, niños y adolescentes.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EE7888">
      <w:pPr>
        <w:spacing w:after="0" w:line="240" w:lineRule="auto"/>
        <w:ind w:left="284"/>
        <w:jc w:val="both"/>
        <w:rPr>
          <w:rFonts w:eastAsia="Times New Roman" w:cs="Arial"/>
          <w:lang w:eastAsia="es-CO"/>
        </w:rPr>
      </w:pPr>
      <w:r w:rsidRPr="009A2496">
        <w:rPr>
          <w:rFonts w:eastAsia="Times New Roman" w:cs="Arial"/>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9A2496" w:rsidRPr="009A2496" w:rsidRDefault="009A2496" w:rsidP="00A92D87">
      <w:pPr>
        <w:spacing w:after="0" w:line="240" w:lineRule="auto"/>
        <w:jc w:val="both"/>
        <w:rPr>
          <w:rFonts w:eastAsia="Times New Roman" w:cs="Arial"/>
          <w:lang w:eastAsia="es-CO"/>
        </w:rPr>
      </w:pPr>
    </w:p>
    <w:p w:rsidR="009A2496" w:rsidRPr="009A2496" w:rsidRDefault="009A2496" w:rsidP="00EE7888">
      <w:pPr>
        <w:spacing w:after="0" w:line="240" w:lineRule="auto"/>
        <w:ind w:left="284"/>
        <w:jc w:val="both"/>
        <w:rPr>
          <w:rFonts w:cs="Arial"/>
          <w:bCs/>
        </w:rPr>
      </w:pPr>
      <w:r w:rsidRPr="009A2496">
        <w:rPr>
          <w:rFonts w:cs="Arial"/>
        </w:rPr>
        <w:t xml:space="preserve">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w:t>
      </w:r>
      <w:r w:rsidRPr="009A2496">
        <w:rPr>
          <w:rFonts w:cs="Arial"/>
          <w:bCs/>
        </w:rPr>
        <w:t xml:space="preserve">tal como lo establece la Ley 387 de 1997, Decretos Reglamentarios 250 de 2005 y 2569 de 2000, además de lo contemplado en la Ley 1190 de 2008, Decreto </w:t>
      </w:r>
      <w:r w:rsidRPr="009A2496">
        <w:rPr>
          <w:rFonts w:cs="Arial"/>
          <w:bCs/>
        </w:rPr>
        <w:lastRenderedPageBreak/>
        <w:t>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9A2496" w:rsidRPr="009A2496" w:rsidRDefault="009A2496" w:rsidP="00A92D87">
      <w:pPr>
        <w:spacing w:after="0" w:line="240" w:lineRule="auto"/>
        <w:jc w:val="both"/>
        <w:rPr>
          <w:rFonts w:cs="Arial"/>
        </w:rPr>
      </w:pPr>
    </w:p>
    <w:p w:rsidR="009A2496" w:rsidRPr="009A2496" w:rsidRDefault="009A2496" w:rsidP="00EE7888">
      <w:pPr>
        <w:spacing w:after="0" w:line="240" w:lineRule="auto"/>
        <w:ind w:left="284"/>
        <w:jc w:val="both"/>
        <w:rPr>
          <w:rFonts w:eastAsia="Calibri" w:cs="Arial"/>
        </w:rPr>
      </w:pPr>
      <w:r w:rsidRPr="009A2496">
        <w:rPr>
          <w:rFonts w:cs="Arial"/>
        </w:rPr>
        <w:t xml:space="preserve">Es por ello que  </w:t>
      </w:r>
      <w:r w:rsidRPr="009A2496">
        <w:rPr>
          <w:rFonts w:eastAsia="Calibri" w:cs="Arial"/>
        </w:rPr>
        <w:t xml:space="preserve">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rPr>
          <w:rFonts w:eastAsia="Times New Roman" w:cs="Times New Roman"/>
          <w:b/>
          <w:lang w:eastAsia="es-CO"/>
        </w:rPr>
      </w:pPr>
      <w:r w:rsidRPr="009A2496">
        <w:rPr>
          <w:rFonts w:eastAsia="Times New Roman" w:cs="Times New Roman"/>
          <w:b/>
          <w:lang w:eastAsia="es-CO"/>
        </w:rPr>
        <w:t xml:space="preserve">Insumos: </w:t>
      </w:r>
    </w:p>
    <w:p w:rsidR="009A2496" w:rsidRPr="009A2496" w:rsidRDefault="009A2496" w:rsidP="00EE7888">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Los datos aportados fueron suministrados por la Unidad para la Atención y Reparación Integral a las Victimas y la Red Nacional de Información.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EE7888">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9A2496" w:rsidRPr="009A2496" w:rsidRDefault="009A2496" w:rsidP="00A92D87">
      <w:pPr>
        <w:spacing w:after="0" w:line="240" w:lineRule="auto"/>
        <w:contextualSpacing/>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Programas, Proyectos y Acciones para mejorar la situación del indicador (2012 -2015):</w:t>
      </w:r>
    </w:p>
    <w:p w:rsidR="00EE7888" w:rsidRDefault="00EE7888" w:rsidP="00EE7888">
      <w:pPr>
        <w:spacing w:after="0" w:line="240" w:lineRule="auto"/>
        <w:ind w:left="284"/>
        <w:contextualSpacing/>
        <w:jc w:val="both"/>
        <w:rPr>
          <w:rFonts w:eastAsia="Times New Roman" w:cs="Times New Roman"/>
          <w:lang w:eastAsia="es-CO"/>
        </w:rPr>
      </w:pPr>
    </w:p>
    <w:p w:rsidR="009A2496" w:rsidRPr="009A2496" w:rsidRDefault="009A2496" w:rsidP="00EE7888">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EE7888">
      <w:pPr>
        <w:spacing w:after="0" w:line="240" w:lineRule="auto"/>
        <w:ind w:left="284"/>
        <w:rPr>
          <w:rFonts w:eastAsia="Times New Roman" w:cs="Times New Roman"/>
          <w:lang w:eastAsia="es-CO"/>
        </w:rPr>
      </w:pPr>
      <w:r w:rsidRPr="009A2496">
        <w:t>Programa</w:t>
      </w:r>
      <w:r w:rsidRPr="009A2496">
        <w:rPr>
          <w:b/>
        </w:rPr>
        <w:t xml:space="preserve">: </w:t>
      </w:r>
      <w:r w:rsidRPr="009A2496">
        <w:t>Articulo 74; Programa Atención a Víctimas de la Violencia del Conflicto Armado</w:t>
      </w:r>
      <w:r w:rsidRPr="009A2496">
        <w:rPr>
          <w:rFonts w:eastAsia="Times New Roman" w:cs="Times New Roman"/>
          <w:b/>
          <w:lang w:eastAsia="es-CO"/>
        </w:rPr>
        <w:t xml:space="preserve"> </w:t>
      </w:r>
      <w:r w:rsidRPr="009A2496">
        <w:rPr>
          <w:rFonts w:eastAsia="Times New Roman" w:cs="Times New Roman"/>
          <w:lang w:eastAsia="es-CO"/>
        </w:rPr>
        <w:t xml:space="preserve">del Plan de Desarrollo Municipal de Pasto.   </w:t>
      </w:r>
    </w:p>
    <w:p w:rsidR="009A2496" w:rsidRPr="009A2496" w:rsidRDefault="009A2496" w:rsidP="00A92D87">
      <w:pPr>
        <w:spacing w:after="0" w:line="240" w:lineRule="auto"/>
        <w:rPr>
          <w:rFonts w:eastAsia="Times New Roman" w:cs="Times New Roman"/>
          <w:lang w:eastAsia="es-CO"/>
        </w:rPr>
      </w:pPr>
    </w:p>
    <w:p w:rsidR="009A2496" w:rsidRPr="009A2496" w:rsidRDefault="009A2496" w:rsidP="00EE7888">
      <w:pPr>
        <w:spacing w:after="0" w:line="240" w:lineRule="auto"/>
        <w:ind w:left="284"/>
        <w:rPr>
          <w:rFonts w:eastAsia="Times New Roman" w:cs="Times New Roman"/>
          <w:lang w:eastAsia="es-CO"/>
        </w:rPr>
      </w:pPr>
      <w:r w:rsidRPr="009A2496">
        <w:rPr>
          <w:rFonts w:eastAsia="Times New Roman" w:cs="Times New Roman"/>
          <w:lang w:eastAsia="es-CO"/>
        </w:rPr>
        <w:t>Proyecto: Atención y Orientación a Población Victima de la</w:t>
      </w:r>
      <w:r w:rsidR="00EE7888">
        <w:rPr>
          <w:rFonts w:eastAsia="Times New Roman" w:cs="Times New Roman"/>
          <w:lang w:eastAsia="es-CO"/>
        </w:rPr>
        <w:t xml:space="preserve"> Violencia del Conflicto Armado </w:t>
      </w:r>
      <w:r w:rsidRPr="009A2496">
        <w:rPr>
          <w:rFonts w:eastAsia="Times New Roman" w:cs="Times New Roman"/>
          <w:lang w:eastAsia="es-CO"/>
        </w:rPr>
        <w:t>Municipio de Pasto radicado 20145200110163 de diciembre de 2014.</w:t>
      </w:r>
    </w:p>
    <w:p w:rsidR="009A2496" w:rsidRPr="009A2496" w:rsidRDefault="009A2496" w:rsidP="00A92D87">
      <w:pPr>
        <w:spacing w:after="0" w:line="240" w:lineRule="auto"/>
        <w:jc w:val="both"/>
        <w:rPr>
          <w:rFonts w:eastAsia="Times New Roman" w:cs="Times New Roman"/>
          <w:lang w:eastAsia="es-CO"/>
        </w:rPr>
      </w:pPr>
    </w:p>
    <w:p w:rsidR="009A2496" w:rsidRPr="009A2496" w:rsidRDefault="009A2496" w:rsidP="00EE7888">
      <w:pPr>
        <w:spacing w:after="0" w:line="240" w:lineRule="auto"/>
        <w:ind w:left="284"/>
        <w:jc w:val="both"/>
        <w:rPr>
          <w:rFonts w:cs="Arial"/>
        </w:rPr>
      </w:pPr>
      <w:r w:rsidRPr="009A2496">
        <w:rPr>
          <w:rFonts w:eastAsia="Times New Roman" w:cs="Times New Roman"/>
          <w:lang w:eastAsia="es-CO"/>
        </w:rPr>
        <w:t xml:space="preserve">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w:t>
      </w:r>
      <w:r w:rsidRPr="009A2496">
        <w:rPr>
          <w:rFonts w:cs="Arial"/>
        </w:rPr>
        <w:t xml:space="preserve">cuando una persona acude a </w:t>
      </w:r>
      <w:r w:rsidRPr="009A2496">
        <w:rPr>
          <w:rFonts w:cs="Arial"/>
        </w:rPr>
        <w:lastRenderedPageBreak/>
        <w:t xml:space="preserve">este Municipio por primera vez, es atendida por una funcionaria profesional en el área de psicología, la cual orienta  a la población en una primera fase denominada </w:t>
      </w:r>
      <w:r w:rsidRPr="009A2496">
        <w:rPr>
          <w:rFonts w:cs="Arial"/>
          <w:i/>
        </w:rPr>
        <w:t>“etapa de crisis”</w:t>
      </w:r>
      <w:r w:rsidRPr="009A2496">
        <w:rPr>
          <w:rFonts w:cs="Arial"/>
        </w:rPr>
        <w:t>,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A2496" w:rsidRPr="009A2496" w:rsidRDefault="009A2496" w:rsidP="00A92D87">
      <w:pPr>
        <w:spacing w:after="0" w:line="240" w:lineRule="auto"/>
        <w:jc w:val="both"/>
        <w:rPr>
          <w:rFonts w:cs="Arial"/>
        </w:rPr>
      </w:pPr>
    </w:p>
    <w:p w:rsidR="009A2496" w:rsidRPr="009A2496" w:rsidRDefault="009A2496" w:rsidP="00EE7888">
      <w:pPr>
        <w:spacing w:after="0" w:line="240" w:lineRule="auto"/>
        <w:ind w:left="284"/>
        <w:jc w:val="both"/>
        <w:rPr>
          <w:rFonts w:eastAsia="Arial Unicode MS" w:cs="Arial"/>
        </w:rPr>
      </w:pPr>
      <w:r w:rsidRPr="009A2496">
        <w:rPr>
          <w:rFonts w:cs="Arial"/>
        </w:rPr>
        <w:t xml:space="preserve">La Alcaldía de Pasto interviene brindando una </w:t>
      </w:r>
      <w:r w:rsidRPr="009A2496">
        <w:rPr>
          <w:rFonts w:cs="Arial"/>
          <w:b/>
        </w:rPr>
        <w:t>AYUDA HUMANITARIA INMEDIATA</w:t>
      </w:r>
      <w:r w:rsidRPr="009A2496">
        <w:rPr>
          <w:rFonts w:cs="Arial"/>
        </w:rPr>
        <w:t>, la cual es entregada al núcleo familiar, en los términos preceptuados en el</w:t>
      </w:r>
      <w:r w:rsidRPr="009A2496">
        <w:rPr>
          <w:rFonts w:eastAsia="Arial Unicode MS" w:cs="Arial"/>
        </w:rPr>
        <w:t xml:space="preserve"> artículo 108 del </w:t>
      </w:r>
      <w:r w:rsidRPr="009A2496">
        <w:rPr>
          <w:rFonts w:cs="Arial"/>
        </w:rPr>
        <w:t>D</w:t>
      </w:r>
      <w:r w:rsidRPr="009A2496">
        <w:rPr>
          <w:rFonts w:eastAsia="Arial Unicode MS" w:cs="Arial"/>
        </w:rPr>
        <w:t xml:space="preserve">ecreto 4800 de 2011, el cual textualmente  preceptúa: </w:t>
      </w:r>
    </w:p>
    <w:p w:rsidR="009A2496" w:rsidRPr="009A2496" w:rsidRDefault="009A2496" w:rsidP="00A92D87">
      <w:pPr>
        <w:numPr>
          <w:ilvl w:val="0"/>
          <w:numId w:val="31"/>
        </w:numPr>
        <w:autoSpaceDE w:val="0"/>
        <w:autoSpaceDN w:val="0"/>
        <w:adjustRightInd w:val="0"/>
        <w:spacing w:after="0" w:line="240" w:lineRule="auto"/>
        <w:rPr>
          <w:rFonts w:cs="Arial"/>
          <w:color w:val="000000"/>
        </w:rPr>
      </w:pPr>
    </w:p>
    <w:p w:rsidR="009A2496" w:rsidRPr="009A2496" w:rsidRDefault="009A2496" w:rsidP="00EE7888">
      <w:pPr>
        <w:autoSpaceDE w:val="0"/>
        <w:autoSpaceDN w:val="0"/>
        <w:adjustRightInd w:val="0"/>
        <w:spacing w:after="0" w:line="240" w:lineRule="auto"/>
        <w:ind w:left="284"/>
        <w:jc w:val="both"/>
        <w:rPr>
          <w:rFonts w:cs="Arial"/>
          <w:u w:val="single"/>
        </w:rPr>
      </w:pPr>
      <w:r w:rsidRPr="009A2496">
        <w:rPr>
          <w:rFonts w:cs="Arial"/>
        </w:rPr>
        <w:t>“</w:t>
      </w:r>
      <w:r w:rsidRPr="009A2496">
        <w:rPr>
          <w:rFonts w:cs="Arial"/>
          <w:u w:val="single"/>
        </w:rPr>
        <w:t>La entidad territorial receptora</w:t>
      </w:r>
      <w:r w:rsidRPr="009A2496">
        <w:rPr>
          <w:rFonts w:cs="Arial"/>
        </w:rPr>
        <w:t xml:space="preserve"> de la población víctima de desplazamiento, debe garantizar los componentes de alimentación, artículos de aseo, manejo de abastecimientos, utensilios de cocina y alojamiento transitorio, </w:t>
      </w:r>
      <w:r w:rsidRPr="009A2496">
        <w:rPr>
          <w:rFonts w:cs="Arial"/>
          <w:u w:val="single"/>
        </w:rPr>
        <w:t xml:space="preserve">mientras se realiza el trámite de inscripción en el Registro Único de Víctimas. </w:t>
      </w:r>
    </w:p>
    <w:p w:rsidR="009A2496" w:rsidRPr="009A2496" w:rsidRDefault="009A2496" w:rsidP="00A92D87">
      <w:pPr>
        <w:numPr>
          <w:ilvl w:val="0"/>
          <w:numId w:val="31"/>
        </w:numPr>
        <w:autoSpaceDE w:val="0"/>
        <w:autoSpaceDN w:val="0"/>
        <w:adjustRightInd w:val="0"/>
        <w:spacing w:after="0" w:line="240" w:lineRule="auto"/>
        <w:rPr>
          <w:rFonts w:cs="Arial"/>
          <w:color w:val="000000"/>
        </w:rPr>
      </w:pPr>
    </w:p>
    <w:p w:rsidR="009A2496" w:rsidRPr="009A2496" w:rsidRDefault="009A2496" w:rsidP="00EE7888">
      <w:pPr>
        <w:autoSpaceDE w:val="0"/>
        <w:autoSpaceDN w:val="0"/>
        <w:adjustRightInd w:val="0"/>
        <w:spacing w:after="0" w:line="240" w:lineRule="auto"/>
        <w:ind w:left="284"/>
        <w:jc w:val="both"/>
        <w:rPr>
          <w:rFonts w:cs="Arial"/>
        </w:rPr>
      </w:pPr>
      <w:r w:rsidRPr="009A2496">
        <w:rPr>
          <w:rFonts w:cs="Arial"/>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A2496" w:rsidRPr="009A2496" w:rsidRDefault="009A2496" w:rsidP="00A92D87">
      <w:pPr>
        <w:numPr>
          <w:ilvl w:val="0"/>
          <w:numId w:val="31"/>
        </w:numPr>
        <w:autoSpaceDE w:val="0"/>
        <w:autoSpaceDN w:val="0"/>
        <w:adjustRightInd w:val="0"/>
        <w:spacing w:after="0" w:line="240" w:lineRule="auto"/>
        <w:rPr>
          <w:rFonts w:cs="Arial"/>
          <w:color w:val="000000"/>
        </w:rPr>
      </w:pPr>
    </w:p>
    <w:p w:rsidR="009A2496" w:rsidRPr="009A2496" w:rsidRDefault="009A2496" w:rsidP="00A92D87">
      <w:pPr>
        <w:numPr>
          <w:ilvl w:val="0"/>
          <w:numId w:val="33"/>
        </w:numPr>
        <w:autoSpaceDE w:val="0"/>
        <w:autoSpaceDN w:val="0"/>
        <w:adjustRightInd w:val="0"/>
        <w:spacing w:after="0" w:line="240" w:lineRule="auto"/>
        <w:ind w:left="360"/>
        <w:jc w:val="both"/>
        <w:rPr>
          <w:rFonts w:cs="Arial"/>
        </w:rPr>
      </w:pPr>
      <w:r w:rsidRPr="009A2496">
        <w:rPr>
          <w:rFonts w:cs="Arial"/>
        </w:rPr>
        <w:t xml:space="preserve">Asistencia Alimentaria: alimentación en especie, auxilios monetarios, medios canjeables restringidos o estrategias de comida servida garantizando los mínimos nutricionales de la totalidad de los miembros del hogar. </w:t>
      </w:r>
    </w:p>
    <w:p w:rsidR="009A2496" w:rsidRPr="009A2496" w:rsidRDefault="009A2496" w:rsidP="00A92D87">
      <w:pPr>
        <w:numPr>
          <w:ilvl w:val="0"/>
          <w:numId w:val="31"/>
        </w:numPr>
        <w:autoSpaceDE w:val="0"/>
        <w:autoSpaceDN w:val="0"/>
        <w:adjustRightInd w:val="0"/>
        <w:spacing w:after="0" w:line="240" w:lineRule="auto"/>
        <w:jc w:val="both"/>
        <w:rPr>
          <w:rFonts w:cs="Arial"/>
        </w:rPr>
      </w:pPr>
    </w:p>
    <w:p w:rsidR="009A2496" w:rsidRPr="009A2496" w:rsidRDefault="009A2496" w:rsidP="00A92D87">
      <w:pPr>
        <w:numPr>
          <w:ilvl w:val="0"/>
          <w:numId w:val="33"/>
        </w:numPr>
        <w:autoSpaceDE w:val="0"/>
        <w:autoSpaceDN w:val="0"/>
        <w:adjustRightInd w:val="0"/>
        <w:spacing w:after="0" w:line="240" w:lineRule="auto"/>
        <w:ind w:left="360"/>
        <w:jc w:val="both"/>
        <w:rPr>
          <w:rFonts w:cs="Arial"/>
        </w:rPr>
      </w:pPr>
      <w:r w:rsidRPr="009A2496">
        <w:rPr>
          <w:rFonts w:cs="Arial"/>
        </w:rPr>
        <w:t xml:space="preserve">Alojamiento Digno: auxilios monetarios, convenios de alojamiento con particulares o construcción de modalidades de </w:t>
      </w:r>
      <w:r w:rsidRPr="009A2496">
        <w:rPr>
          <w:rFonts w:cs="Arial"/>
          <w:u w:val="single"/>
        </w:rPr>
        <w:t>alojamiento temporal con los mínimos de habitabilidad</w:t>
      </w:r>
      <w:r w:rsidRPr="009A2496">
        <w:rPr>
          <w:rFonts w:cs="Arial"/>
        </w:rPr>
        <w:t xml:space="preserve"> y seguridad integral requeridos”. </w:t>
      </w:r>
    </w:p>
    <w:p w:rsidR="009A2496" w:rsidRPr="009A2496" w:rsidRDefault="009A2496" w:rsidP="00A92D87">
      <w:pPr>
        <w:numPr>
          <w:ilvl w:val="0"/>
          <w:numId w:val="31"/>
        </w:numPr>
        <w:autoSpaceDE w:val="0"/>
        <w:autoSpaceDN w:val="0"/>
        <w:adjustRightInd w:val="0"/>
        <w:spacing w:after="0" w:line="240" w:lineRule="auto"/>
        <w:jc w:val="both"/>
        <w:rPr>
          <w:rFonts w:cs="Arial"/>
        </w:rPr>
      </w:pPr>
    </w:p>
    <w:p w:rsidR="009A2496" w:rsidRPr="009A2496" w:rsidRDefault="009A2496" w:rsidP="00EE7888">
      <w:pPr>
        <w:spacing w:after="0" w:line="240" w:lineRule="auto"/>
        <w:ind w:left="360"/>
        <w:jc w:val="both"/>
        <w:rPr>
          <w:rFonts w:eastAsia="Arial Unicode MS" w:cs="Arial"/>
          <w:b/>
          <w:u w:val="single"/>
        </w:rPr>
      </w:pPr>
      <w:r w:rsidRPr="009A2496">
        <w:rPr>
          <w:rFonts w:eastAsia="Arial Unicode MS" w:cs="Arial"/>
        </w:rPr>
        <w:t xml:space="preserve">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w:t>
      </w:r>
      <w:r w:rsidRPr="009A2496">
        <w:rPr>
          <w:rFonts w:eastAsia="Arial Unicode MS" w:cs="Arial"/>
          <w:b/>
        </w:rPr>
        <w:t xml:space="preserve">AYUDA HUMANITARIA INMEDIATA E INTEGRAL, </w:t>
      </w:r>
      <w:r w:rsidRPr="009A2496">
        <w:rPr>
          <w:rFonts w:eastAsia="Arial Unicode MS" w:cs="Arial"/>
          <w:b/>
          <w:u w:val="single"/>
        </w:rPr>
        <w:t>hasta tanto se decida sobre la inscripción de la persona en el Registro Único de Victimas.</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b/>
          <w:lang w:eastAsia="es-CO"/>
        </w:rPr>
      </w:pPr>
      <w:r w:rsidRPr="009A2496">
        <w:rPr>
          <w:rFonts w:eastAsia="Times New Roman" w:cs="Times New Roman"/>
          <w:b/>
          <w:lang w:eastAsia="es-CO"/>
        </w:rPr>
        <w:t xml:space="preserve">Productos: </w:t>
      </w: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La atención humanitaria a Victimas NNA del conflicto armado de Colombia se realiza por demanda y de acuerdo a la dinámica del conflicto armado.</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Resultados al término de la gestión  (2012 -2014):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EE7888">
      <w:pPr>
        <w:spacing w:line="240" w:lineRule="auto"/>
        <w:ind w:left="284"/>
        <w:jc w:val="both"/>
      </w:pPr>
      <w:r w:rsidRPr="009A2496">
        <w:t xml:space="preserve">Se atendieron a la totalidad de población de NNA víctimas del conflicto armado que requirieron atención y orientación dentro de la etapa inmediata de atención. </w:t>
      </w: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Impacto: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Cobertura de las necesidades básicas (pañales, ropa, leche, cobijas) a través de la oficina de Bienestar Social</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Educación garantizada</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Subsidios en libros, textos y útiles escolares desde la Secretaria de Educación Municipal.</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Salud garantizada</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Acceso a una educación superior  de más fácil acceso.</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Espacios para crear y desarrollar un proyecto de vida.</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Actividades en las Instituciones Educativas que permitan disminuir la discriminación, el matoneo o el acoso a NNA por ser víctimas</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Cursos de aprendizaje en el SENA con más facilidad en su acceso o prioridad.</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Generar espacios deportivos de aprendizaje, en diferentes áreas basadas en las habilidades de los niños, niñas y adolescentes con Secretaria de Cultura.</w:t>
      </w:r>
    </w:p>
    <w:p w:rsidR="009A2496" w:rsidRPr="009A2496" w:rsidRDefault="009A2496" w:rsidP="00A92D87">
      <w:pPr>
        <w:numPr>
          <w:ilvl w:val="0"/>
          <w:numId w:val="32"/>
        </w:numPr>
        <w:spacing w:after="0" w:line="240" w:lineRule="auto"/>
        <w:contextualSpacing/>
        <w:jc w:val="both"/>
        <w:rPr>
          <w:rFonts w:eastAsia="Times New Roman" w:cs="Calibri"/>
          <w:color w:val="000000"/>
          <w:lang w:eastAsia="es-CO"/>
        </w:rPr>
      </w:pPr>
      <w:r w:rsidRPr="009A2496">
        <w:rPr>
          <w:rFonts w:eastAsia="Times New Roman" w:cs="Calibri"/>
          <w:color w:val="000000"/>
          <w:lang w:eastAsia="es-CO"/>
        </w:rPr>
        <w:t>Subsidio  para  jóvenes víctimas que ingresen a la universidad, en articulación con DPS</w:t>
      </w:r>
    </w:p>
    <w:p w:rsidR="009A2496" w:rsidRPr="009A2496" w:rsidRDefault="009A2496" w:rsidP="00A92D87">
      <w:pPr>
        <w:numPr>
          <w:ilvl w:val="0"/>
          <w:numId w:val="32"/>
        </w:numPr>
        <w:spacing w:after="0" w:line="240" w:lineRule="auto"/>
        <w:contextualSpacing/>
        <w:jc w:val="both"/>
        <w:rPr>
          <w:rFonts w:eastAsia="Times New Roman" w:cs="Times New Roman"/>
          <w:lang w:eastAsia="es-CO"/>
        </w:rPr>
      </w:pPr>
      <w:r w:rsidRPr="009A2496">
        <w:rPr>
          <w:rFonts w:eastAsia="Times New Roman" w:cs="Calibri"/>
          <w:color w:val="000000"/>
          <w:lang w:eastAsia="es-CO"/>
        </w:rPr>
        <w:t>Cumplimiento en las medidas de atención prioritaria en lugares como Banco Agrario UAO y EPS.</w:t>
      </w:r>
    </w:p>
    <w:p w:rsidR="009A2496" w:rsidRPr="009A2496" w:rsidRDefault="009A2496" w:rsidP="00A92D87">
      <w:pPr>
        <w:spacing w:line="240" w:lineRule="auto"/>
        <w:jc w:val="both"/>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Prioridades</w:t>
      </w:r>
    </w:p>
    <w:p w:rsidR="009A2496" w:rsidRPr="009A2496" w:rsidRDefault="009A2496" w:rsidP="00EE7888">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En el periodo analizado 2012- 2014 se evidencia que las edades de mayor vulneración de Derechos a la Protección de NNA se presentó en las comprendidas de los 0 – 5 años y de los 6 a los 11 años en el periodo comprendido en el año 2012 con un número total de víctimas atendidas de 162 menores entre las edades anteriormente relacionadas.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Recomendaciones</w:t>
      </w:r>
    </w:p>
    <w:p w:rsidR="009A2496" w:rsidRPr="009A2496" w:rsidRDefault="009A2496" w:rsidP="00EE7888">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9A2496" w:rsidRPr="009A2496" w:rsidRDefault="009A2496" w:rsidP="00A92D87">
      <w:pPr>
        <w:spacing w:line="240" w:lineRule="auto"/>
        <w:jc w:val="both"/>
      </w:pPr>
    </w:p>
    <w:p w:rsidR="009A2496" w:rsidRPr="009A2496" w:rsidRDefault="009A2496"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9A2496">
        <w:rPr>
          <w:b/>
          <w:i/>
          <w:iCs/>
        </w:rPr>
        <w:lastRenderedPageBreak/>
        <w:t>DESCRIPCIÓN DEL INDICADOR No. 88</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cnfStyle w:val="100000000000"/>
          <w:trHeight w:val="579"/>
          <w:jc w:val="center"/>
        </w:trPr>
        <w:tc>
          <w:tcPr>
            <w:cnfStyle w:val="001000000000"/>
            <w:tcW w:w="8828" w:type="dxa"/>
            <w:tcBorders>
              <w:top w:val="none" w:sz="0" w:space="0" w:color="auto"/>
              <w:bottom w:val="none" w:sz="0" w:space="0" w:color="auto"/>
            </w:tcBorders>
          </w:tcPr>
          <w:p w:rsidR="009A2496" w:rsidRPr="009A2496" w:rsidRDefault="009A2496" w:rsidP="00A92D87">
            <w:r w:rsidRPr="009A2496">
              <w:t>MUNICIPIO:  PASTO</w:t>
            </w:r>
          </w:p>
        </w:tc>
      </w:tr>
      <w:tr w:rsidR="009A2496" w:rsidRPr="009A2496" w:rsidTr="00000F81">
        <w:trPr>
          <w:cnfStyle w:val="000000100000"/>
          <w:trHeight w:val="579"/>
          <w:jc w:val="center"/>
        </w:trPr>
        <w:tc>
          <w:tcPr>
            <w:cnfStyle w:val="001000000000"/>
            <w:tcW w:w="8828" w:type="dxa"/>
          </w:tcPr>
          <w:p w:rsidR="009A2496" w:rsidRPr="009A2496" w:rsidRDefault="009A2496" w:rsidP="00A92D87">
            <w:r w:rsidRPr="009A2496">
              <w:t>Nombre del indicador: Porcentaje de niñas, niños y adolescentes víctimas del desplazamiento forzado (Especificar si se trata de territorios expulsores)</w:t>
            </w:r>
          </w:p>
        </w:tc>
      </w:tr>
      <w:tr w:rsidR="009A2496" w:rsidRPr="009A2496" w:rsidTr="00000F81">
        <w:trPr>
          <w:trHeight w:val="332"/>
          <w:jc w:val="center"/>
        </w:trPr>
        <w:tc>
          <w:tcPr>
            <w:cnfStyle w:val="001000000000"/>
            <w:tcW w:w="8828" w:type="dxa"/>
          </w:tcPr>
          <w:p w:rsidR="009A2496" w:rsidRPr="009A2496" w:rsidRDefault="009A2496" w:rsidP="00A92D87">
            <w:r w:rsidRPr="009A2496">
              <w:t xml:space="preserve">Fuente Nacional: </w:t>
            </w:r>
          </w:p>
          <w:p w:rsidR="009A2496" w:rsidRPr="009A2496" w:rsidRDefault="009A2496" w:rsidP="00A92D87">
            <w:r w:rsidRPr="009A2496">
              <w:t>Otra Fuente: UNIDAD DE VICTIMAS Y RED NACIONAL DE INFORMACION</w:t>
            </w:r>
          </w:p>
        </w:tc>
      </w:tr>
      <w:tr w:rsidR="009A2496" w:rsidRPr="009A2496" w:rsidTr="00000F81">
        <w:trPr>
          <w:cnfStyle w:val="000000100000"/>
          <w:trHeight w:val="458"/>
          <w:jc w:val="center"/>
        </w:trPr>
        <w:tc>
          <w:tcPr>
            <w:cnfStyle w:val="001000000000"/>
            <w:tcW w:w="8828" w:type="dxa"/>
          </w:tcPr>
          <w:p w:rsidR="009A2496" w:rsidRPr="009A2496" w:rsidRDefault="009A2496" w:rsidP="00A92D87">
            <w:r w:rsidRPr="009A2496">
              <w:t>Categoría de derechos: DERECHO A LA PROTECCION</w:t>
            </w:r>
          </w:p>
        </w:tc>
      </w:tr>
      <w:tr w:rsidR="009A2496" w:rsidRPr="009A2496" w:rsidTr="00000F81">
        <w:trPr>
          <w:trHeight w:val="458"/>
          <w:jc w:val="center"/>
        </w:trPr>
        <w:tc>
          <w:tcPr>
            <w:cnfStyle w:val="001000000000"/>
            <w:tcW w:w="8828" w:type="dxa"/>
          </w:tcPr>
          <w:p w:rsidR="009A2496" w:rsidRPr="009A2496" w:rsidRDefault="009A2496" w:rsidP="00A92D87">
            <w:r w:rsidRPr="009A2496">
              <w:t>Metodología: Análisis de la información a partir de la cadena de resultados</w:t>
            </w:r>
          </w:p>
        </w:tc>
      </w:tr>
    </w:tbl>
    <w:p w:rsidR="009A2496" w:rsidRPr="009A2496" w:rsidRDefault="009A2496" w:rsidP="00DF63E8">
      <w:pPr>
        <w:numPr>
          <w:ilvl w:val="0"/>
          <w:numId w:val="41"/>
        </w:numPr>
        <w:spacing w:after="0" w:line="240" w:lineRule="auto"/>
        <w:ind w:left="644"/>
        <w:contextualSpacing/>
        <w:rPr>
          <w:rFonts w:eastAsia="Times New Roman" w:cs="Times New Roman"/>
          <w:b/>
          <w:lang w:eastAsia="es-CO"/>
        </w:rPr>
      </w:pPr>
      <w:r w:rsidRPr="009A2496">
        <w:rPr>
          <w:rFonts w:eastAsia="Times New Roman" w:cs="Times New Roman"/>
          <w:b/>
          <w:lang w:eastAsia="es-CO"/>
        </w:rPr>
        <w:t>Información estadística</w:t>
      </w:r>
    </w:p>
    <w:p w:rsidR="009A2496" w:rsidRPr="009A2496" w:rsidRDefault="009A2496"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9A2496" w:rsidRPr="009A2496" w:rsidTr="00000F81">
        <w:tc>
          <w:tcPr>
            <w:tcW w:w="2196" w:type="dxa"/>
          </w:tcPr>
          <w:p w:rsidR="009A2496" w:rsidRPr="009A2496" w:rsidRDefault="009A2496" w:rsidP="00A92D87">
            <w:pPr>
              <w:jc w:val="center"/>
              <w:rPr>
                <w:b/>
              </w:rPr>
            </w:pPr>
            <w:r w:rsidRPr="009A2496">
              <w:rPr>
                <w:b/>
              </w:rPr>
              <w:t>Indicador</w:t>
            </w:r>
          </w:p>
        </w:tc>
        <w:tc>
          <w:tcPr>
            <w:tcW w:w="1765" w:type="dxa"/>
          </w:tcPr>
          <w:p w:rsidR="009A2496" w:rsidRPr="009A2496" w:rsidRDefault="009A2496" w:rsidP="00A92D87">
            <w:pPr>
              <w:jc w:val="center"/>
              <w:rPr>
                <w:b/>
              </w:rPr>
            </w:pPr>
            <w:r w:rsidRPr="009A2496">
              <w:rPr>
                <w:b/>
              </w:rPr>
              <w:t>2011</w:t>
            </w:r>
          </w:p>
        </w:tc>
        <w:tc>
          <w:tcPr>
            <w:tcW w:w="1766" w:type="dxa"/>
          </w:tcPr>
          <w:p w:rsidR="009A2496" w:rsidRPr="009A2496" w:rsidRDefault="009A2496" w:rsidP="00A92D87">
            <w:pPr>
              <w:jc w:val="center"/>
              <w:rPr>
                <w:b/>
              </w:rPr>
            </w:pPr>
            <w:r w:rsidRPr="009A2496">
              <w:rPr>
                <w:b/>
              </w:rPr>
              <w:t>2012</w:t>
            </w:r>
          </w:p>
        </w:tc>
        <w:tc>
          <w:tcPr>
            <w:tcW w:w="1766" w:type="dxa"/>
          </w:tcPr>
          <w:p w:rsidR="009A2496" w:rsidRPr="009A2496" w:rsidRDefault="009A2496" w:rsidP="00A92D87">
            <w:pPr>
              <w:jc w:val="center"/>
              <w:rPr>
                <w:b/>
              </w:rPr>
            </w:pPr>
            <w:r w:rsidRPr="009A2496">
              <w:rPr>
                <w:b/>
              </w:rPr>
              <w:t>2013</w:t>
            </w:r>
          </w:p>
        </w:tc>
        <w:tc>
          <w:tcPr>
            <w:tcW w:w="1766" w:type="dxa"/>
          </w:tcPr>
          <w:p w:rsidR="009A2496" w:rsidRPr="009A2496" w:rsidRDefault="009A2496" w:rsidP="00A92D87">
            <w:pPr>
              <w:jc w:val="center"/>
              <w:rPr>
                <w:b/>
              </w:rPr>
            </w:pPr>
            <w:r w:rsidRPr="009A2496">
              <w:rPr>
                <w:b/>
              </w:rPr>
              <w:t>2014</w:t>
            </w:r>
          </w:p>
        </w:tc>
      </w:tr>
      <w:tr w:rsidR="009A2496" w:rsidRPr="009A2496" w:rsidTr="00000F81">
        <w:tc>
          <w:tcPr>
            <w:tcW w:w="2196" w:type="dxa"/>
          </w:tcPr>
          <w:p w:rsidR="009A2496" w:rsidRPr="009A2496" w:rsidRDefault="009A2496" w:rsidP="00A92D87">
            <w:r w:rsidRPr="009A2496">
              <w:t>Porcentaje de niñas, niños y adolescentes víctimas del desplazamiento forzado (Especificar si se trata de territorios expulsores)</w:t>
            </w:r>
          </w:p>
        </w:tc>
        <w:tc>
          <w:tcPr>
            <w:tcW w:w="1765" w:type="dxa"/>
          </w:tcPr>
          <w:p w:rsidR="009A2496" w:rsidRPr="009A2496" w:rsidRDefault="009A2496" w:rsidP="00A92D87">
            <w:pPr>
              <w:jc w:val="center"/>
            </w:pPr>
          </w:p>
        </w:tc>
        <w:tc>
          <w:tcPr>
            <w:tcW w:w="1766" w:type="dxa"/>
          </w:tcPr>
          <w:p w:rsidR="009A2496" w:rsidRPr="009A2496" w:rsidRDefault="009A2496" w:rsidP="00A92D87">
            <w:pPr>
              <w:jc w:val="center"/>
            </w:pPr>
          </w:p>
          <w:p w:rsidR="009A2496" w:rsidRPr="009A2496" w:rsidRDefault="009A2496" w:rsidP="00A92D87">
            <w:pPr>
              <w:jc w:val="center"/>
            </w:pPr>
            <w:r w:rsidRPr="009A2496">
              <w:t>91.53</w:t>
            </w:r>
          </w:p>
          <w:p w:rsidR="009A2496" w:rsidRPr="009A2496" w:rsidRDefault="009A2496" w:rsidP="00A92D87">
            <w:pPr>
              <w:jc w:val="center"/>
            </w:pPr>
            <w:r w:rsidRPr="009A2496">
              <w:t>94.03</w:t>
            </w:r>
          </w:p>
          <w:p w:rsidR="009A2496" w:rsidRPr="009A2496" w:rsidRDefault="009A2496" w:rsidP="00A92D87">
            <w:pPr>
              <w:jc w:val="center"/>
            </w:pPr>
            <w:r w:rsidRPr="009A2496">
              <w:t>90</w:t>
            </w:r>
          </w:p>
        </w:tc>
        <w:tc>
          <w:tcPr>
            <w:tcW w:w="1766" w:type="dxa"/>
          </w:tcPr>
          <w:p w:rsidR="009A2496" w:rsidRPr="009A2496" w:rsidRDefault="009A2496" w:rsidP="00A92D87">
            <w:pPr>
              <w:jc w:val="center"/>
            </w:pPr>
          </w:p>
          <w:p w:rsidR="009A2496" w:rsidRPr="009A2496" w:rsidRDefault="009A2496" w:rsidP="00A92D87">
            <w:pPr>
              <w:jc w:val="center"/>
            </w:pPr>
            <w:r w:rsidRPr="009A2496">
              <w:t>87,04</w:t>
            </w:r>
          </w:p>
          <w:p w:rsidR="009A2496" w:rsidRPr="009A2496" w:rsidRDefault="009A2496" w:rsidP="00A92D87">
            <w:pPr>
              <w:jc w:val="center"/>
            </w:pPr>
            <w:r w:rsidRPr="009A2496">
              <w:t>94,87</w:t>
            </w:r>
          </w:p>
          <w:p w:rsidR="009A2496" w:rsidRPr="009A2496" w:rsidRDefault="009A2496" w:rsidP="00A92D87">
            <w:pPr>
              <w:jc w:val="center"/>
            </w:pPr>
            <w:r w:rsidRPr="009A2496">
              <w:t>91,67</w:t>
            </w:r>
          </w:p>
        </w:tc>
        <w:tc>
          <w:tcPr>
            <w:tcW w:w="1766" w:type="dxa"/>
          </w:tcPr>
          <w:p w:rsidR="009A2496" w:rsidRPr="009A2496" w:rsidRDefault="009A2496" w:rsidP="00A92D87">
            <w:pPr>
              <w:jc w:val="center"/>
            </w:pPr>
          </w:p>
          <w:p w:rsidR="009A2496" w:rsidRPr="009A2496" w:rsidRDefault="009A2496" w:rsidP="00A92D87">
            <w:pPr>
              <w:jc w:val="center"/>
            </w:pPr>
            <w:r w:rsidRPr="009A2496">
              <w:t>94.29</w:t>
            </w:r>
          </w:p>
        </w:tc>
      </w:tr>
      <w:tr w:rsidR="009A2496" w:rsidRPr="009A2496" w:rsidTr="00000F81">
        <w:tc>
          <w:tcPr>
            <w:tcW w:w="9259" w:type="dxa"/>
            <w:gridSpan w:val="5"/>
          </w:tcPr>
          <w:p w:rsidR="009A2496" w:rsidRPr="009A2496" w:rsidRDefault="009A2496" w:rsidP="00A92D87">
            <w:pPr>
              <w:rPr>
                <w:b/>
              </w:rPr>
            </w:pPr>
            <w:r w:rsidRPr="009A2496">
              <w:rPr>
                <w:b/>
              </w:rPr>
              <w:t>Fuente y año:  UNIDAD DE VICTIMAS</w:t>
            </w:r>
          </w:p>
        </w:tc>
      </w:tr>
    </w:tbl>
    <w:p w:rsidR="009A2496" w:rsidRPr="009A2496" w:rsidRDefault="009A2496" w:rsidP="00A92D87">
      <w:pPr>
        <w:spacing w:line="240" w:lineRule="auto"/>
      </w:pPr>
    </w:p>
    <w:p w:rsidR="009A2496" w:rsidRPr="009A2496" w:rsidRDefault="009A2496" w:rsidP="00A92D87">
      <w:pPr>
        <w:spacing w:line="240" w:lineRule="auto"/>
        <w:rPr>
          <w:b/>
        </w:rPr>
      </w:pPr>
      <w:r w:rsidRPr="009A2496">
        <w:rPr>
          <w:b/>
        </w:rPr>
        <w:t xml:space="preserve">Gráfico: </w:t>
      </w:r>
    </w:p>
    <w:tbl>
      <w:tblPr>
        <w:tblW w:w="9498" w:type="dxa"/>
        <w:tblInd w:w="-497" w:type="dxa"/>
        <w:tblCellMar>
          <w:left w:w="70" w:type="dxa"/>
          <w:right w:w="70" w:type="dxa"/>
        </w:tblCellMar>
        <w:tblLook w:val="04A0"/>
      </w:tblPr>
      <w:tblGrid>
        <w:gridCol w:w="1707"/>
        <w:gridCol w:w="825"/>
        <w:gridCol w:w="1595"/>
        <w:gridCol w:w="1827"/>
        <w:gridCol w:w="1509"/>
        <w:gridCol w:w="2035"/>
      </w:tblGrid>
      <w:tr w:rsidR="009A2496" w:rsidRPr="009A2496" w:rsidTr="00000F81">
        <w:trPr>
          <w:trHeight w:val="615"/>
        </w:trPr>
        <w:tc>
          <w:tcPr>
            <w:tcW w:w="1707"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PERIODO</w:t>
            </w:r>
          </w:p>
        </w:tc>
        <w:tc>
          <w:tcPr>
            <w:tcW w:w="825"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CICLO VITAL</w:t>
            </w:r>
          </w:p>
        </w:tc>
        <w:tc>
          <w:tcPr>
            <w:tcW w:w="1595"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NUMERADOR</w:t>
            </w:r>
          </w:p>
        </w:tc>
        <w:tc>
          <w:tcPr>
            <w:tcW w:w="1827"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DENOMINADOR</w:t>
            </w:r>
          </w:p>
        </w:tc>
        <w:tc>
          <w:tcPr>
            <w:tcW w:w="1509"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RESULTADO</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2010</w:t>
            </w:r>
          </w:p>
        </w:tc>
        <w:tc>
          <w:tcPr>
            <w:tcW w:w="82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15</w:t>
            </w:r>
          </w:p>
        </w:tc>
        <w:tc>
          <w:tcPr>
            <w:tcW w:w="182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20</w:t>
            </w:r>
          </w:p>
        </w:tc>
        <w:tc>
          <w:tcPr>
            <w:tcW w:w="150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75</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59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28</w:t>
            </w:r>
          </w:p>
        </w:tc>
        <w:tc>
          <w:tcPr>
            <w:tcW w:w="182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33</w:t>
            </w:r>
          </w:p>
        </w:tc>
        <w:tc>
          <w:tcPr>
            <w:tcW w:w="150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84,85</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17</w:t>
            </w:r>
          </w:p>
        </w:tc>
        <w:tc>
          <w:tcPr>
            <w:tcW w:w="182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23</w:t>
            </w:r>
          </w:p>
        </w:tc>
        <w:tc>
          <w:tcPr>
            <w:tcW w:w="150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73,91</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2011</w:t>
            </w:r>
          </w:p>
        </w:tc>
        <w:tc>
          <w:tcPr>
            <w:tcW w:w="82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59</w:t>
            </w:r>
          </w:p>
        </w:tc>
        <w:tc>
          <w:tcPr>
            <w:tcW w:w="182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65</w:t>
            </w:r>
          </w:p>
        </w:tc>
        <w:tc>
          <w:tcPr>
            <w:tcW w:w="150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90,77</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59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46</w:t>
            </w:r>
          </w:p>
        </w:tc>
        <w:tc>
          <w:tcPr>
            <w:tcW w:w="182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49</w:t>
            </w:r>
          </w:p>
        </w:tc>
        <w:tc>
          <w:tcPr>
            <w:tcW w:w="150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93,88</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52</w:t>
            </w:r>
          </w:p>
        </w:tc>
        <w:tc>
          <w:tcPr>
            <w:tcW w:w="182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54</w:t>
            </w:r>
          </w:p>
        </w:tc>
        <w:tc>
          <w:tcPr>
            <w:tcW w:w="150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96,3</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2012</w:t>
            </w:r>
          </w:p>
        </w:tc>
        <w:tc>
          <w:tcPr>
            <w:tcW w:w="82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76</w:t>
            </w:r>
          </w:p>
        </w:tc>
        <w:tc>
          <w:tcPr>
            <w:tcW w:w="182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80</w:t>
            </w:r>
          </w:p>
        </w:tc>
        <w:tc>
          <w:tcPr>
            <w:tcW w:w="150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95</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06-11</w:t>
            </w:r>
          </w:p>
        </w:tc>
        <w:tc>
          <w:tcPr>
            <w:tcW w:w="159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74</w:t>
            </w:r>
          </w:p>
        </w:tc>
        <w:tc>
          <w:tcPr>
            <w:tcW w:w="182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82</w:t>
            </w:r>
          </w:p>
        </w:tc>
        <w:tc>
          <w:tcPr>
            <w:tcW w:w="150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90,24</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12-17</w:t>
            </w:r>
          </w:p>
        </w:tc>
        <w:tc>
          <w:tcPr>
            <w:tcW w:w="159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54</w:t>
            </w:r>
          </w:p>
        </w:tc>
        <w:tc>
          <w:tcPr>
            <w:tcW w:w="182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59</w:t>
            </w:r>
          </w:p>
        </w:tc>
        <w:tc>
          <w:tcPr>
            <w:tcW w:w="150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91,53</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2013</w:t>
            </w:r>
          </w:p>
        </w:tc>
        <w:tc>
          <w:tcPr>
            <w:tcW w:w="82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63</w:t>
            </w:r>
          </w:p>
        </w:tc>
        <w:tc>
          <w:tcPr>
            <w:tcW w:w="182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67</w:t>
            </w:r>
          </w:p>
        </w:tc>
        <w:tc>
          <w:tcPr>
            <w:tcW w:w="150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94,03</w:t>
            </w:r>
          </w:p>
        </w:tc>
        <w:tc>
          <w:tcPr>
            <w:tcW w:w="2035" w:type="dxa"/>
            <w:tcBorders>
              <w:top w:val="nil"/>
              <w:left w:val="nil"/>
              <w:bottom w:val="nil"/>
              <w:right w:val="nil"/>
            </w:tcBorders>
            <w:shd w:val="clear" w:color="000000" w:fill="FFFF00"/>
            <w:noWrap/>
            <w:vAlign w:val="bottom"/>
            <w:hideMark/>
          </w:tcPr>
          <w:p w:rsidR="009A2496" w:rsidRPr="009A2496" w:rsidRDefault="009A2496" w:rsidP="00A92D87">
            <w:pPr>
              <w:spacing w:after="0" w:line="240" w:lineRule="auto"/>
              <w:jc w:val="right"/>
              <w:rPr>
                <w:rFonts w:eastAsia="Times New Roman" w:cs="Times New Roman"/>
                <w:color w:val="000000"/>
                <w:lang w:eastAsia="es-CO"/>
              </w:rPr>
            </w:pPr>
            <w:r w:rsidRPr="009A2496">
              <w:rPr>
                <w:rFonts w:eastAsia="Times New Roman" w:cs="Times New Roman"/>
                <w:color w:val="000000"/>
                <w:lang w:eastAsia="es-CO"/>
              </w:rPr>
              <w:t>92,0744444</w:t>
            </w: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06-11</w:t>
            </w:r>
          </w:p>
        </w:tc>
        <w:tc>
          <w:tcPr>
            <w:tcW w:w="159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36</w:t>
            </w:r>
          </w:p>
        </w:tc>
        <w:tc>
          <w:tcPr>
            <w:tcW w:w="182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40</w:t>
            </w:r>
          </w:p>
        </w:tc>
        <w:tc>
          <w:tcPr>
            <w:tcW w:w="150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90</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47</w:t>
            </w:r>
          </w:p>
        </w:tc>
        <w:tc>
          <w:tcPr>
            <w:tcW w:w="182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54</w:t>
            </w:r>
          </w:p>
        </w:tc>
        <w:tc>
          <w:tcPr>
            <w:tcW w:w="150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87,04</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2014</w:t>
            </w:r>
          </w:p>
        </w:tc>
        <w:tc>
          <w:tcPr>
            <w:tcW w:w="82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37</w:t>
            </w:r>
          </w:p>
        </w:tc>
        <w:tc>
          <w:tcPr>
            <w:tcW w:w="182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39</w:t>
            </w:r>
          </w:p>
        </w:tc>
        <w:tc>
          <w:tcPr>
            <w:tcW w:w="150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94,87</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59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33</w:t>
            </w:r>
          </w:p>
        </w:tc>
        <w:tc>
          <w:tcPr>
            <w:tcW w:w="182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36</w:t>
            </w:r>
          </w:p>
        </w:tc>
        <w:tc>
          <w:tcPr>
            <w:tcW w:w="150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91,67</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33</w:t>
            </w:r>
          </w:p>
        </w:tc>
        <w:tc>
          <w:tcPr>
            <w:tcW w:w="182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35</w:t>
            </w:r>
          </w:p>
        </w:tc>
        <w:tc>
          <w:tcPr>
            <w:tcW w:w="150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94,29</w:t>
            </w:r>
          </w:p>
        </w:tc>
        <w:tc>
          <w:tcPr>
            <w:tcW w:w="2035"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bl>
    <w:p w:rsidR="009A2496" w:rsidRPr="009A2496" w:rsidRDefault="009A2496" w:rsidP="00A92D87">
      <w:pPr>
        <w:spacing w:line="240" w:lineRule="auto"/>
        <w:rPr>
          <w:b/>
        </w:rPr>
      </w:pPr>
    </w:p>
    <w:p w:rsidR="009A2496" w:rsidRPr="009A2496" w:rsidRDefault="009A2496" w:rsidP="00A92D87">
      <w:pPr>
        <w:spacing w:line="240" w:lineRule="auto"/>
        <w:rPr>
          <w:b/>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Situación detectada: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A causa del Conflicto Armado Colombiano, se ha evidenciado que se presenta un porcentaje de 92.07% de NNA victimas de desplazamiento forzado.</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jc w:val="both"/>
        <w:rPr>
          <w:rFonts w:eastAsia="Times New Roman" w:cs="Arial"/>
          <w:lang w:eastAsia="es-CO"/>
        </w:rPr>
      </w:pPr>
      <w:r w:rsidRPr="009A2496">
        <w:rPr>
          <w:rFonts w:eastAsia="Times New Roman" w:cs="Arial"/>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9A2496" w:rsidRPr="009A2496" w:rsidRDefault="009A2496" w:rsidP="00A92D87">
      <w:pPr>
        <w:spacing w:after="0" w:line="240" w:lineRule="auto"/>
        <w:jc w:val="both"/>
        <w:rPr>
          <w:rFonts w:eastAsia="Times New Roman" w:cs="Arial"/>
          <w:lang w:eastAsia="es-CO"/>
        </w:rPr>
      </w:pPr>
    </w:p>
    <w:p w:rsidR="009A2496" w:rsidRPr="009A2496" w:rsidRDefault="009A2496" w:rsidP="00A92D87">
      <w:pPr>
        <w:spacing w:after="0" w:line="240" w:lineRule="auto"/>
        <w:jc w:val="both"/>
        <w:rPr>
          <w:rFonts w:cs="Arial"/>
          <w:bCs/>
        </w:rPr>
      </w:pPr>
      <w:r w:rsidRPr="009A2496">
        <w:rPr>
          <w:rFonts w:cs="Arial"/>
        </w:rPr>
        <w:t xml:space="preserve">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w:t>
      </w:r>
      <w:r w:rsidRPr="009A2496">
        <w:rPr>
          <w:rFonts w:cs="Arial"/>
          <w:bCs/>
        </w:rPr>
        <w:t>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9A2496" w:rsidRPr="009A2496" w:rsidRDefault="009A2496" w:rsidP="00A92D87">
      <w:pPr>
        <w:spacing w:after="0" w:line="240" w:lineRule="auto"/>
        <w:jc w:val="both"/>
        <w:rPr>
          <w:rFonts w:cs="Arial"/>
        </w:rPr>
      </w:pPr>
    </w:p>
    <w:p w:rsidR="009A2496" w:rsidRPr="009A2496" w:rsidRDefault="009A2496" w:rsidP="00A92D87">
      <w:pPr>
        <w:spacing w:after="0" w:line="240" w:lineRule="auto"/>
        <w:jc w:val="both"/>
        <w:rPr>
          <w:rFonts w:eastAsia="Calibri" w:cs="Arial"/>
        </w:rPr>
      </w:pPr>
      <w:r w:rsidRPr="009A2496">
        <w:rPr>
          <w:rFonts w:cs="Arial"/>
        </w:rPr>
        <w:t xml:space="preserve">Es por ello que  </w:t>
      </w:r>
      <w:r w:rsidRPr="009A2496">
        <w:rPr>
          <w:rFonts w:eastAsia="Calibri" w:cs="Arial"/>
        </w:rPr>
        <w:t xml:space="preserve">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rPr>
          <w:rFonts w:eastAsia="Times New Roman" w:cs="Times New Roman"/>
          <w:b/>
          <w:lang w:eastAsia="es-CO"/>
        </w:rPr>
      </w:pPr>
      <w:r w:rsidRPr="009A2496">
        <w:rPr>
          <w:rFonts w:eastAsia="Times New Roman" w:cs="Times New Roman"/>
          <w:b/>
          <w:lang w:eastAsia="es-CO"/>
        </w:rPr>
        <w:t xml:space="preserve">Insumos: </w:t>
      </w: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Los datos aportados fueron suministrados por la Unidad para la Atención y Reparación Integral a las Victimas y la Red Nacional de Información.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El Programa atiende de manera oportuna y efectiva a la población desplazada y víctima del conflicto armado que necesita información y orientación de los diferentes programas implementados para su atención, para lo cual se dispone de personal de planta que atiende las </w:t>
      </w:r>
      <w:r w:rsidRPr="009A2496">
        <w:rPr>
          <w:rFonts w:eastAsia="Times New Roman" w:cs="Times New Roman"/>
          <w:lang w:eastAsia="es-CO"/>
        </w:rPr>
        <w:lastRenderedPageBreak/>
        <w:t>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9A2496" w:rsidRPr="009A2496" w:rsidRDefault="009A2496" w:rsidP="00A92D87">
      <w:pPr>
        <w:spacing w:after="0" w:line="240" w:lineRule="auto"/>
        <w:contextualSpacing/>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Programas, Proyectos y Acciones para mejorar la situación del indicador (2012 -2015):</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Programa: Articulo 74; Programa Atención a Víctimas de la Violencia del Conflicto Armado del Plan de Desarrollo Municipal de Pasto.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Proyecto: Atención y Orientación a Población Victima de la Violencia del Conflicto Armado- Municipio de Pasto radicado 20145200110163 de diciembre de 2014.</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1.</w:t>
      </w:r>
      <w:r w:rsidRPr="009A2496">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2.</w:t>
      </w:r>
      <w:r w:rsidRPr="009A2496">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b/>
          <w:lang w:eastAsia="es-CO"/>
        </w:rPr>
      </w:pPr>
      <w:r w:rsidRPr="009A2496">
        <w:rPr>
          <w:rFonts w:eastAsia="Times New Roman" w:cs="Times New Roman"/>
          <w:b/>
          <w:lang w:eastAsia="es-CO"/>
        </w:rPr>
        <w:t xml:space="preserve">Productos: </w:t>
      </w:r>
    </w:p>
    <w:p w:rsid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La atención humanitaria a Victimas NNA del conflicto armado de Colombia se realiza por demanda y de acuerdo a la dinámica del conflicto armado que existe en el mom</w:t>
      </w:r>
      <w:r w:rsidR="00EB7894" w:rsidRPr="001B34D0">
        <w:rPr>
          <w:rFonts w:eastAsia="Times New Roman" w:cs="Times New Roman"/>
          <w:lang w:eastAsia="es-CO"/>
        </w:rPr>
        <w:t>ento</w:t>
      </w:r>
      <w:r w:rsidR="002616FA">
        <w:rPr>
          <w:rFonts w:eastAsia="Times New Roman" w:cs="Times New Roman"/>
          <w:lang w:eastAsia="es-CO"/>
        </w:rPr>
        <w:t>.</w:t>
      </w:r>
    </w:p>
    <w:p w:rsidR="002616FA" w:rsidRPr="009A2496" w:rsidRDefault="002616FA"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Resultados al término de la gestión  (2012 -2014): </w:t>
      </w:r>
    </w:p>
    <w:p w:rsidR="009A2496" w:rsidRPr="009A2496" w:rsidRDefault="009A2496" w:rsidP="00A92D87">
      <w:pPr>
        <w:spacing w:line="240" w:lineRule="auto"/>
        <w:jc w:val="both"/>
      </w:pPr>
      <w:r w:rsidRPr="009A2496">
        <w:t>Se atendieron a la totalidad de población de NNA víctimas del desplazamiento forzado causado por el conflicto armado que requirieron atención y orientación dentro de la etapa inmediata de atención en las siguientes proporciones:</w:t>
      </w:r>
    </w:p>
    <w:p w:rsidR="009A2496" w:rsidRPr="009A2496" w:rsidRDefault="009A2496" w:rsidP="00A92D87">
      <w:pPr>
        <w:numPr>
          <w:ilvl w:val="0"/>
          <w:numId w:val="34"/>
        </w:numPr>
        <w:spacing w:after="0" w:line="240" w:lineRule="auto"/>
        <w:contextualSpacing/>
        <w:jc w:val="both"/>
        <w:rPr>
          <w:rFonts w:eastAsia="Times New Roman" w:cs="Times New Roman"/>
          <w:lang w:eastAsia="es-CO"/>
        </w:rPr>
      </w:pPr>
      <w:r w:rsidRPr="009A2496">
        <w:rPr>
          <w:rFonts w:eastAsia="Times New Roman" w:cs="Times New Roman"/>
          <w:lang w:eastAsia="es-CO"/>
        </w:rPr>
        <w:t>2012: 153 NNA</w:t>
      </w:r>
    </w:p>
    <w:p w:rsidR="009A2496" w:rsidRPr="009A2496" w:rsidRDefault="009A2496" w:rsidP="00A92D87">
      <w:pPr>
        <w:numPr>
          <w:ilvl w:val="0"/>
          <w:numId w:val="34"/>
        </w:numPr>
        <w:spacing w:after="0" w:line="240" w:lineRule="auto"/>
        <w:contextualSpacing/>
        <w:jc w:val="both"/>
        <w:rPr>
          <w:rFonts w:eastAsia="Times New Roman" w:cs="Times New Roman"/>
          <w:lang w:eastAsia="es-CO"/>
        </w:rPr>
      </w:pPr>
      <w:r w:rsidRPr="009A2496">
        <w:rPr>
          <w:rFonts w:eastAsia="Times New Roman" w:cs="Times New Roman"/>
          <w:lang w:eastAsia="es-CO"/>
        </w:rPr>
        <w:t>2013: 117 NNA</w:t>
      </w:r>
    </w:p>
    <w:p w:rsidR="009A2496" w:rsidRDefault="009A2496" w:rsidP="00A92D87">
      <w:pPr>
        <w:numPr>
          <w:ilvl w:val="0"/>
          <w:numId w:val="34"/>
        </w:numPr>
        <w:spacing w:after="0" w:line="240" w:lineRule="auto"/>
        <w:contextualSpacing/>
        <w:jc w:val="both"/>
        <w:rPr>
          <w:rFonts w:eastAsia="Times New Roman" w:cs="Times New Roman"/>
          <w:lang w:eastAsia="es-CO"/>
        </w:rPr>
      </w:pPr>
      <w:r w:rsidRPr="009A2496">
        <w:rPr>
          <w:rFonts w:eastAsia="Times New Roman" w:cs="Times New Roman"/>
          <w:lang w:eastAsia="es-CO"/>
        </w:rPr>
        <w:t>2014: 33 NNA</w:t>
      </w:r>
    </w:p>
    <w:p w:rsidR="002616FA" w:rsidRPr="009A2496" w:rsidRDefault="002616FA" w:rsidP="00A92D87">
      <w:pPr>
        <w:numPr>
          <w:ilvl w:val="0"/>
          <w:numId w:val="34"/>
        </w:num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Impacto: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Cobertura de las necesidades básicas (pañales, ropa, leche, cobijas) a través de la oficina de Bienestar Social</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Educación garantizada</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lastRenderedPageBreak/>
        <w:t>Subsidios en libros, textos y útiles escolares desde la Secretaria de Educación Municipal.</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Salud garantizada</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Acceso a una educación superior  de más fácil acceso.</w:t>
      </w: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Espacios para crear y desarrollar un proyecto de vida.</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Actividades en las Instituciones Educativas que permitan disminuir la discriminación, el matoneo o el acoso a NNA por ser víctimas</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Salidas, bibliotecas, sitios turísticos, espacios de socialización donde los niños, niñas y adolescentes,  adolescentes víctimas pueden interactuar y fortalecerse como grupo, actividad realizada desde Ludoteca ubicada en el Punto de Atención.</w:t>
      </w: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Cursos de aprendizaje en el SENA con más facilidad en su acceso o prioridad.</w:t>
      </w: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Generar espacios deportivos de aprendizaje, en diferentes áreas basadas en las habilidades de los niños, niñas y adolescentes con Secretaria de Cultura.</w:t>
      </w: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Subsidio  para  jóvenes víctimas que ingresen a la universidad, en articulación con DPS</w:t>
      </w:r>
    </w:p>
    <w:p w:rsidR="009A2496" w:rsidRPr="009A2496" w:rsidRDefault="009A2496" w:rsidP="00A92D87">
      <w:pPr>
        <w:numPr>
          <w:ilvl w:val="0"/>
          <w:numId w:val="35"/>
        </w:numPr>
        <w:spacing w:after="200" w:line="240" w:lineRule="auto"/>
        <w:contextualSpacing/>
      </w:pPr>
      <w:r w:rsidRPr="009A2496">
        <w:rPr>
          <w:rFonts w:eastAsia="Times New Roman" w:cs="Calibri"/>
          <w:color w:val="000000"/>
          <w:lang w:eastAsia="es-CO"/>
        </w:rPr>
        <w:t>Cumplimiento en las medidas de atención prioritaria en lugares como Banco Agrario, PAV  y EPS.</w:t>
      </w:r>
    </w:p>
    <w:p w:rsidR="009A2496" w:rsidRPr="009A2496" w:rsidRDefault="009A2496" w:rsidP="00A92D87">
      <w:pPr>
        <w:numPr>
          <w:ilvl w:val="0"/>
          <w:numId w:val="35"/>
        </w:numPr>
        <w:spacing w:after="200" w:line="240" w:lineRule="auto"/>
        <w:contextualSpacing/>
      </w:pPr>
      <w:r w:rsidRPr="009A2496">
        <w:rPr>
          <w:rFonts w:eastAsia="Times New Roman" w:cs="Calibri"/>
          <w:color w:val="000000"/>
          <w:lang w:eastAsia="es-CO"/>
        </w:rPr>
        <w:t>Se garantiza en articulación con la Registraduria Nacional del Estado Civil el derecho a la identificación.</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Prioridades</w:t>
      </w:r>
    </w:p>
    <w:p w:rsidR="009A2496" w:rsidRPr="009A2496" w:rsidRDefault="009A2496" w:rsidP="002616FA">
      <w:pPr>
        <w:spacing w:after="0" w:line="240" w:lineRule="auto"/>
        <w:ind w:firstLine="284"/>
        <w:contextualSpacing/>
        <w:jc w:val="both"/>
        <w:rPr>
          <w:rFonts w:eastAsia="Times New Roman" w:cs="Times New Roman"/>
          <w:lang w:eastAsia="es-CO"/>
        </w:rPr>
      </w:pPr>
      <w:r w:rsidRPr="009A2496">
        <w:rPr>
          <w:rFonts w:eastAsia="Times New Roman" w:cs="Times New Roman"/>
          <w:lang w:eastAsia="es-CO"/>
        </w:rPr>
        <w:t xml:space="preserve">En el periodo analizado 2012- 2014 se evidencia que las edades de mayor </w:t>
      </w: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Vulneración de Derechos a la Protección de NNA se presentó en las comprendidas de los 0 – 5 años en el periodo comprendido en el año 2012 con un número total de víctimas atendidas de 204 menores entre las edades anteriormente relacionadas.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Recomendaciones</w:t>
      </w: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Al momento de presentarse este tipo de situaciones, se recomienda de manera inminente implementar los planes de contingencia previamente establecidos por el municipio de Pasto, con la intención de menguar los efectos producidos en la población.</w:t>
      </w:r>
    </w:p>
    <w:p w:rsidR="000E4768" w:rsidRPr="009A2496" w:rsidRDefault="000E4768" w:rsidP="00A92D87">
      <w:pPr>
        <w:spacing w:line="240" w:lineRule="auto"/>
        <w:rPr>
          <w:b/>
        </w:rPr>
      </w:pPr>
    </w:p>
    <w:p w:rsidR="009A2496" w:rsidRPr="009A2496" w:rsidRDefault="009A2496"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9A2496">
        <w:rPr>
          <w:b/>
          <w:i/>
          <w:iCs/>
        </w:rPr>
        <w:t>DESCRIPCIÓN DEL INDICADOR No. 91</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cnfStyle w:val="100000000000"/>
          <w:trHeight w:val="579"/>
          <w:jc w:val="center"/>
        </w:trPr>
        <w:tc>
          <w:tcPr>
            <w:cnfStyle w:val="001000000000"/>
            <w:tcW w:w="8828" w:type="dxa"/>
            <w:tcBorders>
              <w:top w:val="none" w:sz="0" w:space="0" w:color="auto"/>
              <w:bottom w:val="none" w:sz="0" w:space="0" w:color="auto"/>
            </w:tcBorders>
          </w:tcPr>
          <w:p w:rsidR="009A2496" w:rsidRPr="009A2496" w:rsidRDefault="009A2496" w:rsidP="00A92D87">
            <w:r w:rsidRPr="009A2496">
              <w:t>MUNICIPIO:  PASTO</w:t>
            </w:r>
          </w:p>
        </w:tc>
      </w:tr>
      <w:tr w:rsidR="009A2496" w:rsidRPr="009A2496" w:rsidTr="00000F81">
        <w:trPr>
          <w:cnfStyle w:val="000000100000"/>
          <w:trHeight w:val="579"/>
          <w:jc w:val="center"/>
        </w:trPr>
        <w:tc>
          <w:tcPr>
            <w:cnfStyle w:val="001000000000"/>
            <w:tcW w:w="8828" w:type="dxa"/>
          </w:tcPr>
          <w:p w:rsidR="009A2496" w:rsidRPr="009A2496" w:rsidRDefault="009A2496" w:rsidP="00A92D87">
            <w:r w:rsidRPr="009A2496">
              <w:t>Nombre del indicador: Porcentaje de niñas, niños y adolescentes víctimas de acto terrorista /Atentados/Combates/ Hostigamiento</w:t>
            </w:r>
          </w:p>
        </w:tc>
      </w:tr>
      <w:tr w:rsidR="009A2496" w:rsidRPr="009A2496" w:rsidTr="00000F81">
        <w:trPr>
          <w:trHeight w:val="332"/>
          <w:jc w:val="center"/>
        </w:trPr>
        <w:tc>
          <w:tcPr>
            <w:cnfStyle w:val="001000000000"/>
            <w:tcW w:w="8828" w:type="dxa"/>
          </w:tcPr>
          <w:p w:rsidR="009A2496" w:rsidRPr="009A2496" w:rsidRDefault="009A2496" w:rsidP="00A92D87">
            <w:r w:rsidRPr="009A2496">
              <w:t xml:space="preserve">Fuente Nacional: </w:t>
            </w:r>
          </w:p>
          <w:p w:rsidR="009A2496" w:rsidRPr="009A2496" w:rsidRDefault="009A2496" w:rsidP="00A92D87">
            <w:r w:rsidRPr="009A2496">
              <w:lastRenderedPageBreak/>
              <w:t>Otra Fuente: UNIDAD DE VICTIMAS Y RED NACIONAL DE INFORMACION</w:t>
            </w:r>
          </w:p>
        </w:tc>
      </w:tr>
      <w:tr w:rsidR="009A2496" w:rsidRPr="009A2496" w:rsidTr="00000F81">
        <w:trPr>
          <w:cnfStyle w:val="000000100000"/>
          <w:trHeight w:val="458"/>
          <w:jc w:val="center"/>
        </w:trPr>
        <w:tc>
          <w:tcPr>
            <w:cnfStyle w:val="001000000000"/>
            <w:tcW w:w="8828" w:type="dxa"/>
          </w:tcPr>
          <w:p w:rsidR="009A2496" w:rsidRPr="009A2496" w:rsidRDefault="009A2496" w:rsidP="00A92D87">
            <w:r w:rsidRPr="009A2496">
              <w:lastRenderedPageBreak/>
              <w:t>Categoría de derechos: DERECHO A LA PROTECCION</w:t>
            </w:r>
          </w:p>
        </w:tc>
      </w:tr>
      <w:tr w:rsidR="009A2496" w:rsidRPr="009A2496" w:rsidTr="00000F81">
        <w:trPr>
          <w:trHeight w:val="458"/>
          <w:jc w:val="center"/>
        </w:trPr>
        <w:tc>
          <w:tcPr>
            <w:cnfStyle w:val="001000000000"/>
            <w:tcW w:w="8828" w:type="dxa"/>
          </w:tcPr>
          <w:p w:rsidR="009A2496" w:rsidRPr="009A2496" w:rsidRDefault="009A2496" w:rsidP="00A92D87">
            <w:r w:rsidRPr="009A2496">
              <w:t>Metodología: Análisis de la información a partir de la cadena de resultados</w:t>
            </w:r>
          </w:p>
        </w:tc>
      </w:tr>
    </w:tbl>
    <w:p w:rsidR="009A2496" w:rsidRPr="009A2496" w:rsidRDefault="009A2496" w:rsidP="00DF63E8">
      <w:pPr>
        <w:numPr>
          <w:ilvl w:val="0"/>
          <w:numId w:val="41"/>
        </w:numPr>
        <w:spacing w:after="0" w:line="240" w:lineRule="auto"/>
        <w:ind w:left="644"/>
        <w:contextualSpacing/>
        <w:rPr>
          <w:rFonts w:eastAsia="Times New Roman" w:cs="Times New Roman"/>
          <w:b/>
          <w:lang w:eastAsia="es-CO"/>
        </w:rPr>
      </w:pPr>
      <w:r w:rsidRPr="009A2496">
        <w:rPr>
          <w:rFonts w:eastAsia="Times New Roman" w:cs="Times New Roman"/>
          <w:b/>
          <w:lang w:eastAsia="es-CO"/>
        </w:rPr>
        <w:t>Información estadística</w:t>
      </w:r>
    </w:p>
    <w:p w:rsidR="009A2496" w:rsidRPr="009A2496" w:rsidRDefault="009A2496"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293"/>
        <w:gridCol w:w="1765"/>
        <w:gridCol w:w="1766"/>
        <w:gridCol w:w="1766"/>
        <w:gridCol w:w="1766"/>
      </w:tblGrid>
      <w:tr w:rsidR="009A2496" w:rsidRPr="009A2496" w:rsidTr="00000F81">
        <w:tc>
          <w:tcPr>
            <w:tcW w:w="2196" w:type="dxa"/>
          </w:tcPr>
          <w:p w:rsidR="009A2496" w:rsidRPr="009A2496" w:rsidRDefault="009A2496" w:rsidP="00A92D87">
            <w:pPr>
              <w:jc w:val="center"/>
              <w:rPr>
                <w:b/>
              </w:rPr>
            </w:pPr>
            <w:r w:rsidRPr="009A2496">
              <w:rPr>
                <w:b/>
              </w:rPr>
              <w:t>Indicador</w:t>
            </w:r>
          </w:p>
        </w:tc>
        <w:tc>
          <w:tcPr>
            <w:tcW w:w="1765" w:type="dxa"/>
          </w:tcPr>
          <w:p w:rsidR="009A2496" w:rsidRPr="009A2496" w:rsidRDefault="009A2496" w:rsidP="00A92D87">
            <w:pPr>
              <w:jc w:val="center"/>
              <w:rPr>
                <w:b/>
              </w:rPr>
            </w:pPr>
            <w:r w:rsidRPr="009A2496">
              <w:rPr>
                <w:b/>
              </w:rPr>
              <w:t>2011</w:t>
            </w:r>
          </w:p>
        </w:tc>
        <w:tc>
          <w:tcPr>
            <w:tcW w:w="1766" w:type="dxa"/>
          </w:tcPr>
          <w:p w:rsidR="009A2496" w:rsidRPr="009A2496" w:rsidRDefault="009A2496" w:rsidP="00A92D87">
            <w:pPr>
              <w:jc w:val="center"/>
              <w:rPr>
                <w:b/>
              </w:rPr>
            </w:pPr>
            <w:r w:rsidRPr="009A2496">
              <w:rPr>
                <w:b/>
              </w:rPr>
              <w:t>2012</w:t>
            </w:r>
          </w:p>
        </w:tc>
        <w:tc>
          <w:tcPr>
            <w:tcW w:w="1766" w:type="dxa"/>
          </w:tcPr>
          <w:p w:rsidR="009A2496" w:rsidRPr="009A2496" w:rsidRDefault="009A2496" w:rsidP="00A92D87">
            <w:pPr>
              <w:jc w:val="center"/>
              <w:rPr>
                <w:b/>
              </w:rPr>
            </w:pPr>
            <w:r w:rsidRPr="009A2496">
              <w:rPr>
                <w:b/>
              </w:rPr>
              <w:t>2013</w:t>
            </w:r>
          </w:p>
        </w:tc>
        <w:tc>
          <w:tcPr>
            <w:tcW w:w="1766" w:type="dxa"/>
          </w:tcPr>
          <w:p w:rsidR="009A2496" w:rsidRPr="009A2496" w:rsidRDefault="009A2496" w:rsidP="00A92D87">
            <w:pPr>
              <w:jc w:val="center"/>
              <w:rPr>
                <w:b/>
              </w:rPr>
            </w:pPr>
            <w:r w:rsidRPr="009A2496">
              <w:rPr>
                <w:b/>
              </w:rPr>
              <w:t>2014</w:t>
            </w:r>
          </w:p>
        </w:tc>
      </w:tr>
      <w:tr w:rsidR="009A2496" w:rsidRPr="009A2496" w:rsidTr="00000F81">
        <w:tc>
          <w:tcPr>
            <w:tcW w:w="2196" w:type="dxa"/>
          </w:tcPr>
          <w:p w:rsidR="009A2496" w:rsidRPr="009A2496" w:rsidRDefault="009A2496" w:rsidP="00A92D87">
            <w:r w:rsidRPr="009A2496">
              <w:t>Porcentaje de niñas, niños y adolescentes víctimas de acto terrorista /Atentados/Combates/ Hostigamiento</w:t>
            </w:r>
          </w:p>
        </w:tc>
        <w:tc>
          <w:tcPr>
            <w:tcW w:w="1765" w:type="dxa"/>
          </w:tcPr>
          <w:p w:rsidR="009A2496" w:rsidRPr="009A2496" w:rsidRDefault="009A2496" w:rsidP="00A92D87">
            <w:pPr>
              <w:jc w:val="center"/>
            </w:pPr>
          </w:p>
        </w:tc>
        <w:tc>
          <w:tcPr>
            <w:tcW w:w="1766" w:type="dxa"/>
          </w:tcPr>
          <w:p w:rsidR="009A2496" w:rsidRPr="009A2496" w:rsidRDefault="009A2496" w:rsidP="00A92D87">
            <w:pPr>
              <w:jc w:val="center"/>
            </w:pPr>
          </w:p>
          <w:p w:rsidR="009A2496" w:rsidRPr="009A2496" w:rsidRDefault="009A2496" w:rsidP="00A92D87">
            <w:pPr>
              <w:jc w:val="center"/>
            </w:pPr>
          </w:p>
        </w:tc>
        <w:tc>
          <w:tcPr>
            <w:tcW w:w="1766" w:type="dxa"/>
          </w:tcPr>
          <w:p w:rsidR="009A2496" w:rsidRPr="009A2496" w:rsidRDefault="009A2496" w:rsidP="00A92D87">
            <w:pPr>
              <w:jc w:val="center"/>
            </w:pPr>
          </w:p>
          <w:p w:rsidR="009A2496" w:rsidRPr="009A2496" w:rsidRDefault="009A2496" w:rsidP="00A92D87">
            <w:pPr>
              <w:jc w:val="center"/>
            </w:pPr>
            <w:r w:rsidRPr="009A2496">
              <w:t>1</w:t>
            </w:r>
          </w:p>
        </w:tc>
        <w:tc>
          <w:tcPr>
            <w:tcW w:w="1766" w:type="dxa"/>
          </w:tcPr>
          <w:p w:rsidR="009A2496" w:rsidRPr="009A2496" w:rsidRDefault="009A2496" w:rsidP="00A92D87">
            <w:pPr>
              <w:jc w:val="center"/>
            </w:pPr>
          </w:p>
          <w:p w:rsidR="009A2496" w:rsidRPr="009A2496" w:rsidRDefault="009A2496" w:rsidP="00A92D87">
            <w:pPr>
              <w:jc w:val="center"/>
            </w:pPr>
          </w:p>
        </w:tc>
      </w:tr>
      <w:tr w:rsidR="009A2496" w:rsidRPr="009A2496" w:rsidTr="00000F81">
        <w:tc>
          <w:tcPr>
            <w:tcW w:w="9259" w:type="dxa"/>
            <w:gridSpan w:val="5"/>
          </w:tcPr>
          <w:p w:rsidR="009A2496" w:rsidRPr="009A2496" w:rsidRDefault="009A2496" w:rsidP="00A92D87">
            <w:pPr>
              <w:rPr>
                <w:b/>
              </w:rPr>
            </w:pPr>
            <w:r w:rsidRPr="009A2496">
              <w:rPr>
                <w:b/>
              </w:rPr>
              <w:t>Fuente y año:  UNIDAD DE VICTIMAS</w:t>
            </w:r>
          </w:p>
        </w:tc>
      </w:tr>
    </w:tbl>
    <w:p w:rsidR="009A2496" w:rsidRPr="009A2496" w:rsidRDefault="009A2496" w:rsidP="00A92D87">
      <w:pPr>
        <w:spacing w:line="240" w:lineRule="auto"/>
        <w:rPr>
          <w:b/>
        </w:rPr>
      </w:pPr>
    </w:p>
    <w:p w:rsidR="009A2496" w:rsidRPr="009A2496" w:rsidRDefault="009A2496" w:rsidP="00A92D87">
      <w:pPr>
        <w:spacing w:line="240" w:lineRule="auto"/>
        <w:rPr>
          <w:b/>
        </w:rPr>
      </w:pPr>
      <w:r w:rsidRPr="009A2496">
        <w:rPr>
          <w:b/>
        </w:rPr>
        <w:t xml:space="preserve">Gráfico: </w:t>
      </w:r>
    </w:p>
    <w:tbl>
      <w:tblPr>
        <w:tblW w:w="7561" w:type="dxa"/>
        <w:tblInd w:w="55" w:type="dxa"/>
        <w:tblCellMar>
          <w:left w:w="70" w:type="dxa"/>
          <w:right w:w="70" w:type="dxa"/>
        </w:tblCellMar>
        <w:tblLook w:val="04A0"/>
      </w:tblPr>
      <w:tblGrid>
        <w:gridCol w:w="1045"/>
        <w:gridCol w:w="715"/>
        <w:gridCol w:w="1485"/>
        <w:gridCol w:w="1717"/>
        <w:gridCol w:w="1399"/>
        <w:gridCol w:w="1200"/>
      </w:tblGrid>
      <w:tr w:rsidR="009A2496" w:rsidRPr="009A2496"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RESULTADO</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488"/>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11-17</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23</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4,35</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566"/>
        </w:trPr>
        <w:tc>
          <w:tcPr>
            <w:tcW w:w="1045"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w:t>
            </w:r>
          </w:p>
        </w:tc>
        <w:tc>
          <w:tcPr>
            <w:tcW w:w="171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67</w:t>
            </w:r>
          </w:p>
        </w:tc>
        <w:tc>
          <w:tcPr>
            <w:tcW w:w="139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2,99</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1107"/>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11-17</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54</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1,85</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jc w:val="right"/>
              <w:rPr>
                <w:rFonts w:eastAsia="Times New Roman" w:cs="Times New Roman"/>
                <w:color w:val="000000"/>
                <w:lang w:eastAsia="es-CO"/>
              </w:rPr>
            </w:pPr>
            <w:r w:rsidRPr="009A2496">
              <w:rPr>
                <w:rFonts w:eastAsia="Times New Roman" w:cs="Times New Roman"/>
                <w:color w:val="000000"/>
                <w:lang w:eastAsia="es-CO"/>
              </w:rPr>
              <w:t>2,42</w:t>
            </w:r>
          </w:p>
        </w:tc>
      </w:tr>
    </w:tbl>
    <w:p w:rsidR="009A2496" w:rsidRPr="009A2496" w:rsidRDefault="009A2496" w:rsidP="00A92D87">
      <w:pPr>
        <w:spacing w:line="240" w:lineRule="auto"/>
        <w:rPr>
          <w:b/>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Situación detectada: </w:t>
      </w: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Se evidencia que en los años 2012 y 2014 no se presentaron víctimas registradas perteneciente al grupo de NNA,  por lo que se toma como referencia el año 2013 en el que se atendió a 3 NNA victimas de acto terrorista.</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Las Medidas Contempladas y el Marco Jurídico para  la formulación de políticas y las acciones de respuesta del Estado colombiano frente al desplazamiento permiten la concentración de </w:t>
      </w:r>
      <w:r w:rsidRPr="009A2496">
        <w:rPr>
          <w:rFonts w:eastAsia="Times New Roman" w:cs="Times New Roman"/>
          <w:lang w:eastAsia="es-CO"/>
        </w:rPr>
        <w:lastRenderedPageBreak/>
        <w:t>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rPr>
          <w:rFonts w:eastAsia="Times New Roman" w:cs="Times New Roman"/>
          <w:b/>
          <w:lang w:eastAsia="es-CO"/>
        </w:rPr>
      </w:pPr>
      <w:r w:rsidRPr="009A2496">
        <w:rPr>
          <w:rFonts w:eastAsia="Times New Roman" w:cs="Times New Roman"/>
          <w:b/>
          <w:lang w:eastAsia="es-CO"/>
        </w:rPr>
        <w:t xml:space="preserve">Insumos: </w:t>
      </w: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Los datos aportados fueron suministrados por la Unidad para la Atención y Reparación Integral a las Victimas y la Red Nacional de Información.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Recursos (físicos, humanos y financieros) disponibles y utilizados en la intervención del problema o situación detectada (Aquí se indica si este indicador hace parte del plan territorial de salud y cuál fue el plan de inversiones).</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9A2496" w:rsidRPr="009A2496" w:rsidRDefault="009A2496" w:rsidP="00A92D87">
      <w:pPr>
        <w:spacing w:after="0" w:line="240" w:lineRule="auto"/>
        <w:contextualSpacing/>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Programas, Proyectos y Acciones para mejorar la situación del indicador (2012 -2015):</w:t>
      </w: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Programa: Articulo 74; Programa Atención a Víctimas de la Violencia del Conflicto Armado del Plan de Desarrollo Municipal de Pasto.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lastRenderedPageBreak/>
        <w:t>Proyecto: Atención y Orientación a Población Victima de la</w:t>
      </w:r>
      <w:r w:rsidR="002616FA">
        <w:rPr>
          <w:rFonts w:eastAsia="Times New Roman" w:cs="Times New Roman"/>
          <w:lang w:eastAsia="es-CO"/>
        </w:rPr>
        <w:t xml:space="preserve"> Violencia del Conflicto Armado </w:t>
      </w:r>
      <w:r w:rsidRPr="009A2496">
        <w:rPr>
          <w:rFonts w:eastAsia="Times New Roman" w:cs="Times New Roman"/>
          <w:lang w:eastAsia="es-CO"/>
        </w:rPr>
        <w:t>Municipio de Pasto radicado 20145200110163 de diciembre de 2014.</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1.</w:t>
      </w:r>
      <w:r w:rsidRPr="009A2496">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2.</w:t>
      </w:r>
      <w:r w:rsidRPr="009A2496">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Por lo tanto, una vez se haya rendido la declaración y esta se remita Unidad para la Atención y Reparación Integral a las Víctimas,  la Alcaldía de Pasto y todos los entes territoriales que reciben a </w:t>
      </w:r>
      <w:r w:rsidRPr="009A2496">
        <w:rPr>
          <w:rFonts w:eastAsia="Times New Roman" w:cs="Times New Roman"/>
          <w:lang w:eastAsia="es-CO"/>
        </w:rPr>
        <w:lastRenderedPageBreak/>
        <w:t>la población en situación de desplazamiento, tienen la obligación legal de brindar la AYUDA HUMANITARIA INMEDIATA E INTEGRAL, hasta tanto se decida sobre la inscripción de la persona en el Registro Único de Victimas.</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b/>
          <w:lang w:eastAsia="es-CO"/>
        </w:rPr>
      </w:pPr>
      <w:r w:rsidRPr="009A2496">
        <w:rPr>
          <w:rFonts w:eastAsia="Times New Roman" w:cs="Times New Roman"/>
          <w:b/>
          <w:lang w:eastAsia="es-CO"/>
        </w:rPr>
        <w:t xml:space="preserve">Productos: </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La atención humanitaria a Victimas NNA del conflicto armado de Colombia se realiza por demanda y de acuerdo a la dinámica del conflicto armado que existe en el momento.</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Resultados al término de la gestión  (2012 -2014):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line="240" w:lineRule="auto"/>
        <w:jc w:val="both"/>
      </w:pPr>
      <w:r w:rsidRPr="009A2496">
        <w:t>Se atendieron a la totalidad de población de NNA víctimas del desplazamiento forzado causado por el conflicto armado que requirieron atención y orientación dentro de la etapa inmediata de atención en las siguientes proporciones:</w:t>
      </w:r>
    </w:p>
    <w:p w:rsidR="009A2496" w:rsidRPr="009A2496" w:rsidRDefault="009A2496" w:rsidP="00A92D87">
      <w:pPr>
        <w:numPr>
          <w:ilvl w:val="0"/>
          <w:numId w:val="34"/>
        </w:numPr>
        <w:spacing w:after="0" w:line="240" w:lineRule="auto"/>
        <w:contextualSpacing/>
        <w:jc w:val="both"/>
        <w:rPr>
          <w:rFonts w:eastAsia="Times New Roman" w:cs="Times New Roman"/>
          <w:lang w:eastAsia="es-CO"/>
        </w:rPr>
      </w:pPr>
      <w:r w:rsidRPr="009A2496">
        <w:rPr>
          <w:rFonts w:eastAsia="Times New Roman" w:cs="Times New Roman"/>
          <w:lang w:eastAsia="es-CO"/>
        </w:rPr>
        <w:t>2012: 0 NNA</w:t>
      </w:r>
    </w:p>
    <w:p w:rsidR="009A2496" w:rsidRPr="009A2496" w:rsidRDefault="009A2496" w:rsidP="00A92D87">
      <w:pPr>
        <w:numPr>
          <w:ilvl w:val="0"/>
          <w:numId w:val="34"/>
        </w:numPr>
        <w:spacing w:after="0" w:line="240" w:lineRule="auto"/>
        <w:contextualSpacing/>
        <w:jc w:val="both"/>
        <w:rPr>
          <w:rFonts w:eastAsia="Times New Roman" w:cs="Times New Roman"/>
          <w:lang w:eastAsia="es-CO"/>
        </w:rPr>
      </w:pPr>
      <w:r w:rsidRPr="009A2496">
        <w:rPr>
          <w:rFonts w:eastAsia="Times New Roman" w:cs="Times New Roman"/>
          <w:lang w:eastAsia="es-CO"/>
        </w:rPr>
        <w:t>2013: 3 NNA</w:t>
      </w:r>
    </w:p>
    <w:p w:rsidR="009A2496" w:rsidRDefault="009A2496" w:rsidP="00A92D87">
      <w:pPr>
        <w:numPr>
          <w:ilvl w:val="0"/>
          <w:numId w:val="34"/>
        </w:numPr>
        <w:spacing w:after="0" w:line="240" w:lineRule="auto"/>
        <w:contextualSpacing/>
        <w:jc w:val="both"/>
        <w:rPr>
          <w:rFonts w:eastAsia="Times New Roman" w:cs="Times New Roman"/>
          <w:lang w:eastAsia="es-CO"/>
        </w:rPr>
      </w:pPr>
      <w:r w:rsidRPr="009A2496">
        <w:rPr>
          <w:rFonts w:eastAsia="Times New Roman" w:cs="Times New Roman"/>
          <w:lang w:eastAsia="es-CO"/>
        </w:rPr>
        <w:t>2014: 0 NNA</w:t>
      </w:r>
    </w:p>
    <w:p w:rsidR="002616FA" w:rsidRPr="009A2496" w:rsidRDefault="002616FA" w:rsidP="002616FA">
      <w:pPr>
        <w:spacing w:after="0" w:line="240" w:lineRule="auto"/>
        <w:ind w:left="1080"/>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Impacto: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Cobertura de las necesidades básicas (pañales, ropa, leche, cobijas) a través de la oficina de Bienestar Social</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Educación garantizada</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Subsidios en libros, textos y útiles escolares desde la Secretaria de Educación Municipal.</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Salud garantizada</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Acceso a una educación superior  de más fácil acceso.</w:t>
      </w: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Espacios para crear y desarrollar un proyecto de vida.</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Actividades en las Instituciones Educativas que permitan disminuir la discriminación, el matoneo o el acoso a NNA por ser víctimas</w:t>
      </w:r>
    </w:p>
    <w:p w:rsidR="009A2496" w:rsidRPr="009A2496" w:rsidRDefault="009A2496" w:rsidP="00A92D87">
      <w:pPr>
        <w:numPr>
          <w:ilvl w:val="0"/>
          <w:numId w:val="35"/>
        </w:numPr>
        <w:spacing w:after="0" w:line="240" w:lineRule="auto"/>
        <w:contextualSpacing/>
        <w:rPr>
          <w:rFonts w:eastAsia="Times New Roman" w:cs="Calibri"/>
          <w:color w:val="000000"/>
          <w:lang w:eastAsia="es-CO"/>
        </w:rPr>
      </w:pPr>
      <w:r w:rsidRPr="009A2496">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Cursos de aprendizaje en el SENA con más facilidad en su acceso o prioridad.</w:t>
      </w: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Generar espacios deportivos de aprendizaje, en diferentes áreas basadas en las habilidades de los niños, niñas y adolescentes con Secretaria de Cultura.</w:t>
      </w:r>
    </w:p>
    <w:p w:rsidR="009A2496" w:rsidRPr="009A2496" w:rsidRDefault="009A2496" w:rsidP="00A92D87">
      <w:pPr>
        <w:numPr>
          <w:ilvl w:val="0"/>
          <w:numId w:val="35"/>
        </w:numPr>
        <w:spacing w:after="200" w:line="240" w:lineRule="auto"/>
        <w:contextualSpacing/>
        <w:rPr>
          <w:rFonts w:eastAsia="Times New Roman" w:cs="Calibri"/>
          <w:color w:val="000000"/>
          <w:lang w:eastAsia="es-CO"/>
        </w:rPr>
      </w:pPr>
      <w:r w:rsidRPr="009A2496">
        <w:rPr>
          <w:rFonts w:eastAsia="Times New Roman" w:cs="Calibri"/>
          <w:color w:val="000000"/>
          <w:lang w:eastAsia="es-CO"/>
        </w:rPr>
        <w:t>Subsidio  para  jóvenes víctimas que ingresen a la universidad, en articulación con DPS</w:t>
      </w:r>
    </w:p>
    <w:p w:rsidR="009A2496" w:rsidRPr="009A2496" w:rsidRDefault="009A2496" w:rsidP="00A92D87">
      <w:pPr>
        <w:numPr>
          <w:ilvl w:val="0"/>
          <w:numId w:val="35"/>
        </w:numPr>
        <w:spacing w:after="200" w:line="240" w:lineRule="auto"/>
        <w:contextualSpacing/>
      </w:pPr>
      <w:r w:rsidRPr="009A2496">
        <w:rPr>
          <w:rFonts w:eastAsia="Times New Roman" w:cs="Calibri"/>
          <w:color w:val="000000"/>
          <w:lang w:eastAsia="es-CO"/>
        </w:rPr>
        <w:t>Cumplimiento en las medidas de atención prioritaria en lugares como Banco Agrario PAV y EPS.</w:t>
      </w:r>
    </w:p>
    <w:p w:rsidR="009A2496" w:rsidRPr="009A2496" w:rsidRDefault="009A2496" w:rsidP="00A92D87">
      <w:pPr>
        <w:numPr>
          <w:ilvl w:val="0"/>
          <w:numId w:val="35"/>
        </w:numPr>
        <w:spacing w:after="200" w:line="240" w:lineRule="auto"/>
        <w:contextualSpacing/>
        <w:rPr>
          <w:rFonts w:eastAsia="Times New Roman" w:cs="Times New Roman"/>
          <w:lang w:eastAsia="es-CO"/>
        </w:rPr>
      </w:pPr>
      <w:r w:rsidRPr="009A2496">
        <w:rPr>
          <w:rFonts w:eastAsia="Times New Roman" w:cs="Calibri"/>
          <w:color w:val="000000"/>
          <w:lang w:eastAsia="es-CO"/>
        </w:rPr>
        <w:lastRenderedPageBreak/>
        <w:t>Se garantiza en articulación con la Registraduria Nacional del Estado Civil, el acceso al derecho a la identificación.</w:t>
      </w:r>
    </w:p>
    <w:p w:rsidR="009A2496" w:rsidRPr="009A2496" w:rsidRDefault="009A2496" w:rsidP="00A92D87">
      <w:pPr>
        <w:spacing w:after="200" w:line="240" w:lineRule="auto"/>
        <w:contextualSpacing/>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Prioridades</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 xml:space="preserve">En el periodo analizado 2012- 2014 se evidencia que las edades de mayor vulneración de Derechos a la Protección de NNA se presentó en las comprendidas de los 0 – 5 años en el periodo comprendido en el año 2013 con un número total de víctimas atendidas de 3 menores entre las edades anteriormente relacionadas.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Recomendaciones</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2616FA">
      <w:pPr>
        <w:spacing w:after="0" w:line="240" w:lineRule="auto"/>
        <w:ind w:left="284"/>
        <w:contextualSpacing/>
        <w:jc w:val="both"/>
        <w:rPr>
          <w:rFonts w:eastAsia="Times New Roman" w:cs="Times New Roman"/>
          <w:lang w:eastAsia="es-CO"/>
        </w:rPr>
      </w:pPr>
      <w:r w:rsidRPr="009A2496">
        <w:rPr>
          <w:rFonts w:eastAsia="Times New Roman" w:cs="Times New Roman"/>
          <w:lang w:eastAsia="es-CO"/>
        </w:rPr>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9A2496" w:rsidRPr="009A2496" w:rsidRDefault="009A2496"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9A2496">
        <w:rPr>
          <w:b/>
          <w:i/>
          <w:iCs/>
        </w:rPr>
        <w:t>DESCRIPCIÓN DEL INDICADOR No. 92</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cnfStyle w:val="100000000000"/>
          <w:trHeight w:val="579"/>
          <w:jc w:val="center"/>
        </w:trPr>
        <w:tc>
          <w:tcPr>
            <w:cnfStyle w:val="001000000000"/>
            <w:tcW w:w="8828" w:type="dxa"/>
            <w:tcBorders>
              <w:top w:val="none" w:sz="0" w:space="0" w:color="auto"/>
              <w:bottom w:val="none" w:sz="0" w:space="0" w:color="auto"/>
            </w:tcBorders>
          </w:tcPr>
          <w:p w:rsidR="009A2496" w:rsidRPr="009A2496" w:rsidRDefault="009A2496" w:rsidP="00A92D87">
            <w:r w:rsidRPr="009A2496">
              <w:t>MUNICIPIO:  PASTO</w:t>
            </w:r>
          </w:p>
        </w:tc>
      </w:tr>
      <w:tr w:rsidR="009A2496" w:rsidRPr="009A2496" w:rsidTr="00000F81">
        <w:trPr>
          <w:cnfStyle w:val="000000100000"/>
          <w:trHeight w:val="579"/>
          <w:jc w:val="center"/>
        </w:trPr>
        <w:tc>
          <w:tcPr>
            <w:cnfStyle w:val="001000000000"/>
            <w:tcW w:w="8828" w:type="dxa"/>
          </w:tcPr>
          <w:p w:rsidR="009A2496" w:rsidRPr="009A2496" w:rsidRDefault="009A2496" w:rsidP="00A92D87">
            <w:r w:rsidRPr="009A2496">
              <w:t>Nombre del indicador: Porcentaje de niñas, niños y adolescentes víctimas de amenazas.</w:t>
            </w:r>
          </w:p>
        </w:tc>
      </w:tr>
      <w:tr w:rsidR="009A2496" w:rsidRPr="009A2496" w:rsidTr="00000F81">
        <w:trPr>
          <w:trHeight w:val="332"/>
          <w:jc w:val="center"/>
        </w:trPr>
        <w:tc>
          <w:tcPr>
            <w:cnfStyle w:val="001000000000"/>
            <w:tcW w:w="8828" w:type="dxa"/>
          </w:tcPr>
          <w:p w:rsidR="009A2496" w:rsidRPr="009A2496" w:rsidRDefault="009A2496" w:rsidP="00A92D87">
            <w:r w:rsidRPr="009A2496">
              <w:t xml:space="preserve">Fuente Nacional: </w:t>
            </w:r>
          </w:p>
          <w:p w:rsidR="009A2496" w:rsidRPr="009A2496" w:rsidRDefault="009A2496" w:rsidP="00A92D87">
            <w:r w:rsidRPr="009A2496">
              <w:t>Otra Fuente: UNIDAD DE VICTIMAS Y RED NACIONAL DE INFORMACION</w:t>
            </w:r>
          </w:p>
        </w:tc>
      </w:tr>
      <w:tr w:rsidR="009A2496" w:rsidRPr="009A2496" w:rsidTr="00000F81">
        <w:trPr>
          <w:cnfStyle w:val="000000100000"/>
          <w:trHeight w:val="458"/>
          <w:jc w:val="center"/>
        </w:trPr>
        <w:tc>
          <w:tcPr>
            <w:cnfStyle w:val="001000000000"/>
            <w:tcW w:w="8828" w:type="dxa"/>
          </w:tcPr>
          <w:p w:rsidR="009A2496" w:rsidRPr="009A2496" w:rsidRDefault="009A2496" w:rsidP="00A92D87">
            <w:r w:rsidRPr="009A2496">
              <w:t>Categoría de derechos: DERECHO A LA PROTECCION</w:t>
            </w:r>
          </w:p>
        </w:tc>
      </w:tr>
      <w:tr w:rsidR="009A2496" w:rsidRPr="009A2496" w:rsidTr="00000F81">
        <w:trPr>
          <w:trHeight w:val="458"/>
          <w:jc w:val="center"/>
        </w:trPr>
        <w:tc>
          <w:tcPr>
            <w:cnfStyle w:val="001000000000"/>
            <w:tcW w:w="8828" w:type="dxa"/>
          </w:tcPr>
          <w:p w:rsidR="009A2496" w:rsidRPr="009A2496" w:rsidRDefault="009A2496" w:rsidP="00A92D87">
            <w:r w:rsidRPr="009A2496">
              <w:t>Metodología: Análisis de la información a partir de la cadena de resultados</w:t>
            </w:r>
          </w:p>
        </w:tc>
      </w:tr>
    </w:tbl>
    <w:p w:rsidR="009A2496" w:rsidRPr="009A2496" w:rsidRDefault="009A2496" w:rsidP="00DF63E8">
      <w:pPr>
        <w:numPr>
          <w:ilvl w:val="0"/>
          <w:numId w:val="41"/>
        </w:numPr>
        <w:spacing w:after="0" w:line="240" w:lineRule="auto"/>
        <w:ind w:left="644"/>
        <w:contextualSpacing/>
        <w:rPr>
          <w:rFonts w:eastAsia="Times New Roman" w:cs="Times New Roman"/>
          <w:b/>
          <w:lang w:eastAsia="es-CO"/>
        </w:rPr>
      </w:pPr>
      <w:r w:rsidRPr="009A2496">
        <w:rPr>
          <w:rFonts w:eastAsia="Times New Roman" w:cs="Times New Roman"/>
          <w:b/>
          <w:lang w:eastAsia="es-CO"/>
        </w:rPr>
        <w:t>Información estadística</w:t>
      </w:r>
    </w:p>
    <w:p w:rsidR="009A2496" w:rsidRPr="009A2496" w:rsidRDefault="009A2496"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9A2496" w:rsidRPr="009A2496" w:rsidTr="00000F81">
        <w:tc>
          <w:tcPr>
            <w:tcW w:w="2196" w:type="dxa"/>
          </w:tcPr>
          <w:p w:rsidR="009A2496" w:rsidRPr="009A2496" w:rsidRDefault="009A2496" w:rsidP="00A92D87">
            <w:pPr>
              <w:jc w:val="center"/>
              <w:rPr>
                <w:b/>
              </w:rPr>
            </w:pPr>
            <w:r w:rsidRPr="009A2496">
              <w:rPr>
                <w:b/>
              </w:rPr>
              <w:t>Indicador</w:t>
            </w:r>
          </w:p>
        </w:tc>
        <w:tc>
          <w:tcPr>
            <w:tcW w:w="1765" w:type="dxa"/>
          </w:tcPr>
          <w:p w:rsidR="009A2496" w:rsidRPr="009A2496" w:rsidRDefault="009A2496" w:rsidP="00A92D87">
            <w:pPr>
              <w:jc w:val="center"/>
              <w:rPr>
                <w:b/>
              </w:rPr>
            </w:pPr>
            <w:r w:rsidRPr="009A2496">
              <w:rPr>
                <w:b/>
              </w:rPr>
              <w:t>2011</w:t>
            </w:r>
          </w:p>
        </w:tc>
        <w:tc>
          <w:tcPr>
            <w:tcW w:w="1766" w:type="dxa"/>
          </w:tcPr>
          <w:p w:rsidR="009A2496" w:rsidRPr="009A2496" w:rsidRDefault="009A2496" w:rsidP="00A92D87">
            <w:pPr>
              <w:jc w:val="center"/>
              <w:rPr>
                <w:b/>
              </w:rPr>
            </w:pPr>
            <w:r w:rsidRPr="009A2496">
              <w:rPr>
                <w:b/>
              </w:rPr>
              <w:t>2012</w:t>
            </w:r>
          </w:p>
        </w:tc>
        <w:tc>
          <w:tcPr>
            <w:tcW w:w="1766" w:type="dxa"/>
          </w:tcPr>
          <w:p w:rsidR="009A2496" w:rsidRPr="009A2496" w:rsidRDefault="009A2496" w:rsidP="00A92D87">
            <w:pPr>
              <w:jc w:val="center"/>
              <w:rPr>
                <w:b/>
              </w:rPr>
            </w:pPr>
            <w:r w:rsidRPr="009A2496">
              <w:rPr>
                <w:b/>
              </w:rPr>
              <w:t>2013</w:t>
            </w:r>
          </w:p>
        </w:tc>
        <w:tc>
          <w:tcPr>
            <w:tcW w:w="1766" w:type="dxa"/>
          </w:tcPr>
          <w:p w:rsidR="009A2496" w:rsidRPr="009A2496" w:rsidRDefault="009A2496" w:rsidP="00A92D87">
            <w:pPr>
              <w:jc w:val="center"/>
              <w:rPr>
                <w:b/>
              </w:rPr>
            </w:pPr>
            <w:r w:rsidRPr="009A2496">
              <w:rPr>
                <w:b/>
              </w:rPr>
              <w:t>2014</w:t>
            </w:r>
          </w:p>
        </w:tc>
      </w:tr>
      <w:tr w:rsidR="009A2496" w:rsidRPr="009A2496" w:rsidTr="00000F81">
        <w:tc>
          <w:tcPr>
            <w:tcW w:w="2196" w:type="dxa"/>
          </w:tcPr>
          <w:p w:rsidR="009A2496" w:rsidRPr="009A2496" w:rsidRDefault="009A2496" w:rsidP="00A92D87">
            <w:r w:rsidRPr="009A2496">
              <w:t>Porcentaje de niñas, niños y adolescentes víctimas de amenazas</w:t>
            </w:r>
          </w:p>
        </w:tc>
        <w:tc>
          <w:tcPr>
            <w:tcW w:w="1765" w:type="dxa"/>
          </w:tcPr>
          <w:p w:rsidR="009A2496" w:rsidRPr="009A2496" w:rsidRDefault="009A2496" w:rsidP="00A92D87">
            <w:pPr>
              <w:jc w:val="center"/>
            </w:pPr>
          </w:p>
        </w:tc>
        <w:tc>
          <w:tcPr>
            <w:tcW w:w="1766" w:type="dxa"/>
          </w:tcPr>
          <w:p w:rsidR="009A2496" w:rsidRPr="009A2496" w:rsidRDefault="009A2496" w:rsidP="00A92D87">
            <w:pPr>
              <w:jc w:val="center"/>
            </w:pPr>
          </w:p>
          <w:tbl>
            <w:tblPr>
              <w:tblW w:w="1200" w:type="dxa"/>
              <w:tblCellMar>
                <w:left w:w="70" w:type="dxa"/>
                <w:right w:w="70" w:type="dxa"/>
              </w:tblCellMar>
              <w:tblLook w:val="04A0"/>
            </w:tblPr>
            <w:tblGrid>
              <w:gridCol w:w="1200"/>
            </w:tblGrid>
            <w:tr w:rsidR="009A2496" w:rsidRPr="009A2496"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3,75</w:t>
                  </w:r>
                </w:p>
              </w:tc>
            </w:tr>
            <w:tr w:rsidR="009A2496" w:rsidRPr="009A2496" w:rsidTr="00000F81">
              <w:trPr>
                <w:trHeight w:val="315"/>
              </w:trPr>
              <w:tc>
                <w:tcPr>
                  <w:tcW w:w="1200" w:type="dxa"/>
                  <w:tcBorders>
                    <w:top w:val="nil"/>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19,51</w:t>
                  </w:r>
                </w:p>
              </w:tc>
            </w:tr>
            <w:tr w:rsidR="009A2496" w:rsidRPr="009A2496" w:rsidTr="00000F81">
              <w:trPr>
                <w:trHeight w:val="315"/>
              </w:trPr>
              <w:tc>
                <w:tcPr>
                  <w:tcW w:w="1200" w:type="dxa"/>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15,25</w:t>
                  </w:r>
                </w:p>
              </w:tc>
            </w:tr>
          </w:tbl>
          <w:p w:rsidR="009A2496" w:rsidRPr="009A2496" w:rsidRDefault="009A2496" w:rsidP="00A92D87">
            <w:pPr>
              <w:jc w:val="center"/>
            </w:pPr>
          </w:p>
        </w:tc>
        <w:tc>
          <w:tcPr>
            <w:tcW w:w="1766" w:type="dxa"/>
          </w:tcPr>
          <w:p w:rsidR="009A2496" w:rsidRPr="009A2496" w:rsidRDefault="009A2496" w:rsidP="00A92D87">
            <w:pPr>
              <w:jc w:val="center"/>
            </w:pPr>
          </w:p>
          <w:tbl>
            <w:tblPr>
              <w:tblW w:w="1200" w:type="dxa"/>
              <w:tblCellMar>
                <w:left w:w="70" w:type="dxa"/>
                <w:right w:w="70" w:type="dxa"/>
              </w:tblCellMar>
              <w:tblLook w:val="04A0"/>
            </w:tblPr>
            <w:tblGrid>
              <w:gridCol w:w="1200"/>
            </w:tblGrid>
            <w:tr w:rsidR="009A2496" w:rsidRPr="009A2496"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8,96</w:t>
                  </w:r>
                </w:p>
              </w:tc>
            </w:tr>
            <w:tr w:rsidR="009A2496" w:rsidRPr="009A2496" w:rsidTr="00000F81">
              <w:trPr>
                <w:trHeight w:val="315"/>
              </w:trPr>
              <w:tc>
                <w:tcPr>
                  <w:tcW w:w="1200" w:type="dxa"/>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17,5</w:t>
                  </w:r>
                </w:p>
              </w:tc>
            </w:tr>
            <w:tr w:rsidR="009A2496" w:rsidRPr="009A2496" w:rsidTr="00000F81">
              <w:trPr>
                <w:trHeight w:val="315"/>
              </w:trPr>
              <w:tc>
                <w:tcPr>
                  <w:tcW w:w="1200" w:type="dxa"/>
                  <w:tcBorders>
                    <w:top w:val="nil"/>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25,93</w:t>
                  </w:r>
                </w:p>
              </w:tc>
            </w:tr>
          </w:tbl>
          <w:p w:rsidR="009A2496" w:rsidRPr="009A2496" w:rsidRDefault="009A2496" w:rsidP="00A92D87">
            <w:pPr>
              <w:jc w:val="center"/>
            </w:pPr>
          </w:p>
        </w:tc>
        <w:tc>
          <w:tcPr>
            <w:tcW w:w="1766" w:type="dxa"/>
          </w:tcPr>
          <w:p w:rsidR="009A2496" w:rsidRPr="009A2496" w:rsidRDefault="009A2496" w:rsidP="00A92D87">
            <w:pPr>
              <w:jc w:val="center"/>
            </w:pPr>
          </w:p>
          <w:tbl>
            <w:tblPr>
              <w:tblW w:w="1200" w:type="dxa"/>
              <w:tblCellMar>
                <w:left w:w="70" w:type="dxa"/>
                <w:right w:w="70" w:type="dxa"/>
              </w:tblCellMar>
              <w:tblLook w:val="04A0"/>
            </w:tblPr>
            <w:tblGrid>
              <w:gridCol w:w="1200"/>
            </w:tblGrid>
            <w:tr w:rsidR="009A2496" w:rsidRPr="009A2496"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23,08</w:t>
                  </w:r>
                </w:p>
              </w:tc>
            </w:tr>
            <w:tr w:rsidR="009A2496" w:rsidRPr="009A2496" w:rsidTr="00000F81">
              <w:trPr>
                <w:trHeight w:val="315"/>
              </w:trPr>
              <w:tc>
                <w:tcPr>
                  <w:tcW w:w="1200" w:type="dxa"/>
                  <w:tcBorders>
                    <w:top w:val="nil"/>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19,44</w:t>
                  </w:r>
                </w:p>
              </w:tc>
            </w:tr>
            <w:tr w:rsidR="009A2496" w:rsidRPr="009A2496" w:rsidTr="00000F81">
              <w:trPr>
                <w:trHeight w:val="315"/>
              </w:trPr>
              <w:tc>
                <w:tcPr>
                  <w:tcW w:w="1200" w:type="dxa"/>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20</w:t>
                  </w:r>
                </w:p>
              </w:tc>
            </w:tr>
          </w:tbl>
          <w:p w:rsidR="009A2496" w:rsidRPr="009A2496" w:rsidRDefault="009A2496" w:rsidP="00A92D87">
            <w:pPr>
              <w:jc w:val="center"/>
            </w:pPr>
          </w:p>
        </w:tc>
      </w:tr>
      <w:tr w:rsidR="009A2496" w:rsidRPr="009A2496" w:rsidTr="00000F81">
        <w:tc>
          <w:tcPr>
            <w:tcW w:w="9259" w:type="dxa"/>
            <w:gridSpan w:val="5"/>
          </w:tcPr>
          <w:p w:rsidR="009A2496" w:rsidRPr="009A2496" w:rsidRDefault="009A2496" w:rsidP="00A92D87">
            <w:pPr>
              <w:rPr>
                <w:b/>
              </w:rPr>
            </w:pPr>
            <w:r w:rsidRPr="009A2496">
              <w:rPr>
                <w:b/>
              </w:rPr>
              <w:t>Fuente y año:  UNIDAD DE VICTIMAS</w:t>
            </w:r>
          </w:p>
        </w:tc>
      </w:tr>
    </w:tbl>
    <w:p w:rsidR="009A2496" w:rsidRPr="009A2496" w:rsidRDefault="009A2496" w:rsidP="00A92D87">
      <w:pPr>
        <w:spacing w:line="240" w:lineRule="auto"/>
        <w:rPr>
          <w:b/>
        </w:rPr>
      </w:pPr>
    </w:p>
    <w:p w:rsidR="009A2496" w:rsidRPr="009A2496" w:rsidRDefault="009A2496" w:rsidP="00A92D87">
      <w:pPr>
        <w:spacing w:line="240" w:lineRule="auto"/>
        <w:rPr>
          <w:b/>
        </w:rPr>
      </w:pPr>
      <w:r w:rsidRPr="009A2496">
        <w:rPr>
          <w:b/>
        </w:rPr>
        <w:t xml:space="preserve">Gráfico: </w:t>
      </w:r>
    </w:p>
    <w:tbl>
      <w:tblPr>
        <w:tblW w:w="7561" w:type="dxa"/>
        <w:tblInd w:w="55" w:type="dxa"/>
        <w:tblCellMar>
          <w:left w:w="70" w:type="dxa"/>
          <w:right w:w="70" w:type="dxa"/>
        </w:tblCellMar>
        <w:tblLook w:val="04A0"/>
      </w:tblPr>
      <w:tblGrid>
        <w:gridCol w:w="1045"/>
        <w:gridCol w:w="715"/>
        <w:gridCol w:w="1485"/>
        <w:gridCol w:w="1717"/>
        <w:gridCol w:w="1399"/>
        <w:gridCol w:w="1200"/>
      </w:tblGrid>
      <w:tr w:rsidR="009A2496" w:rsidRPr="009A2496"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9A2496" w:rsidRPr="009A2496" w:rsidRDefault="009A2496" w:rsidP="00A92D87">
            <w:pPr>
              <w:spacing w:after="0" w:line="240" w:lineRule="auto"/>
              <w:rPr>
                <w:rFonts w:eastAsia="Times New Roman" w:cs="Arial"/>
                <w:b/>
                <w:bCs/>
                <w:color w:val="000000"/>
                <w:lang w:eastAsia="es-CO"/>
              </w:rPr>
            </w:pPr>
            <w:r w:rsidRPr="009A2496">
              <w:rPr>
                <w:rFonts w:eastAsia="Times New Roman" w:cs="Arial"/>
                <w:b/>
                <w:bCs/>
                <w:color w:val="000000"/>
                <w:lang w:eastAsia="es-CO"/>
              </w:rPr>
              <w:t>RESULTADO</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20</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33</w:t>
            </w:r>
          </w:p>
        </w:tc>
        <w:tc>
          <w:tcPr>
            <w:tcW w:w="139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3,03</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23</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4,35</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2011</w:t>
            </w:r>
          </w:p>
        </w:tc>
        <w:tc>
          <w:tcPr>
            <w:tcW w:w="71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w:t>
            </w:r>
          </w:p>
        </w:tc>
        <w:tc>
          <w:tcPr>
            <w:tcW w:w="171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65</w:t>
            </w:r>
          </w:p>
        </w:tc>
        <w:tc>
          <w:tcPr>
            <w:tcW w:w="139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3,08</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49</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2,04</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w:t>
            </w:r>
          </w:p>
        </w:tc>
        <w:tc>
          <w:tcPr>
            <w:tcW w:w="171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54</w:t>
            </w:r>
          </w:p>
        </w:tc>
        <w:tc>
          <w:tcPr>
            <w:tcW w:w="139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9,26</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2012</w:t>
            </w: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80</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3,75</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16</w:t>
            </w:r>
          </w:p>
        </w:tc>
        <w:tc>
          <w:tcPr>
            <w:tcW w:w="171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82</w:t>
            </w:r>
          </w:p>
        </w:tc>
        <w:tc>
          <w:tcPr>
            <w:tcW w:w="139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19,51</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59</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15,25</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6</w:t>
            </w:r>
          </w:p>
        </w:tc>
        <w:tc>
          <w:tcPr>
            <w:tcW w:w="171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67</w:t>
            </w:r>
          </w:p>
        </w:tc>
        <w:tc>
          <w:tcPr>
            <w:tcW w:w="139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8,96</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jc w:val="right"/>
              <w:rPr>
                <w:rFonts w:eastAsia="Times New Roman" w:cs="Times New Roman"/>
                <w:color w:val="000000"/>
                <w:lang w:eastAsia="es-CO"/>
              </w:rPr>
            </w:pPr>
            <w:r w:rsidRPr="009A2496">
              <w:rPr>
                <w:rFonts w:eastAsia="Times New Roman" w:cs="Times New Roman"/>
                <w:color w:val="000000"/>
                <w:lang w:eastAsia="es-CO"/>
              </w:rPr>
              <w:t>17,0466667</w:t>
            </w: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7</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40</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17,5</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14</w:t>
            </w:r>
          </w:p>
        </w:tc>
        <w:tc>
          <w:tcPr>
            <w:tcW w:w="171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54</w:t>
            </w:r>
          </w:p>
        </w:tc>
        <w:tc>
          <w:tcPr>
            <w:tcW w:w="139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25,93</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rPr>
                <w:rFonts w:eastAsia="Times New Roman" w:cs="Arial"/>
                <w:color w:val="000000"/>
                <w:lang w:eastAsia="es-CO"/>
              </w:rPr>
            </w:pPr>
            <w:r w:rsidRPr="009A2496">
              <w:rPr>
                <w:rFonts w:eastAsia="Times New Roman" w:cs="Arial"/>
                <w:color w:val="000000"/>
                <w:lang w:eastAsia="es-CO"/>
              </w:rPr>
              <w:t>2014</w:t>
            </w: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9</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39</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23,08</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7</w:t>
            </w:r>
          </w:p>
        </w:tc>
        <w:tc>
          <w:tcPr>
            <w:tcW w:w="1717"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36</w:t>
            </w:r>
          </w:p>
        </w:tc>
        <w:tc>
          <w:tcPr>
            <w:tcW w:w="1399" w:type="dxa"/>
            <w:tcBorders>
              <w:top w:val="nil"/>
              <w:left w:val="nil"/>
              <w:bottom w:val="single" w:sz="8" w:space="0" w:color="E8EEF4"/>
              <w:right w:val="single" w:sz="8" w:space="0" w:color="E8EEF4"/>
            </w:tcBorders>
            <w:shd w:val="clear" w:color="auto" w:fill="auto"/>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19,44</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r w:rsidR="009A2496" w:rsidRPr="009A2496"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A2496" w:rsidRPr="009A2496" w:rsidRDefault="009A2496"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7</w:t>
            </w:r>
          </w:p>
        </w:tc>
        <w:tc>
          <w:tcPr>
            <w:tcW w:w="1717"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35</w:t>
            </w:r>
          </w:p>
        </w:tc>
        <w:tc>
          <w:tcPr>
            <w:tcW w:w="1399" w:type="dxa"/>
            <w:tcBorders>
              <w:top w:val="nil"/>
              <w:left w:val="nil"/>
              <w:bottom w:val="single" w:sz="8" w:space="0" w:color="E8EEF4"/>
              <w:right w:val="single" w:sz="8" w:space="0" w:color="E8EEF4"/>
            </w:tcBorders>
            <w:shd w:val="clear" w:color="000000" w:fill="F8F8F8"/>
            <w:vAlign w:val="bottom"/>
            <w:hideMark/>
          </w:tcPr>
          <w:p w:rsidR="009A2496" w:rsidRPr="009A2496" w:rsidRDefault="009A2496" w:rsidP="00A92D87">
            <w:pPr>
              <w:spacing w:after="0" w:line="240" w:lineRule="auto"/>
              <w:jc w:val="right"/>
              <w:rPr>
                <w:rFonts w:eastAsia="Times New Roman" w:cs="Arial"/>
                <w:color w:val="000000"/>
                <w:lang w:eastAsia="es-CO"/>
              </w:rPr>
            </w:pPr>
            <w:r w:rsidRPr="009A2496">
              <w:rPr>
                <w:rFonts w:eastAsia="Times New Roman" w:cs="Arial"/>
                <w:color w:val="000000"/>
                <w:lang w:eastAsia="es-CO"/>
              </w:rPr>
              <w:t>20</w:t>
            </w:r>
          </w:p>
        </w:tc>
        <w:tc>
          <w:tcPr>
            <w:tcW w:w="1200" w:type="dxa"/>
            <w:tcBorders>
              <w:top w:val="nil"/>
              <w:left w:val="nil"/>
              <w:bottom w:val="nil"/>
              <w:right w:val="nil"/>
            </w:tcBorders>
            <w:shd w:val="clear" w:color="auto" w:fill="auto"/>
            <w:noWrap/>
            <w:vAlign w:val="bottom"/>
            <w:hideMark/>
          </w:tcPr>
          <w:p w:rsidR="009A2496" w:rsidRPr="009A2496" w:rsidRDefault="009A2496" w:rsidP="00A92D87">
            <w:pPr>
              <w:spacing w:after="0" w:line="240" w:lineRule="auto"/>
              <w:rPr>
                <w:rFonts w:eastAsia="Times New Roman" w:cs="Times New Roman"/>
                <w:color w:val="000000"/>
                <w:lang w:eastAsia="es-CO"/>
              </w:rPr>
            </w:pPr>
          </w:p>
        </w:tc>
      </w:tr>
    </w:tbl>
    <w:p w:rsidR="009A2496" w:rsidRPr="009A2496" w:rsidRDefault="009A2496" w:rsidP="00A92D87">
      <w:pPr>
        <w:spacing w:line="240" w:lineRule="auto"/>
        <w:jc w:val="both"/>
        <w:rPr>
          <w:b/>
        </w:rPr>
      </w:pPr>
    </w:p>
    <w:p w:rsidR="009A2496" w:rsidRPr="009A2496" w:rsidRDefault="009A2496" w:rsidP="00A92D87">
      <w:pPr>
        <w:spacing w:line="240" w:lineRule="auto"/>
        <w:jc w:val="both"/>
        <w:rPr>
          <w:b/>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Situación detectada: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Se evidencia que en los años 2012 - 2014  se presentaron víctimas registradas pertenecientes al grupo de NNA, que han recibido algún tipo de amenaza por actores ilegales que ponen en riesgo su vida e integridad personal.</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rPr>
          <w:rFonts w:eastAsia="Times New Roman" w:cs="Times New Roman"/>
          <w:b/>
          <w:lang w:eastAsia="es-CO"/>
        </w:rPr>
      </w:pPr>
      <w:r w:rsidRPr="009A2496">
        <w:rPr>
          <w:rFonts w:eastAsia="Times New Roman" w:cs="Times New Roman"/>
          <w:b/>
          <w:lang w:eastAsia="es-CO"/>
        </w:rPr>
        <w:t xml:space="preserve">Insumos: </w:t>
      </w:r>
    </w:p>
    <w:p w:rsidR="002616FA" w:rsidRDefault="002616FA"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Los datos aportados fueron suministrados por la Unidad para la Atención y Reparación Integral a las Victimas y la Red Nacional de Información. </w:t>
      </w:r>
    </w:p>
    <w:p w:rsidR="002616FA" w:rsidRDefault="002616FA" w:rsidP="00A92D87">
      <w:pPr>
        <w:spacing w:after="0" w:line="240" w:lineRule="auto"/>
        <w:contextualSpacing/>
        <w:jc w:val="both"/>
        <w:rPr>
          <w:rFonts w:eastAsia="Times New Roman" w:cs="Times New Roman"/>
          <w:lang w:eastAsia="es-CO"/>
        </w:rPr>
      </w:pPr>
    </w:p>
    <w:p w:rsid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w:t>
      </w:r>
      <w:proofErr w:type="spellStart"/>
      <w:r w:rsidRPr="009A2496">
        <w:rPr>
          <w:rFonts w:eastAsia="Times New Roman" w:cs="Times New Roman"/>
          <w:lang w:eastAsia="es-CO"/>
        </w:rPr>
        <w:t>victimizantes</w:t>
      </w:r>
      <w:proofErr w:type="spellEnd"/>
      <w:r w:rsidRPr="009A2496">
        <w:rPr>
          <w:rFonts w:eastAsia="Times New Roman" w:cs="Times New Roman"/>
          <w:lang w:eastAsia="es-CO"/>
        </w:rPr>
        <w:t>.</w:t>
      </w:r>
    </w:p>
    <w:p w:rsidR="002616FA" w:rsidRPr="009A2496" w:rsidRDefault="002616FA"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Programas, Proyectos y Acciones para mejorar la situación del indicador (2012 -2015):</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Desde el programa de atención a víctimas se orientan a NNA afectadas por este hecho victimizantes para que inicien la ruta única de atención con la Unidad Nacional de Protección.</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lastRenderedPageBreak/>
        <w:t xml:space="preserve">Programa: Articulo 74; Programa Atención a Víctimas de la Violencia del Conflicto Armado del Plan de Desarrollo Municipal de Pasto.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Proyecto: Atención y Orientación a Población Victima de la Violencia del Conflicto Armado- Municipio de Pasto radicado 20145200110163 de diciembre de 2014.</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1.</w:t>
      </w:r>
      <w:r w:rsidRPr="009A2496">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2.</w:t>
      </w:r>
      <w:r w:rsidRPr="009A2496">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b/>
          <w:lang w:eastAsia="es-CO"/>
        </w:rPr>
      </w:pPr>
      <w:r w:rsidRPr="009A2496">
        <w:rPr>
          <w:rFonts w:eastAsia="Times New Roman" w:cs="Times New Roman"/>
          <w:b/>
          <w:lang w:eastAsia="es-CO"/>
        </w:rPr>
        <w:t xml:space="preserve">Productos: </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La atención humanitaria a Victimas NNA del conflicto armado de Colombia se realiza por demanda y de acuerdo a la dinámica del conflicto armado que existe en el momento.</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 xml:space="preserve">Resultados al término de la gestión  (2012 -2014):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line="240" w:lineRule="auto"/>
        <w:jc w:val="both"/>
      </w:pPr>
      <w:r w:rsidRPr="009A2496">
        <w:t>Se atendieron a la totalidad de población de NNA víctimas del desplazamiento forzado causado por el conflicto armado que requirieron atención y orientación dentro de la etapa inmediata de atención en las siguientes proporciones:</w:t>
      </w:r>
    </w:p>
    <w:p w:rsidR="009A2496" w:rsidRPr="009A2496" w:rsidRDefault="009A2496" w:rsidP="00A92D87">
      <w:pPr>
        <w:numPr>
          <w:ilvl w:val="0"/>
          <w:numId w:val="34"/>
        </w:numPr>
        <w:spacing w:after="0" w:line="240" w:lineRule="auto"/>
        <w:contextualSpacing/>
        <w:jc w:val="both"/>
        <w:rPr>
          <w:rFonts w:eastAsia="Times New Roman" w:cs="Times New Roman"/>
          <w:lang w:eastAsia="es-CO"/>
        </w:rPr>
      </w:pPr>
      <w:r w:rsidRPr="009A2496">
        <w:rPr>
          <w:rFonts w:eastAsia="Times New Roman" w:cs="Times New Roman"/>
          <w:lang w:eastAsia="es-CO"/>
        </w:rPr>
        <w:t>2012: 28 NNA</w:t>
      </w:r>
    </w:p>
    <w:p w:rsidR="009A2496" w:rsidRPr="009A2496" w:rsidRDefault="009A2496" w:rsidP="00A92D87">
      <w:pPr>
        <w:numPr>
          <w:ilvl w:val="0"/>
          <w:numId w:val="34"/>
        </w:numPr>
        <w:spacing w:after="0" w:line="240" w:lineRule="auto"/>
        <w:contextualSpacing/>
        <w:jc w:val="both"/>
        <w:rPr>
          <w:rFonts w:eastAsia="Times New Roman" w:cs="Times New Roman"/>
          <w:lang w:eastAsia="es-CO"/>
        </w:rPr>
      </w:pPr>
      <w:r w:rsidRPr="009A2496">
        <w:rPr>
          <w:rFonts w:eastAsia="Times New Roman" w:cs="Times New Roman"/>
          <w:lang w:eastAsia="es-CO"/>
        </w:rPr>
        <w:t>2013: 27 NNA</w:t>
      </w:r>
    </w:p>
    <w:p w:rsidR="009A2496" w:rsidRPr="009A2496" w:rsidRDefault="009A2496" w:rsidP="00A92D87">
      <w:pPr>
        <w:numPr>
          <w:ilvl w:val="0"/>
          <w:numId w:val="34"/>
        </w:numPr>
        <w:spacing w:after="0" w:line="240" w:lineRule="auto"/>
        <w:contextualSpacing/>
        <w:jc w:val="both"/>
        <w:rPr>
          <w:rFonts w:eastAsia="Times New Roman" w:cs="Times New Roman"/>
          <w:lang w:eastAsia="es-CO"/>
        </w:rPr>
      </w:pPr>
      <w:r w:rsidRPr="009A2496">
        <w:rPr>
          <w:rFonts w:eastAsia="Times New Roman" w:cs="Times New Roman"/>
          <w:lang w:eastAsia="es-CO"/>
        </w:rPr>
        <w:t>2014: 23 NNA</w:t>
      </w:r>
    </w:p>
    <w:p w:rsidR="009A2496" w:rsidRPr="009A2496" w:rsidRDefault="009A2496" w:rsidP="00A92D87">
      <w:pPr>
        <w:spacing w:after="0" w:line="240" w:lineRule="auto"/>
        <w:contextualSpacing/>
        <w:rPr>
          <w:rFonts w:eastAsia="Times New Roman" w:cs="Calibri"/>
          <w:color w:val="000000"/>
          <w:lang w:eastAsia="es-CO"/>
        </w:rPr>
      </w:pPr>
    </w:p>
    <w:p w:rsidR="009A2496" w:rsidRPr="009A2496" w:rsidRDefault="009A2496" w:rsidP="00DF63E8">
      <w:pPr>
        <w:numPr>
          <w:ilvl w:val="0"/>
          <w:numId w:val="41"/>
        </w:numPr>
        <w:spacing w:after="0" w:line="240" w:lineRule="auto"/>
        <w:ind w:left="644"/>
        <w:contextualSpacing/>
        <w:rPr>
          <w:rFonts w:eastAsia="Times New Roman" w:cs="Calibri"/>
          <w:color w:val="000000"/>
          <w:lang w:eastAsia="es-CO"/>
        </w:rPr>
      </w:pPr>
      <w:r w:rsidRPr="009A2496">
        <w:rPr>
          <w:rFonts w:eastAsia="Times New Roman" w:cs="Times New Roman"/>
          <w:b/>
          <w:lang w:eastAsia="es-CO"/>
        </w:rPr>
        <w:t xml:space="preserve">Impacto:   </w:t>
      </w:r>
    </w:p>
    <w:p w:rsidR="009A2496" w:rsidRPr="009A2496" w:rsidRDefault="009A2496" w:rsidP="00A92D87">
      <w:pPr>
        <w:spacing w:after="0" w:line="240" w:lineRule="auto"/>
        <w:contextualSpacing/>
        <w:rPr>
          <w:rFonts w:eastAsia="Times New Roman" w:cs="Calibri"/>
          <w:color w:val="000000"/>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Programa: Articulo 74; Programa Atención a Víctimas de la Violencia del Conflicto Armado del Plan de Desarrollo Municipal de Pasto.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Proyecto: Atención y Orientación a Población Victima de la Violencia del Conflicto Armado- Municipio de Pasto radicado 20145200110163 de diciembre de 2014.</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1.</w:t>
      </w:r>
      <w:r w:rsidRPr="009A2496">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2.</w:t>
      </w:r>
      <w:r w:rsidRPr="009A2496">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Prioridades</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 xml:space="preserve">En el periodo analizado 2012- 2014 se evidencia que las edades de mayor vulneración de Derechos a la Protección de NNA se presentó en las comprendidas de los 6 – 11 y de 12 - 17 años en el periodo comprendido en el año 2012 y 2013 con un número total de víctimas atendidas de 50 menores entre las edades anteriormente relacionadas. </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DF63E8">
      <w:pPr>
        <w:numPr>
          <w:ilvl w:val="0"/>
          <w:numId w:val="41"/>
        </w:numPr>
        <w:spacing w:after="0" w:line="240" w:lineRule="auto"/>
        <w:ind w:left="644"/>
        <w:contextualSpacing/>
        <w:jc w:val="both"/>
        <w:rPr>
          <w:rFonts w:eastAsia="Times New Roman" w:cs="Times New Roman"/>
          <w:b/>
          <w:lang w:eastAsia="es-CO"/>
        </w:rPr>
      </w:pPr>
      <w:r w:rsidRPr="009A2496">
        <w:rPr>
          <w:rFonts w:eastAsia="Times New Roman" w:cs="Times New Roman"/>
          <w:b/>
          <w:lang w:eastAsia="es-CO"/>
        </w:rPr>
        <w:t>Recomendaciones</w:t>
      </w:r>
    </w:p>
    <w:p w:rsidR="009A2496" w:rsidRPr="009A2496" w:rsidRDefault="009A2496" w:rsidP="00A92D87">
      <w:pPr>
        <w:spacing w:after="0" w:line="240" w:lineRule="auto"/>
        <w:contextualSpacing/>
        <w:jc w:val="both"/>
        <w:rPr>
          <w:rFonts w:eastAsia="Times New Roman" w:cs="Times New Roman"/>
          <w:b/>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lastRenderedPageBreak/>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9A2496" w:rsidRPr="009A2496" w:rsidRDefault="009A2496" w:rsidP="00A92D87">
      <w:pPr>
        <w:spacing w:after="0" w:line="240" w:lineRule="auto"/>
        <w:contextualSpacing/>
        <w:jc w:val="both"/>
        <w:rPr>
          <w:rFonts w:eastAsia="Times New Roman" w:cs="Times New Roman"/>
          <w:lang w:eastAsia="es-CO"/>
        </w:rPr>
      </w:pPr>
    </w:p>
    <w:p w:rsidR="009A2496" w:rsidRPr="009A2496" w:rsidRDefault="009A2496" w:rsidP="00A92D87">
      <w:pPr>
        <w:spacing w:after="0" w:line="240" w:lineRule="auto"/>
        <w:contextualSpacing/>
        <w:jc w:val="both"/>
        <w:rPr>
          <w:rFonts w:eastAsia="Times New Roman" w:cs="Times New Roman"/>
          <w:lang w:eastAsia="es-CO"/>
        </w:rPr>
      </w:pPr>
      <w:r w:rsidRPr="009A2496">
        <w:rPr>
          <w:rFonts w:eastAsia="Times New Roman" w:cs="Times New Roman"/>
          <w:lang w:eastAsia="es-CO"/>
        </w:rPr>
        <w:t>Se debe activar de manera urgente la ruta única de la Unidad Nacional de Protección y se informe a las autoridades policivas locales para que protejan la vida e integridad personal de las víctimas.</w:t>
      </w:r>
    </w:p>
    <w:p w:rsidR="009A2496" w:rsidRPr="009A2496" w:rsidRDefault="009A2496" w:rsidP="00A92D87">
      <w:pPr>
        <w:spacing w:line="240" w:lineRule="auto"/>
        <w:jc w:val="both"/>
      </w:pPr>
    </w:p>
    <w:p w:rsidR="009A2496" w:rsidRPr="009A2496" w:rsidRDefault="009A2496"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9A2496">
        <w:rPr>
          <w:rFonts w:eastAsia="Calibri" w:cs="Times New Roman"/>
          <w:b/>
          <w:i/>
          <w:iCs/>
        </w:rPr>
        <w:t>DESCRIPCIÓN DEL INDICADOR No. 78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361"/>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40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violencia contra niños, niñas  y adolescentes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OBSERVATORIO DEL DELITO MUNICIPIO DE PASTO</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bl>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47"/>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t>Información estadística</w:t>
      </w:r>
    </w:p>
    <w:p w:rsidR="009A2496" w:rsidRPr="009A2496" w:rsidRDefault="009A2496"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9A2496" w:rsidRPr="009A2496" w:rsidTr="00000F81">
        <w:tc>
          <w:tcPr>
            <w:tcW w:w="219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Indicador</w:t>
            </w:r>
          </w:p>
        </w:tc>
        <w:tc>
          <w:tcPr>
            <w:tcW w:w="1765"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2011</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2012</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2013</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2014</w:t>
            </w:r>
          </w:p>
        </w:tc>
      </w:tr>
      <w:tr w:rsidR="009A2496" w:rsidRPr="009A2496" w:rsidTr="00000F81">
        <w:tc>
          <w:tcPr>
            <w:tcW w:w="2196" w:type="dxa"/>
            <w:shd w:val="clear" w:color="auto" w:fill="auto"/>
          </w:tcPr>
          <w:p w:rsidR="009A2496" w:rsidRPr="009A2496" w:rsidRDefault="009A2496" w:rsidP="00A92D87">
            <w:pPr>
              <w:spacing w:after="0" w:line="240" w:lineRule="auto"/>
              <w:rPr>
                <w:rFonts w:eastAsia="Calibri" w:cs="Times New Roman"/>
                <w:lang w:eastAsia="es-CO"/>
              </w:rPr>
            </w:pPr>
            <w:r w:rsidRPr="009A2496">
              <w:rPr>
                <w:rFonts w:eastAsia="Calibri" w:cs="Times New Roman"/>
                <w:lang w:eastAsia="es-CO"/>
              </w:rPr>
              <w:t>Tasa de violencia contra niños, niñas  y adolescentes</w:t>
            </w:r>
          </w:p>
        </w:tc>
        <w:tc>
          <w:tcPr>
            <w:tcW w:w="1765"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1632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1869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1784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1317 x 100000 Hbts</w:t>
            </w:r>
          </w:p>
        </w:tc>
      </w:tr>
      <w:tr w:rsidR="009A2496" w:rsidRPr="009A2496" w:rsidTr="00000F81">
        <w:tc>
          <w:tcPr>
            <w:tcW w:w="9259" w:type="dxa"/>
            <w:gridSpan w:val="5"/>
            <w:shd w:val="clear" w:color="auto" w:fill="auto"/>
          </w:tcPr>
          <w:p w:rsidR="009A2496" w:rsidRPr="009A2496" w:rsidRDefault="009A2496" w:rsidP="00A92D87">
            <w:pPr>
              <w:spacing w:after="0" w:line="240" w:lineRule="auto"/>
              <w:rPr>
                <w:rFonts w:eastAsia="Calibri" w:cs="Times New Roman"/>
                <w:b/>
                <w:lang w:eastAsia="es-CO"/>
              </w:rPr>
            </w:pPr>
            <w:r w:rsidRPr="009A2496">
              <w:rPr>
                <w:rFonts w:eastAsia="Calibri" w:cs="Times New Roman"/>
                <w:b/>
                <w:lang w:eastAsia="es-CO"/>
              </w:rPr>
              <w:t>Fuente y año:  OBSERVATORIO DEL DELITO</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spacing w:after="200" w:line="240" w:lineRule="auto"/>
        <w:rPr>
          <w:rFonts w:eastAsia="Calibri" w:cs="Times New Roman"/>
          <w:b/>
        </w:rPr>
      </w:pPr>
      <w:r w:rsidRPr="009A2496">
        <w:rPr>
          <w:rFonts w:eastAsia="Calibri" w:cs="Times New Roman"/>
          <w:b/>
        </w:rPr>
        <w:t xml:space="preserve">Gráfico: </w:t>
      </w:r>
    </w:p>
    <w:p w:rsidR="009A2496" w:rsidRPr="009A2496" w:rsidRDefault="009A2496" w:rsidP="00A92D87">
      <w:pPr>
        <w:spacing w:after="200" w:line="240" w:lineRule="auto"/>
        <w:rPr>
          <w:rFonts w:eastAsia="Calibri" w:cs="Times New Roman"/>
          <w:b/>
        </w:rPr>
      </w:pPr>
      <w:r w:rsidRPr="009A2496">
        <w:rPr>
          <w:rFonts w:eastAsia="Calibri" w:cs="Times New Roman"/>
          <w:noProof/>
          <w:lang w:val="es-ES" w:eastAsia="es-ES"/>
        </w:rPr>
        <w:lastRenderedPageBreak/>
        <w:drawing>
          <wp:inline distT="0" distB="0" distL="0" distR="0">
            <wp:extent cx="5629275" cy="2475865"/>
            <wp:effectExtent l="0" t="0" r="9525" b="635"/>
            <wp:docPr id="30"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A2496" w:rsidRPr="009A2496" w:rsidRDefault="009A2496" w:rsidP="00A92D87">
      <w:pPr>
        <w:numPr>
          <w:ilvl w:val="0"/>
          <w:numId w:val="4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Situación detectada </w:t>
      </w:r>
    </w:p>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 xml:space="preserve">Para este indicador se tuvo en cuenta la sumatoria de los casos de violencia interpersonal y violencia intrafamiliar, para el año 2014 se presenta una reducción de 467 puntos sobre la tasa con respecto al año 2013. </w:t>
      </w:r>
    </w:p>
    <w:p w:rsidR="009A2496" w:rsidRPr="009A2496" w:rsidRDefault="009A2496" w:rsidP="00A92D87">
      <w:pPr>
        <w:numPr>
          <w:ilvl w:val="0"/>
          <w:numId w:val="4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A2496" w:rsidRPr="009A2496" w:rsidRDefault="009A2496" w:rsidP="00A92D87">
      <w:pPr>
        <w:suppressAutoHyphens/>
        <w:spacing w:after="0" w:line="240" w:lineRule="auto"/>
        <w:ind w:left="1080"/>
        <w:contextualSpacing/>
        <w:rPr>
          <w:rFonts w:eastAsia="Times New Roman" w:cs="Times New Roman"/>
          <w:lang w:val="es-ES" w:eastAsia="ar-SA"/>
        </w:rPr>
      </w:pPr>
    </w:p>
    <w:p w:rsidR="009A2496" w:rsidRPr="009A2496" w:rsidRDefault="009A2496" w:rsidP="00A92D87">
      <w:pPr>
        <w:numPr>
          <w:ilvl w:val="0"/>
          <w:numId w:val="4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pacing w:after="200" w:line="240" w:lineRule="auto"/>
        <w:ind w:left="360"/>
        <w:jc w:val="both"/>
        <w:rPr>
          <w:rFonts w:eastAsia="Calibri" w:cs="Times New Roman"/>
          <w:b/>
        </w:rPr>
      </w:pPr>
      <w:r w:rsidRPr="009A2496">
        <w:rPr>
          <w:rFonts w:eastAsia="Calibri" w:cs="Times New Roman"/>
        </w:rPr>
        <w:t>El Observatorio del Delito, hace parte de la Red de atención al buen trato, donde hacen parte instituciones a nivel local y nacional que tienen que ver con las problemáticas de violencia intrafamiliar, sexual, contra la mujer y maltrato infantil.</w:t>
      </w:r>
    </w:p>
    <w:p w:rsidR="009A2496" w:rsidRPr="009A2496" w:rsidRDefault="009A2496" w:rsidP="00A92D87">
      <w:pPr>
        <w:numPr>
          <w:ilvl w:val="0"/>
          <w:numId w:val="4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Resultados al término de la gestión  (2012 -2014)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El maltrato infantil en la familia lo podemos distinguir así: los adultos ejercen sobre los niños, negligencias que se expresan en desprotección y/o abandono, el maltrato físico que es toda forma de castigo corporal, se refiere a cualquier lesión, fracturas, quemaduras y daño físico ocasionado por algún adulto y el maltrato psicológico. Puede ser el resultado o incidentes </w:t>
      </w:r>
      <w:r w:rsidRPr="009A2496">
        <w:rPr>
          <w:rFonts w:eastAsia="Times New Roman" w:cs="Times New Roman"/>
          <w:lang w:val="es-ES" w:eastAsia="ar-SA"/>
        </w:rPr>
        <w:lastRenderedPageBreak/>
        <w:t xml:space="preserve">aislados o una situación crónica  de abuso. Los signos de abuso fiscos de un niño puede presentar secuelas y trastornos psicológicos, ya sean pasajeros o  permanentes.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Impacto</w:t>
      </w:r>
    </w:p>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El sistema de vigilancia de violencia interpersonal en familia, violencia sexual y maltrato infantil, se viene observando desde el año 2005, pero la línea base comienza realmente en el año 2007, donde todas las instituciones se vinculan al sistema; para este análisis el promedio se lo toma para los diez años monitoreados entre el año 2005 hasta el año 2014.</w:t>
      </w:r>
    </w:p>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Permite una descripción más exacta del problema.</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obliga a ser claros y exactos en materia de priorizar acciones preventivas y correctivas.</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identificar factores de riesgo.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permite tomar decisiones en base a la evidencia.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Investigaciones sobre criminalidad indican que gran parte de la violencia existente en la sociedad, tiene su origen en la violencia intrafamiliar y de más violencias que se gestan en el seno de la familia (violencia de género, maltrato infantil), las cuales influyen de forma directa o indirecta en la vinculación de los niños, niñas y adolescentes al delito, entendiendo que es allí donde se adquieren los primeros esquemas y modelos en los cuales se estructura las relaciones sociales de una persona.</w:t>
      </w:r>
    </w:p>
    <w:p w:rsidR="009A2496" w:rsidRPr="009A2496" w:rsidRDefault="009A2496"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47"/>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Tomar la información de Observatorio del Delito como herramienta fundamental al momento de implementar planes y/o acciones dentro del Municipio.</w:t>
      </w:r>
    </w:p>
    <w:p w:rsidR="009A2496" w:rsidRPr="009A2496" w:rsidRDefault="009A2496" w:rsidP="00A92D87">
      <w:pPr>
        <w:spacing w:line="240" w:lineRule="auto"/>
        <w:jc w:val="both"/>
        <w:rPr>
          <w:b/>
        </w:rPr>
      </w:pP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pBdr>
          <w:top w:val="single" w:sz="4" w:space="10" w:color="4F81BD"/>
          <w:bottom w:val="single" w:sz="4" w:space="10" w:color="4F81BD"/>
        </w:pBdr>
        <w:spacing w:before="360" w:after="0" w:line="240" w:lineRule="auto"/>
        <w:ind w:left="864" w:right="864"/>
        <w:jc w:val="center"/>
        <w:rPr>
          <w:rFonts w:eastAsia="Calibri" w:cs="Times New Roman"/>
          <w:b/>
          <w:iCs/>
        </w:rPr>
      </w:pPr>
      <w:r w:rsidRPr="009A2496">
        <w:rPr>
          <w:rFonts w:eastAsia="Calibri" w:cs="Times New Roman"/>
          <w:b/>
          <w:i/>
          <w:iCs/>
        </w:rPr>
        <w:t>DESCRIPCIÓN DEL INDICADOR No. 80</w:t>
      </w:r>
      <w:r w:rsidRPr="009A2496">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A2496" w:rsidRPr="009A2496" w:rsidTr="00000F81">
        <w:trPr>
          <w:trHeight w:val="294"/>
          <w:jc w:val="center"/>
        </w:trPr>
        <w:tc>
          <w:tcPr>
            <w:tcW w:w="8828" w:type="dxa"/>
            <w:shd w:val="clear" w:color="auto" w:fill="FFFFFF"/>
          </w:tcPr>
          <w:p w:rsidR="009A2496" w:rsidRPr="009A2496" w:rsidRDefault="009A2496" w:rsidP="00A92D87">
            <w:pPr>
              <w:spacing w:after="0" w:line="240" w:lineRule="auto"/>
              <w:rPr>
                <w:rFonts w:eastAsia="Calibri" w:cs="Times New Roman"/>
                <w:b/>
                <w:bCs/>
              </w:rPr>
            </w:pPr>
            <w:r w:rsidRPr="009A2496">
              <w:rPr>
                <w:rFonts w:eastAsia="Calibri" w:cs="Times New Roman"/>
                <w:b/>
                <w:bCs/>
              </w:rPr>
              <w:t>MUNICIPIO:  PASTO</w:t>
            </w:r>
          </w:p>
        </w:tc>
      </w:tr>
      <w:tr w:rsidR="009A2496" w:rsidRPr="009A2496" w:rsidTr="00000F81">
        <w:trPr>
          <w:trHeight w:val="579"/>
          <w:jc w:val="center"/>
        </w:trPr>
        <w:tc>
          <w:tcPr>
            <w:tcW w:w="8828" w:type="dxa"/>
            <w:shd w:val="clear" w:color="auto" w:fill="DAEEF3"/>
          </w:tcPr>
          <w:p w:rsidR="009A2496" w:rsidRPr="009A2496" w:rsidRDefault="009A2496" w:rsidP="00A92D87">
            <w:pPr>
              <w:spacing w:after="0" w:line="240" w:lineRule="auto"/>
              <w:rPr>
                <w:rFonts w:eastAsia="Calibri" w:cs="Times New Roman"/>
                <w:b/>
                <w:bCs/>
              </w:rPr>
            </w:pPr>
            <w:r w:rsidRPr="009A2496">
              <w:rPr>
                <w:rFonts w:eastAsia="Calibri" w:cs="Times New Roman"/>
                <w:b/>
                <w:bCs/>
              </w:rPr>
              <w:t>Nombre del indicador: Tasa de violencia interpersonal contra niños, niñas  y adolescentes</w:t>
            </w:r>
          </w:p>
        </w:tc>
      </w:tr>
      <w:tr w:rsidR="009A2496" w:rsidRPr="009A2496" w:rsidTr="00000F81">
        <w:trPr>
          <w:trHeight w:val="332"/>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 xml:space="preserve">Fuente Nacional: </w:t>
            </w:r>
          </w:p>
          <w:p w:rsidR="009A2496" w:rsidRPr="009A2496" w:rsidRDefault="009A2496" w:rsidP="00A92D87">
            <w:pPr>
              <w:spacing w:after="0" w:line="240" w:lineRule="auto"/>
              <w:rPr>
                <w:rFonts w:eastAsia="Calibri" w:cs="Times New Roman"/>
                <w:b/>
                <w:bCs/>
              </w:rPr>
            </w:pPr>
            <w:r w:rsidRPr="009A2496">
              <w:rPr>
                <w:rFonts w:eastAsia="Calibri" w:cs="Times New Roman"/>
                <w:b/>
                <w:bCs/>
              </w:rPr>
              <w:t>Otra Fuente: OBSERVATORIO DEL DELITO MUNICIPIO DE PASTO</w:t>
            </w:r>
          </w:p>
        </w:tc>
      </w:tr>
      <w:tr w:rsidR="009A2496" w:rsidRPr="009A2496" w:rsidTr="00000F81">
        <w:trPr>
          <w:trHeight w:val="458"/>
          <w:jc w:val="center"/>
        </w:trPr>
        <w:tc>
          <w:tcPr>
            <w:tcW w:w="8828" w:type="dxa"/>
            <w:shd w:val="clear" w:color="auto" w:fill="DAEEF3"/>
          </w:tcPr>
          <w:p w:rsidR="009A2496" w:rsidRPr="009A2496" w:rsidRDefault="009A2496" w:rsidP="00A92D87">
            <w:pPr>
              <w:spacing w:after="0" w:line="240" w:lineRule="auto"/>
              <w:rPr>
                <w:rFonts w:eastAsia="Calibri" w:cs="Times New Roman"/>
                <w:bCs/>
              </w:rPr>
            </w:pPr>
            <w:r w:rsidRPr="009A2496">
              <w:rPr>
                <w:rFonts w:eastAsia="Calibri" w:cs="Times New Roman"/>
                <w:b/>
                <w:bCs/>
              </w:rPr>
              <w:t xml:space="preserve">Categoría de derechos: </w:t>
            </w:r>
          </w:p>
        </w:tc>
      </w:tr>
      <w:tr w:rsidR="009A2496" w:rsidRPr="009A2496" w:rsidTr="00000F81">
        <w:trPr>
          <w:trHeight w:val="458"/>
          <w:jc w:val="center"/>
        </w:trPr>
        <w:tc>
          <w:tcPr>
            <w:tcW w:w="8828" w:type="dxa"/>
            <w:shd w:val="clear" w:color="auto" w:fill="auto"/>
          </w:tcPr>
          <w:p w:rsidR="009A2496" w:rsidRPr="009A2496" w:rsidRDefault="009A2496" w:rsidP="00A92D87">
            <w:pPr>
              <w:spacing w:after="0" w:line="240" w:lineRule="auto"/>
              <w:rPr>
                <w:rFonts w:eastAsia="Calibri" w:cs="Times New Roman"/>
                <w:b/>
                <w:bCs/>
              </w:rPr>
            </w:pPr>
            <w:r w:rsidRPr="009A2496">
              <w:rPr>
                <w:rFonts w:eastAsia="Calibri" w:cs="Times New Roman"/>
                <w:b/>
                <w:bCs/>
              </w:rPr>
              <w:t>Metodología: Análisis de la información a partir de la cadena de resultados</w:t>
            </w:r>
          </w:p>
        </w:tc>
      </w:tr>
    </w:tbl>
    <w:p w:rsidR="009A2496" w:rsidRPr="009A2496" w:rsidRDefault="009A2496" w:rsidP="00A92D87">
      <w:pPr>
        <w:suppressAutoHyphens/>
        <w:spacing w:after="0" w:line="240" w:lineRule="auto"/>
        <w:ind w:left="720"/>
        <w:contextualSpacing/>
        <w:rPr>
          <w:rFonts w:eastAsia="Times New Roman" w:cs="Times New Roman"/>
          <w:b/>
          <w:lang w:val="es-ES" w:eastAsia="ar-SA"/>
        </w:rPr>
      </w:pPr>
    </w:p>
    <w:p w:rsidR="009A2496" w:rsidRPr="009A2496" w:rsidRDefault="009A2496" w:rsidP="00A92D87">
      <w:pPr>
        <w:numPr>
          <w:ilvl w:val="0"/>
          <w:numId w:val="48"/>
        </w:numPr>
        <w:spacing w:after="0" w:line="240" w:lineRule="auto"/>
        <w:contextualSpacing/>
        <w:rPr>
          <w:rFonts w:eastAsia="Times New Roman" w:cs="Times New Roman"/>
          <w:b/>
          <w:lang w:val="es-ES" w:eastAsia="ar-SA"/>
        </w:rPr>
      </w:pPr>
      <w:r w:rsidRPr="009A2496">
        <w:rPr>
          <w:rFonts w:eastAsia="Times New Roman" w:cs="Times New Roman"/>
          <w:b/>
          <w:lang w:val="es-ES" w:eastAsia="ar-SA"/>
        </w:rPr>
        <w:lastRenderedPageBreak/>
        <w:t>Información estadística</w:t>
      </w:r>
    </w:p>
    <w:p w:rsidR="009A2496" w:rsidRPr="009A2496" w:rsidRDefault="009A2496" w:rsidP="00A92D87">
      <w:pPr>
        <w:suppressAutoHyphens/>
        <w:spacing w:after="0" w:line="240" w:lineRule="auto"/>
        <w:ind w:left="1080"/>
        <w:contextualSpacing/>
        <w:rPr>
          <w:rFonts w:eastAsia="Times New Roman" w:cs="Times New Roman"/>
          <w:b/>
          <w:lang w:val="es-ES" w:eastAsia="ar-S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1724"/>
        <w:gridCol w:w="1725"/>
        <w:gridCol w:w="1725"/>
        <w:gridCol w:w="1725"/>
      </w:tblGrid>
      <w:tr w:rsidR="009A2496" w:rsidRPr="009A2496" w:rsidTr="00000F81">
        <w:tc>
          <w:tcPr>
            <w:tcW w:w="219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Indicador</w:t>
            </w:r>
          </w:p>
        </w:tc>
        <w:tc>
          <w:tcPr>
            <w:tcW w:w="1765"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2011</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2012</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2013</w:t>
            </w:r>
          </w:p>
        </w:tc>
        <w:tc>
          <w:tcPr>
            <w:tcW w:w="1766" w:type="dxa"/>
            <w:shd w:val="clear" w:color="auto" w:fill="auto"/>
          </w:tcPr>
          <w:p w:rsidR="009A2496" w:rsidRPr="009A2496" w:rsidRDefault="009A2496" w:rsidP="00A92D87">
            <w:pPr>
              <w:spacing w:after="0" w:line="240" w:lineRule="auto"/>
              <w:jc w:val="center"/>
              <w:rPr>
                <w:rFonts w:eastAsia="Calibri" w:cs="Times New Roman"/>
                <w:b/>
                <w:lang w:eastAsia="es-CO"/>
              </w:rPr>
            </w:pPr>
            <w:r w:rsidRPr="009A2496">
              <w:rPr>
                <w:rFonts w:eastAsia="Calibri" w:cs="Times New Roman"/>
                <w:b/>
                <w:lang w:eastAsia="es-CO"/>
              </w:rPr>
              <w:t>2014</w:t>
            </w:r>
          </w:p>
        </w:tc>
      </w:tr>
      <w:tr w:rsidR="009A2496" w:rsidRPr="009A2496" w:rsidTr="00000F81">
        <w:tc>
          <w:tcPr>
            <w:tcW w:w="2196" w:type="dxa"/>
            <w:shd w:val="clear" w:color="auto" w:fill="auto"/>
          </w:tcPr>
          <w:p w:rsidR="009A2496" w:rsidRPr="009A2496" w:rsidRDefault="009A2496" w:rsidP="00A92D87">
            <w:pPr>
              <w:spacing w:after="0" w:line="240" w:lineRule="auto"/>
              <w:rPr>
                <w:rFonts w:eastAsia="Calibri" w:cs="Times New Roman"/>
                <w:lang w:eastAsia="es-CO"/>
              </w:rPr>
            </w:pPr>
            <w:r w:rsidRPr="009A2496">
              <w:rPr>
                <w:rFonts w:eastAsia="Calibri" w:cs="Times New Roman"/>
                <w:lang w:eastAsia="es-CO"/>
              </w:rPr>
              <w:t>Tasa de violencia interpersonal contra niños, niñas  y adolescentes</w:t>
            </w:r>
          </w:p>
        </w:tc>
        <w:tc>
          <w:tcPr>
            <w:tcW w:w="1765"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748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251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320 x 100000 Hbts</w:t>
            </w:r>
          </w:p>
        </w:tc>
        <w:tc>
          <w:tcPr>
            <w:tcW w:w="1766" w:type="dxa"/>
            <w:shd w:val="clear" w:color="auto" w:fill="auto"/>
          </w:tcPr>
          <w:p w:rsidR="009A2496" w:rsidRPr="009A2496" w:rsidRDefault="009A2496" w:rsidP="00A92D87">
            <w:pPr>
              <w:spacing w:after="0" w:line="240" w:lineRule="auto"/>
              <w:jc w:val="center"/>
              <w:rPr>
                <w:rFonts w:eastAsia="Calibri" w:cs="Times New Roman"/>
                <w:lang w:eastAsia="es-CO"/>
              </w:rPr>
            </w:pPr>
          </w:p>
          <w:p w:rsidR="009A2496" w:rsidRPr="009A2496" w:rsidRDefault="009A2496" w:rsidP="00A92D87">
            <w:pPr>
              <w:spacing w:after="0" w:line="240" w:lineRule="auto"/>
              <w:jc w:val="center"/>
              <w:rPr>
                <w:rFonts w:eastAsia="Calibri" w:cs="Times New Roman"/>
                <w:lang w:eastAsia="es-CO"/>
              </w:rPr>
            </w:pPr>
            <w:r w:rsidRPr="009A2496">
              <w:rPr>
                <w:rFonts w:eastAsia="Calibri" w:cs="Times New Roman"/>
                <w:lang w:eastAsia="es-CO"/>
              </w:rPr>
              <w:t>227 x 100000 Hbts</w:t>
            </w:r>
          </w:p>
        </w:tc>
      </w:tr>
      <w:tr w:rsidR="009A2496" w:rsidRPr="009A2496" w:rsidTr="00000F81">
        <w:tc>
          <w:tcPr>
            <w:tcW w:w="9259" w:type="dxa"/>
            <w:gridSpan w:val="5"/>
            <w:shd w:val="clear" w:color="auto" w:fill="auto"/>
          </w:tcPr>
          <w:p w:rsidR="009A2496" w:rsidRPr="009A2496" w:rsidRDefault="009A2496" w:rsidP="00A92D87">
            <w:pPr>
              <w:spacing w:after="0" w:line="240" w:lineRule="auto"/>
              <w:rPr>
                <w:rFonts w:eastAsia="Calibri" w:cs="Times New Roman"/>
                <w:b/>
                <w:lang w:eastAsia="es-CO"/>
              </w:rPr>
            </w:pPr>
            <w:r w:rsidRPr="009A2496">
              <w:rPr>
                <w:rFonts w:eastAsia="Calibri" w:cs="Times New Roman"/>
                <w:b/>
                <w:lang w:eastAsia="es-CO"/>
              </w:rPr>
              <w:t>Fuente y año:  OBSERVATORIO DEL DELITO</w:t>
            </w:r>
          </w:p>
        </w:tc>
      </w:tr>
    </w:tbl>
    <w:p w:rsidR="009A2496" w:rsidRPr="009A2496" w:rsidRDefault="009A2496" w:rsidP="00A92D87">
      <w:pPr>
        <w:spacing w:after="200" w:line="240" w:lineRule="auto"/>
        <w:rPr>
          <w:rFonts w:eastAsia="Calibri" w:cs="Times New Roman"/>
        </w:rPr>
      </w:pPr>
    </w:p>
    <w:p w:rsidR="009A2496" w:rsidRPr="009A2496" w:rsidRDefault="009A2496" w:rsidP="00A92D87">
      <w:pPr>
        <w:spacing w:after="200" w:line="240" w:lineRule="auto"/>
        <w:rPr>
          <w:rFonts w:eastAsia="Calibri" w:cs="Times New Roman"/>
          <w:b/>
        </w:rPr>
      </w:pPr>
      <w:r w:rsidRPr="009A2496">
        <w:rPr>
          <w:rFonts w:eastAsia="Calibri" w:cs="Times New Roman"/>
          <w:b/>
        </w:rPr>
        <w:t xml:space="preserve">Gráfico: </w:t>
      </w:r>
    </w:p>
    <w:p w:rsidR="009A2496" w:rsidRPr="009A2496" w:rsidRDefault="009A2496" w:rsidP="00A92D87">
      <w:pPr>
        <w:spacing w:after="200" w:line="240" w:lineRule="auto"/>
        <w:rPr>
          <w:rFonts w:eastAsia="Calibri" w:cs="Times New Roman"/>
          <w:b/>
        </w:rPr>
      </w:pPr>
      <w:r w:rsidRPr="009A2496">
        <w:rPr>
          <w:rFonts w:eastAsia="Calibri" w:cs="Times New Roman"/>
          <w:noProof/>
          <w:lang w:val="es-ES" w:eastAsia="es-ES"/>
        </w:rPr>
        <w:drawing>
          <wp:inline distT="0" distB="0" distL="0" distR="0">
            <wp:extent cx="5523865" cy="2455545"/>
            <wp:effectExtent l="0" t="0" r="635" b="1905"/>
            <wp:docPr id="31"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A2496" w:rsidRPr="009A2496" w:rsidRDefault="009A2496" w:rsidP="00A92D87">
      <w:pPr>
        <w:spacing w:after="200" w:line="240" w:lineRule="auto"/>
        <w:rPr>
          <w:rFonts w:eastAsia="Calibri" w:cs="Times New Roman"/>
          <w:b/>
        </w:rPr>
      </w:pPr>
    </w:p>
    <w:p w:rsidR="009A2496" w:rsidRPr="009A2496" w:rsidRDefault="009A2496" w:rsidP="00A92D87">
      <w:pPr>
        <w:numPr>
          <w:ilvl w:val="0"/>
          <w:numId w:val="4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Situación detectada</w:t>
      </w:r>
    </w:p>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La violencia interpersonal es un fenómeno que se presenta con mayor frecuencia en la zona urbana, especialmente el espacio o vía publica los fines de semana en horas de la noche  y madrugada. De igual manera, se evidencia el fenómeno en actividades de tomando licor y en actividades deportivas y/o relacionadas con el disfrute del tiempo libre.</w:t>
      </w:r>
    </w:p>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El contexto del hecho las lesiones en su mayoría se presentan por riñas y robos; las cuales han sido provocadas en su mayoría por cortes y golpes; donde los lesionados estaban bajo efectos del alcohol. La violencia interpersonal es un fenómeno de la juventud, ocurre principalmente en hombres. En relación al presunto agresor la variable Desconocido y Amigo y/o conocido.</w:t>
      </w:r>
    </w:p>
    <w:p w:rsidR="009A2496" w:rsidRPr="009A2496" w:rsidRDefault="009A2496" w:rsidP="00A92D87">
      <w:pPr>
        <w:numPr>
          <w:ilvl w:val="0"/>
          <w:numId w:val="4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Insumos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w:t>
      </w:r>
      <w:r w:rsidRPr="009A2496">
        <w:rPr>
          <w:rFonts w:eastAsia="Times New Roman" w:cs="Times New Roman"/>
          <w:lang w:val="es-ES" w:eastAsia="ar-SA"/>
        </w:rPr>
        <w:lastRenderedPageBreak/>
        <w:t>de apoyo a la gestión contratistas quienes desarrollan cada una de las actividades que tienen que ver con la medición de los indicadores propuestos en el Plan de Desarrollo Local.</w:t>
      </w:r>
    </w:p>
    <w:p w:rsidR="009A2496" w:rsidRPr="009A2496" w:rsidRDefault="009A2496" w:rsidP="00A92D87">
      <w:pPr>
        <w:suppressAutoHyphens/>
        <w:spacing w:after="0" w:line="240" w:lineRule="auto"/>
        <w:ind w:left="1080"/>
        <w:contextualSpacing/>
        <w:rPr>
          <w:rFonts w:eastAsia="Times New Roman" w:cs="Times New Roman"/>
          <w:lang w:val="es-ES" w:eastAsia="ar-SA"/>
        </w:rPr>
      </w:pPr>
    </w:p>
    <w:p w:rsidR="009A2496" w:rsidRPr="009A2496" w:rsidRDefault="009A2496" w:rsidP="00A92D87">
      <w:pPr>
        <w:numPr>
          <w:ilvl w:val="0"/>
          <w:numId w:val="4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Programas, Proyectos y Acciones para mejorar la situación del indicador (2012 -2015)</w:t>
      </w:r>
    </w:p>
    <w:p w:rsidR="009A2496" w:rsidRPr="009A2496" w:rsidRDefault="009A2496" w:rsidP="00A92D87">
      <w:pPr>
        <w:spacing w:after="200" w:line="240" w:lineRule="auto"/>
        <w:ind w:left="360"/>
        <w:jc w:val="both"/>
        <w:rPr>
          <w:rFonts w:eastAsia="Calibri" w:cs="Times New Roman"/>
          <w:b/>
          <w:u w:val="words"/>
        </w:rPr>
      </w:pPr>
      <w:r w:rsidRPr="009A2496">
        <w:rPr>
          <w:rFonts w:eastAsia="Calibri" w:cs="Times New Roman"/>
        </w:rPr>
        <w:t>El Observatorio del Delito, realiza mesas temáticas de seguridad con las instituciones que tienen que ver con este tema como Policía Nacional, el grupo operativo de Pasto</w:t>
      </w:r>
      <w:r w:rsidRPr="009A2496">
        <w:rPr>
          <w:rFonts w:eastAsia="Calibri" w:cs="Times New Roman"/>
          <w:u w:val="words"/>
        </w:rPr>
        <w:t xml:space="preserve"> </w:t>
      </w:r>
      <w:r w:rsidRPr="009A2496">
        <w:rPr>
          <w:rFonts w:eastAsia="Calibri" w:cs="Times New Roman"/>
        </w:rPr>
        <w:t>Seguro, subsecretaria de convivencia, con el fin de realizar un análisis de la situación en el Municipio y dirigir los operativos conjuntos de prevención y control.  La Policía metropolitana con su estrategia de cuadrantes ha logrado disminuir los indicies de violencia, todo este trabajo acompañado de la intervención por parte de la Administración Municipal.</w:t>
      </w:r>
    </w:p>
    <w:p w:rsidR="009A2496" w:rsidRPr="009A2496" w:rsidRDefault="009A2496" w:rsidP="00A92D87">
      <w:pPr>
        <w:numPr>
          <w:ilvl w:val="0"/>
          <w:numId w:val="4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Productos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Resultados al término de la gestión  (2012 -2014): </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Gran parte de las lesiones se presentaron en las extremidades superiores y en el cráneo, con cortes y laceraciones. Las comunas más afectadas por este tipo de violencia son la comuna uno, la comuna cinco y las comunas diez. En cuanto a la zona rural los corregimientos involucrados en este tipo de violencia son los corregimientos de Catambuco, Buesaquillo y Obonuco.  Este tipo de lesiones por violencia involucran lesiones que pueden requerir atención hospitalaria, daños a la salud mental, discapacidad y muerte.</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 xml:space="preserve">Impacto </w:t>
      </w:r>
    </w:p>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El sistema de vigilancia de lesiones de causa externa no fatal, al cual hace parte las lesiones por violencia interpersonal e, se viene observando desde el año 2005, involucrando a todas las instituciones de salud públicas y privadas con servicio de urgencias, donde el reporte es permanente y la mayoría de las instituciones tienen incluida la ficha de notificación en la historia clínica sistematizada, lo cual garantiza la permanencia del sistema.</w:t>
      </w:r>
    </w:p>
    <w:p w:rsidR="009A2496" w:rsidRPr="009A2496" w:rsidRDefault="009A2496" w:rsidP="00A92D87">
      <w:pPr>
        <w:spacing w:after="200" w:line="240" w:lineRule="auto"/>
        <w:ind w:left="360"/>
        <w:jc w:val="both"/>
        <w:rPr>
          <w:rFonts w:eastAsia="Calibri" w:cs="Times New Roman"/>
        </w:rPr>
      </w:pPr>
      <w:r w:rsidRPr="009A2496">
        <w:rPr>
          <w:rFonts w:eastAsia="Calibri" w:cs="Times New Roman"/>
        </w:rPr>
        <w:t>Permite una descripción más exacta del problema.</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obliga a ser claros y exactos en materia de priorizar acciones preventivas y correctivas.</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Permite identificar factores de riesgo.</w:t>
      </w:r>
    </w:p>
    <w:p w:rsidR="009A2496" w:rsidRPr="009A2496" w:rsidRDefault="009A2496" w:rsidP="00A92D87">
      <w:pPr>
        <w:numPr>
          <w:ilvl w:val="0"/>
          <w:numId w:val="16"/>
        </w:numPr>
        <w:spacing w:after="0" w:line="240" w:lineRule="auto"/>
        <w:contextualSpacing/>
        <w:rPr>
          <w:rFonts w:eastAsia="Times New Roman" w:cs="Times New Roman"/>
          <w:lang w:val="es-ES" w:eastAsia="ar-SA"/>
        </w:rPr>
      </w:pPr>
      <w:r w:rsidRPr="009A2496">
        <w:rPr>
          <w:rFonts w:eastAsia="Times New Roman" w:cs="Times New Roman"/>
          <w:lang w:val="es-ES" w:eastAsia="ar-SA"/>
        </w:rPr>
        <w:t>Nos permite tomar decisiones en base a la evidencia.</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p>
    <w:p w:rsidR="009A2496" w:rsidRPr="009A2496" w:rsidRDefault="009A2496" w:rsidP="00A92D87">
      <w:pPr>
        <w:numPr>
          <w:ilvl w:val="0"/>
          <w:numId w:val="4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t>Prioridades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 xml:space="preserve">Generar impacto en las estrategias para la prevención del consumo de alcohol, sobre todo en menores de edad, ya que este factor es el desencadenante o generador de riñas por las cuales son atendidos la mayoría de los lesionados. </w:t>
      </w:r>
    </w:p>
    <w:p w:rsidR="009A2496" w:rsidRDefault="009A2496" w:rsidP="00A92D87">
      <w:pPr>
        <w:suppressAutoHyphens/>
        <w:spacing w:after="0" w:line="240" w:lineRule="auto"/>
        <w:ind w:left="360"/>
        <w:contextualSpacing/>
        <w:jc w:val="both"/>
        <w:rPr>
          <w:rFonts w:eastAsia="Times New Roman" w:cs="Times New Roman"/>
          <w:b/>
          <w:lang w:val="es-ES" w:eastAsia="ar-SA"/>
        </w:rPr>
      </w:pPr>
    </w:p>
    <w:p w:rsidR="002616FA" w:rsidRPr="009A2496" w:rsidRDefault="002616FA" w:rsidP="00A92D87">
      <w:pPr>
        <w:suppressAutoHyphens/>
        <w:spacing w:after="0" w:line="240" w:lineRule="auto"/>
        <w:ind w:left="360"/>
        <w:contextualSpacing/>
        <w:jc w:val="both"/>
        <w:rPr>
          <w:rFonts w:eastAsia="Times New Roman" w:cs="Times New Roman"/>
          <w:b/>
          <w:lang w:val="es-ES" w:eastAsia="ar-SA"/>
        </w:rPr>
      </w:pPr>
    </w:p>
    <w:p w:rsidR="009A2496" w:rsidRPr="009A2496" w:rsidRDefault="009A2496" w:rsidP="00A92D87">
      <w:pPr>
        <w:numPr>
          <w:ilvl w:val="0"/>
          <w:numId w:val="48"/>
        </w:numPr>
        <w:spacing w:after="0" w:line="240" w:lineRule="auto"/>
        <w:contextualSpacing/>
        <w:jc w:val="both"/>
        <w:rPr>
          <w:rFonts w:eastAsia="Times New Roman" w:cs="Times New Roman"/>
          <w:b/>
          <w:lang w:val="es-ES" w:eastAsia="ar-SA"/>
        </w:rPr>
      </w:pPr>
      <w:r w:rsidRPr="009A2496">
        <w:rPr>
          <w:rFonts w:eastAsia="Times New Roman" w:cs="Times New Roman"/>
          <w:b/>
          <w:lang w:val="es-ES" w:eastAsia="ar-SA"/>
        </w:rPr>
        <w:lastRenderedPageBreak/>
        <w:t>Recomendaciones</w:t>
      </w:r>
    </w:p>
    <w:p w:rsidR="009A2496" w:rsidRPr="009A2496" w:rsidRDefault="009A2496" w:rsidP="00A92D87">
      <w:pPr>
        <w:suppressAutoHyphens/>
        <w:spacing w:after="0" w:line="240" w:lineRule="auto"/>
        <w:ind w:left="360"/>
        <w:contextualSpacing/>
        <w:jc w:val="both"/>
        <w:rPr>
          <w:rFonts w:eastAsia="Times New Roman" w:cs="Times New Roman"/>
          <w:lang w:val="es-ES" w:eastAsia="ar-SA"/>
        </w:rPr>
      </w:pPr>
      <w:r w:rsidRPr="009A2496">
        <w:rPr>
          <w:rFonts w:eastAsia="Times New Roman" w:cs="Times New Roman"/>
          <w:lang w:val="es-ES" w:eastAsia="ar-SA"/>
        </w:rPr>
        <w:t>Tomar la información de Observatorio del Delito como herramienta fundamental al momento de implementar planes y/o acciones dentro del Municipio.</w:t>
      </w:r>
    </w:p>
    <w:p w:rsidR="009A2496" w:rsidRPr="009A2496" w:rsidRDefault="009A2496" w:rsidP="00A92D87">
      <w:pPr>
        <w:spacing w:line="240" w:lineRule="auto"/>
        <w:jc w:val="both"/>
        <w:rPr>
          <w:b/>
        </w:rPr>
      </w:pPr>
    </w:p>
    <w:p w:rsidR="00982E3B" w:rsidRPr="002616FA" w:rsidRDefault="00A85AD9" w:rsidP="0090015F">
      <w:pPr>
        <w:pStyle w:val="Ttulo1"/>
        <w:numPr>
          <w:ilvl w:val="1"/>
          <w:numId w:val="71"/>
        </w:numPr>
        <w:jc w:val="center"/>
        <w:rPr>
          <w:rFonts w:asciiTheme="minorHAnsi" w:hAnsiTheme="minorHAnsi"/>
          <w:color w:val="auto"/>
          <w:sz w:val="22"/>
          <w:szCs w:val="22"/>
        </w:rPr>
      </w:pPr>
      <w:bookmarkStart w:id="112" w:name="_Toc437376057"/>
      <w:r w:rsidRPr="002616FA">
        <w:rPr>
          <w:rFonts w:asciiTheme="minorHAnsi" w:hAnsiTheme="minorHAnsi"/>
          <w:color w:val="auto"/>
          <w:sz w:val="22"/>
          <w:szCs w:val="22"/>
        </w:rPr>
        <w:t xml:space="preserve">CICLO VITAL: </w:t>
      </w:r>
      <w:r w:rsidR="00982E3B" w:rsidRPr="002616FA">
        <w:rPr>
          <w:rFonts w:asciiTheme="minorHAnsi" w:hAnsiTheme="minorHAnsi"/>
          <w:color w:val="auto"/>
          <w:sz w:val="22"/>
          <w:szCs w:val="22"/>
        </w:rPr>
        <w:t>INFANCIA</w:t>
      </w:r>
      <w:bookmarkEnd w:id="112"/>
    </w:p>
    <w:p w:rsidR="00982E3B" w:rsidRPr="002616FA" w:rsidRDefault="0090015F" w:rsidP="002616FA">
      <w:pPr>
        <w:pStyle w:val="Ttulo2"/>
        <w:jc w:val="center"/>
        <w:rPr>
          <w:rFonts w:asciiTheme="minorHAnsi" w:hAnsiTheme="minorHAnsi"/>
          <w:color w:val="auto"/>
          <w:sz w:val="22"/>
          <w:szCs w:val="22"/>
        </w:rPr>
      </w:pPr>
      <w:bookmarkStart w:id="113" w:name="_Toc437376058"/>
      <w:r w:rsidRPr="002616FA">
        <w:rPr>
          <w:rFonts w:asciiTheme="minorHAnsi" w:hAnsiTheme="minorHAnsi"/>
          <w:color w:val="auto"/>
          <w:sz w:val="22"/>
          <w:szCs w:val="22"/>
        </w:rPr>
        <w:t xml:space="preserve">6.2.1 </w:t>
      </w:r>
      <w:r w:rsidR="00982E3B" w:rsidRPr="002616FA">
        <w:rPr>
          <w:rFonts w:asciiTheme="minorHAnsi" w:hAnsiTheme="minorHAnsi"/>
          <w:color w:val="auto"/>
          <w:sz w:val="22"/>
          <w:szCs w:val="22"/>
        </w:rPr>
        <w:t>CATEGORIA DE DERECHOS A LA EXISTENCIA</w:t>
      </w:r>
      <w:bookmarkEnd w:id="113"/>
    </w:p>
    <w:p w:rsidR="00982E3B" w:rsidRPr="001B34D0" w:rsidRDefault="00982E3B" w:rsidP="00A92D87">
      <w:pPr>
        <w:spacing w:after="200" w:line="240" w:lineRule="auto"/>
        <w:rPr>
          <w:rFonts w:eastAsia="Calibri" w:cs="Times New Roman"/>
          <w:b/>
        </w:rPr>
      </w:pPr>
    </w:p>
    <w:p w:rsidR="00982E3B" w:rsidRPr="001B34D0" w:rsidRDefault="00982E3B" w:rsidP="00A92D87">
      <w:pPr>
        <w:pBdr>
          <w:top w:val="single" w:sz="4" w:space="10" w:color="4F81BD"/>
          <w:bottom w:val="single" w:sz="4" w:space="10" w:color="4F81BD"/>
        </w:pBdr>
        <w:spacing w:before="360" w:after="360" w:line="240" w:lineRule="auto"/>
        <w:ind w:left="864" w:right="864"/>
        <w:jc w:val="center"/>
        <w:rPr>
          <w:rFonts w:eastAsia="Calibri" w:cs="Times New Roman"/>
          <w:b/>
          <w:i/>
          <w:iCs/>
        </w:rPr>
      </w:pPr>
      <w:r w:rsidRPr="001B34D0">
        <w:rPr>
          <w:rFonts w:eastAsia="Calibri" w:cs="Times New Roman"/>
          <w:b/>
          <w:i/>
          <w:iCs/>
        </w:rPr>
        <w:t xml:space="preserve">DESCRIPCIÓN DEL INDICADOR No. 6: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347"/>
          <w:jc w:val="center"/>
        </w:trPr>
        <w:tc>
          <w:tcPr>
            <w:tcW w:w="8828" w:type="dxa"/>
            <w:shd w:val="clear" w:color="auto" w:fill="FFFFFF"/>
          </w:tcPr>
          <w:p w:rsidR="00982E3B" w:rsidRPr="001B34D0" w:rsidRDefault="00982E3B" w:rsidP="00A92D87">
            <w:pPr>
              <w:spacing w:after="0" w:line="240" w:lineRule="auto"/>
              <w:rPr>
                <w:rFonts w:eastAsia="Calibri" w:cs="Times New Roman"/>
                <w:bCs/>
              </w:rPr>
            </w:pPr>
            <w:r w:rsidRPr="001B34D0">
              <w:rPr>
                <w:rFonts w:eastAsia="Calibri" w:cs="Times New Roman"/>
                <w:bCs/>
              </w:rPr>
              <w:t>MUNICIPIO: PASTO</w:t>
            </w:r>
          </w:p>
        </w:tc>
      </w:tr>
      <w:tr w:rsidR="00982E3B" w:rsidRPr="001B34D0" w:rsidTr="00000F81">
        <w:trPr>
          <w:trHeight w:val="241"/>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Cs/>
              </w:rPr>
              <w:t>Nombre del indicador: Cinco primeras causas de mortalidad de niños y niñas</w:t>
            </w:r>
          </w:p>
        </w:tc>
      </w:tr>
      <w:tr w:rsidR="00982E3B" w:rsidRPr="001B34D0" w:rsidTr="00000F81">
        <w:trPr>
          <w:trHeight w:val="305"/>
          <w:jc w:val="center"/>
        </w:trPr>
        <w:tc>
          <w:tcPr>
            <w:tcW w:w="8828" w:type="dxa"/>
            <w:shd w:val="clear" w:color="auto" w:fill="auto"/>
          </w:tcPr>
          <w:p w:rsidR="00982E3B" w:rsidRPr="001B34D0" w:rsidRDefault="00982E3B" w:rsidP="00A92D87">
            <w:pPr>
              <w:spacing w:after="0" w:line="240" w:lineRule="auto"/>
              <w:rPr>
                <w:rFonts w:eastAsia="Calibri" w:cs="Times New Roman"/>
                <w:bCs/>
              </w:rPr>
            </w:pPr>
            <w:r w:rsidRPr="001B34D0">
              <w:rPr>
                <w:rFonts w:eastAsia="Calibri" w:cs="Times New Roman"/>
                <w:bCs/>
              </w:rPr>
              <w:t>Fuente Nacional: Otra Fuente: DANE-Estadísticas Vitales</w:t>
            </w:r>
          </w:p>
        </w:tc>
      </w:tr>
      <w:tr w:rsidR="00982E3B" w:rsidRPr="001B34D0" w:rsidTr="00000F81">
        <w:trPr>
          <w:trHeight w:val="320"/>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Cs/>
              </w:rPr>
              <w:t xml:space="preserve">Categoría de derechos: </w:t>
            </w:r>
          </w:p>
        </w:tc>
      </w:tr>
      <w:tr w:rsidR="00982E3B" w:rsidRPr="001B34D0" w:rsidTr="00000F81">
        <w:trPr>
          <w:trHeight w:val="458"/>
          <w:jc w:val="center"/>
        </w:trPr>
        <w:tc>
          <w:tcPr>
            <w:tcW w:w="8828" w:type="dxa"/>
            <w:shd w:val="clear" w:color="auto" w:fill="auto"/>
          </w:tcPr>
          <w:p w:rsidR="00982E3B" w:rsidRPr="001B34D0" w:rsidRDefault="00982E3B" w:rsidP="00A92D87">
            <w:pPr>
              <w:spacing w:after="0" w:line="240" w:lineRule="auto"/>
              <w:rPr>
                <w:rFonts w:eastAsia="Calibri" w:cs="Times New Roman"/>
                <w:bCs/>
              </w:rPr>
            </w:pPr>
            <w:r w:rsidRPr="001B34D0">
              <w:rPr>
                <w:rFonts w:eastAsia="Calibri" w:cs="Times New Roman"/>
                <w:bCs/>
              </w:rPr>
              <w:t>Metodología: Análisis de la información a partir de la cadena de resultados</w:t>
            </w:r>
          </w:p>
        </w:tc>
      </w:tr>
      <w:tr w:rsidR="00982E3B" w:rsidRPr="001B34D0" w:rsidTr="00000F81">
        <w:trPr>
          <w:trHeight w:val="279"/>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Cs/>
              </w:rPr>
              <w:t>Temas relacionados con el indicador: Salud sexual y reproductiva</w:t>
            </w:r>
          </w:p>
        </w:tc>
      </w:tr>
    </w:tbl>
    <w:p w:rsidR="00982E3B" w:rsidRPr="001B34D0" w:rsidRDefault="00982E3B" w:rsidP="00A92D87">
      <w:pPr>
        <w:suppressAutoHyphens/>
        <w:spacing w:after="0" w:line="240" w:lineRule="auto"/>
        <w:ind w:left="360"/>
        <w:contextualSpacing/>
        <w:rPr>
          <w:rFonts w:eastAsia="Times New Roman" w:cs="Times New Roman"/>
          <w:b/>
          <w:lang w:val="es-ES" w:eastAsia="ar-SA"/>
        </w:rPr>
      </w:pPr>
    </w:p>
    <w:p w:rsidR="00982E3B" w:rsidRPr="001B34D0" w:rsidRDefault="00982E3B" w:rsidP="00A92D87">
      <w:pPr>
        <w:numPr>
          <w:ilvl w:val="0"/>
          <w:numId w:val="4"/>
        </w:numPr>
        <w:suppressAutoHyphens/>
        <w:spacing w:after="0" w:line="240" w:lineRule="auto"/>
        <w:ind w:left="567" w:hanging="709"/>
        <w:contextualSpacing/>
        <w:rPr>
          <w:rFonts w:eastAsia="Times New Roman" w:cs="Times New Roman"/>
          <w:b/>
          <w:lang w:val="es-ES" w:eastAsia="ar-SA"/>
        </w:rPr>
      </w:pPr>
      <w:r w:rsidRPr="001B34D0">
        <w:rPr>
          <w:rFonts w:eastAsia="Times New Roman" w:cs="Times New Roman"/>
          <w:b/>
          <w:lang w:val="es-ES" w:eastAsia="ar-SA"/>
        </w:rPr>
        <w:t>Información estadística</w:t>
      </w:r>
    </w:p>
    <w:tbl>
      <w:tblPr>
        <w:tblpPr w:leftFromText="141" w:rightFromText="141" w:vertAnchor="text" w:horzAnchor="margin" w:tblpXSpec="right" w:tblpY="133"/>
        <w:tblW w:w="4503"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4A0"/>
      </w:tblPr>
      <w:tblGrid>
        <w:gridCol w:w="3369"/>
        <w:gridCol w:w="1134"/>
      </w:tblGrid>
      <w:tr w:rsidR="00982E3B" w:rsidRPr="001B34D0" w:rsidTr="00000F81">
        <w:trPr>
          <w:trHeight w:val="660"/>
        </w:trPr>
        <w:tc>
          <w:tcPr>
            <w:tcW w:w="3369" w:type="dxa"/>
            <w:tcBorders>
              <w:top w:val="single" w:sz="8" w:space="0" w:color="78C0D4"/>
              <w:left w:val="single" w:sz="8" w:space="0" w:color="78C0D4"/>
              <w:bottom w:val="single" w:sz="8" w:space="0" w:color="78C0D4"/>
            </w:tcBorders>
            <w:shd w:val="clear" w:color="auto" w:fill="4BACC6"/>
            <w:hideMark/>
          </w:tcPr>
          <w:p w:rsidR="00982E3B" w:rsidRPr="001B34D0" w:rsidRDefault="00982E3B" w:rsidP="00A92D87">
            <w:pPr>
              <w:spacing w:after="0" w:line="240" w:lineRule="auto"/>
              <w:jc w:val="center"/>
              <w:rPr>
                <w:rFonts w:eastAsia="Times New Roman" w:cs="Calibri"/>
                <w:b/>
                <w:bCs/>
                <w:color w:val="FFFFFF"/>
                <w:lang w:eastAsia="es-CO"/>
              </w:rPr>
            </w:pPr>
            <w:r w:rsidRPr="001B34D0">
              <w:rPr>
                <w:rFonts w:eastAsia="Times New Roman" w:cs="Calibri"/>
                <w:b/>
                <w:bCs/>
                <w:color w:val="FFFFFF"/>
                <w:lang w:eastAsia="es-CO"/>
              </w:rPr>
              <w:t>Cinco primeras causas de mortalidad de niños y niñas 2012</w:t>
            </w:r>
          </w:p>
        </w:tc>
        <w:tc>
          <w:tcPr>
            <w:tcW w:w="1134" w:type="dxa"/>
            <w:tcBorders>
              <w:top w:val="single" w:sz="8" w:space="0" w:color="78C0D4"/>
              <w:bottom w:val="single" w:sz="8" w:space="0" w:color="78C0D4"/>
              <w:right w:val="single" w:sz="8" w:space="0" w:color="78C0D4"/>
            </w:tcBorders>
            <w:shd w:val="clear" w:color="auto" w:fill="4BACC6"/>
            <w:hideMark/>
          </w:tcPr>
          <w:p w:rsidR="00982E3B" w:rsidRPr="001B34D0" w:rsidRDefault="00982E3B" w:rsidP="00A92D87">
            <w:pPr>
              <w:spacing w:after="0" w:line="240" w:lineRule="auto"/>
              <w:jc w:val="center"/>
              <w:rPr>
                <w:rFonts w:eastAsia="Times New Roman" w:cs="Calibri"/>
                <w:b/>
                <w:bCs/>
                <w:color w:val="FFFFFF"/>
                <w:lang w:eastAsia="es-CO"/>
              </w:rPr>
            </w:pPr>
            <w:r w:rsidRPr="001B34D0">
              <w:rPr>
                <w:rFonts w:eastAsia="Times New Roman" w:cs="Calibri"/>
                <w:b/>
                <w:bCs/>
                <w:color w:val="FFFFFF"/>
                <w:lang w:eastAsia="es-CO"/>
              </w:rPr>
              <w:t>TOTAL</w:t>
            </w:r>
          </w:p>
        </w:tc>
      </w:tr>
      <w:tr w:rsidR="00982E3B" w:rsidRPr="001B34D0" w:rsidTr="00000F81">
        <w:trPr>
          <w:trHeight w:val="582"/>
        </w:trPr>
        <w:tc>
          <w:tcPr>
            <w:tcW w:w="3369"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615 MALFORMACIONES CONGEN., DEFORMID.Y ANOMALIAS CROMOSOMICAS</w:t>
            </w:r>
          </w:p>
        </w:tc>
        <w:tc>
          <w:tcPr>
            <w:tcW w:w="1134"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24</w:t>
            </w:r>
          </w:p>
        </w:tc>
      </w:tr>
      <w:tr w:rsidR="00982E3B" w:rsidRPr="001B34D0" w:rsidTr="00000F81">
        <w:trPr>
          <w:trHeight w:val="540"/>
        </w:trPr>
        <w:tc>
          <w:tcPr>
            <w:tcW w:w="3369" w:type="dxa"/>
            <w:tcBorders>
              <w:right w:val="nil"/>
            </w:tcBorders>
            <w:shd w:val="clear" w:color="auto" w:fill="auto"/>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404 TRAST. RESPIRATORIOS ESPECIFICOS DEL PERIODO PERINATAL</w:t>
            </w:r>
          </w:p>
        </w:tc>
        <w:tc>
          <w:tcPr>
            <w:tcW w:w="1134" w:type="dxa"/>
            <w:tcBorders>
              <w:left w:val="nil"/>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7</w:t>
            </w:r>
          </w:p>
        </w:tc>
      </w:tr>
      <w:tr w:rsidR="00982E3B" w:rsidRPr="001B34D0" w:rsidTr="00000F81">
        <w:trPr>
          <w:trHeight w:val="330"/>
        </w:trPr>
        <w:tc>
          <w:tcPr>
            <w:tcW w:w="3369"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407 OTRAS AFECC. ORIGINADAS EN PERIODO PERINATAL</w:t>
            </w:r>
          </w:p>
        </w:tc>
        <w:tc>
          <w:tcPr>
            <w:tcW w:w="1134"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5</w:t>
            </w:r>
          </w:p>
        </w:tc>
      </w:tr>
      <w:tr w:rsidR="00982E3B" w:rsidRPr="001B34D0" w:rsidTr="00000F81">
        <w:trPr>
          <w:trHeight w:val="580"/>
        </w:trPr>
        <w:tc>
          <w:tcPr>
            <w:tcW w:w="3369" w:type="dxa"/>
            <w:tcBorders>
              <w:right w:val="nil"/>
            </w:tcBorders>
            <w:shd w:val="clear" w:color="auto" w:fill="auto"/>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403 RETARDO CRECIM.FETAL, DESNUTR. FETAL., BAJO P./ NACER, GEST.CORTA</w:t>
            </w:r>
          </w:p>
        </w:tc>
        <w:tc>
          <w:tcPr>
            <w:tcW w:w="1134" w:type="dxa"/>
            <w:tcBorders>
              <w:left w:val="nil"/>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4</w:t>
            </w:r>
          </w:p>
        </w:tc>
      </w:tr>
      <w:tr w:rsidR="00982E3B" w:rsidRPr="001B34D0" w:rsidTr="00000F81">
        <w:trPr>
          <w:trHeight w:val="186"/>
        </w:trPr>
        <w:tc>
          <w:tcPr>
            <w:tcW w:w="3369" w:type="dxa"/>
            <w:shd w:val="clear" w:color="auto" w:fill="D2EAF1"/>
            <w:noWrap/>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109 INFECCIONES RESPIRATORIAS AGUDAS</w:t>
            </w:r>
          </w:p>
        </w:tc>
        <w:tc>
          <w:tcPr>
            <w:tcW w:w="1134"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3</w:t>
            </w:r>
          </w:p>
        </w:tc>
      </w:tr>
    </w:tbl>
    <w:p w:rsidR="00982E3B" w:rsidRPr="001B34D0" w:rsidRDefault="00982E3B" w:rsidP="00A92D87">
      <w:pPr>
        <w:spacing w:after="0" w:line="240" w:lineRule="auto"/>
        <w:rPr>
          <w:rFonts w:eastAsia="Calibri" w:cs="Times New Roman"/>
          <w:vanish/>
        </w:rPr>
      </w:pPr>
    </w:p>
    <w:tbl>
      <w:tblPr>
        <w:tblpPr w:leftFromText="141" w:rightFromText="141" w:vertAnchor="text" w:horzAnchor="margin" w:tblpY="146"/>
        <w:tblW w:w="4290"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559"/>
        <w:gridCol w:w="809"/>
      </w:tblGrid>
      <w:tr w:rsidR="00982E3B" w:rsidRPr="001B34D0" w:rsidTr="00000F81">
        <w:trPr>
          <w:trHeight w:val="973"/>
        </w:trPr>
        <w:tc>
          <w:tcPr>
            <w:tcW w:w="3559" w:type="dxa"/>
            <w:tcBorders>
              <w:top w:val="single" w:sz="8" w:space="0" w:color="78C0D4"/>
              <w:left w:val="single" w:sz="8" w:space="0" w:color="78C0D4"/>
              <w:bottom w:val="single" w:sz="8" w:space="0" w:color="78C0D4"/>
            </w:tcBorders>
            <w:shd w:val="clear" w:color="auto" w:fill="4BACC6"/>
            <w:hideMark/>
          </w:tcPr>
          <w:p w:rsidR="00982E3B" w:rsidRPr="001B34D0" w:rsidRDefault="00982E3B" w:rsidP="00A92D87">
            <w:pPr>
              <w:spacing w:after="0" w:line="240" w:lineRule="auto"/>
              <w:jc w:val="center"/>
              <w:rPr>
                <w:rFonts w:eastAsia="Times New Roman" w:cs="Calibri"/>
                <w:b/>
                <w:bCs/>
                <w:color w:val="FFFFFF"/>
                <w:lang w:eastAsia="es-CO"/>
              </w:rPr>
            </w:pPr>
            <w:r w:rsidRPr="001B34D0">
              <w:rPr>
                <w:rFonts w:eastAsia="Times New Roman" w:cs="Calibri"/>
                <w:b/>
                <w:bCs/>
                <w:color w:val="FFFFFF"/>
                <w:lang w:eastAsia="es-CO"/>
              </w:rPr>
              <w:t xml:space="preserve">Cinco primeras causas de mortalidad </w:t>
            </w:r>
          </w:p>
          <w:p w:rsidR="00982E3B" w:rsidRPr="001B34D0" w:rsidRDefault="00982E3B" w:rsidP="00A92D87">
            <w:pPr>
              <w:spacing w:after="0" w:line="240" w:lineRule="auto"/>
              <w:jc w:val="center"/>
              <w:rPr>
                <w:rFonts w:eastAsia="Times New Roman" w:cs="Calibri"/>
                <w:b/>
                <w:bCs/>
                <w:color w:val="FFFFFF"/>
                <w:lang w:eastAsia="es-CO"/>
              </w:rPr>
            </w:pPr>
            <w:r w:rsidRPr="001B34D0">
              <w:rPr>
                <w:rFonts w:eastAsia="Times New Roman" w:cs="Calibri"/>
                <w:b/>
                <w:bCs/>
                <w:color w:val="FFFFFF"/>
                <w:lang w:eastAsia="es-CO"/>
              </w:rPr>
              <w:t>de niños y niñas 2011</w:t>
            </w:r>
          </w:p>
        </w:tc>
        <w:tc>
          <w:tcPr>
            <w:tcW w:w="731" w:type="dxa"/>
            <w:tcBorders>
              <w:top w:val="single" w:sz="8" w:space="0" w:color="78C0D4"/>
              <w:bottom w:val="single" w:sz="8" w:space="0" w:color="78C0D4"/>
              <w:right w:val="single" w:sz="8" w:space="0" w:color="78C0D4"/>
            </w:tcBorders>
            <w:shd w:val="clear" w:color="auto" w:fill="4BACC6"/>
            <w:hideMark/>
          </w:tcPr>
          <w:p w:rsidR="00982E3B" w:rsidRPr="001B34D0" w:rsidRDefault="00982E3B" w:rsidP="00A92D87">
            <w:pPr>
              <w:spacing w:after="0" w:line="240" w:lineRule="auto"/>
              <w:jc w:val="center"/>
              <w:rPr>
                <w:rFonts w:eastAsia="Times New Roman" w:cs="Calibri"/>
                <w:b/>
                <w:bCs/>
                <w:color w:val="FFFFFF"/>
                <w:lang w:eastAsia="es-CO"/>
              </w:rPr>
            </w:pPr>
            <w:r w:rsidRPr="001B34D0">
              <w:rPr>
                <w:rFonts w:eastAsia="Times New Roman" w:cs="Calibri"/>
                <w:b/>
                <w:bCs/>
                <w:color w:val="FFFFFF"/>
                <w:lang w:eastAsia="es-CO"/>
              </w:rPr>
              <w:t>TOTAL</w:t>
            </w:r>
          </w:p>
        </w:tc>
      </w:tr>
      <w:tr w:rsidR="00982E3B" w:rsidRPr="001B34D0" w:rsidTr="00000F81">
        <w:trPr>
          <w:trHeight w:val="555"/>
        </w:trPr>
        <w:tc>
          <w:tcPr>
            <w:tcW w:w="3559"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615 MALFORMACIONES CONGEN., DEFORMID.Y ANOMALIAS CROMOSOMICAS</w:t>
            </w:r>
          </w:p>
        </w:tc>
        <w:tc>
          <w:tcPr>
            <w:tcW w:w="731"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24</w:t>
            </w:r>
          </w:p>
        </w:tc>
      </w:tr>
      <w:tr w:rsidR="00982E3B" w:rsidRPr="001B34D0" w:rsidTr="00000F81">
        <w:trPr>
          <w:trHeight w:val="601"/>
        </w:trPr>
        <w:tc>
          <w:tcPr>
            <w:tcW w:w="3559" w:type="dxa"/>
            <w:tcBorders>
              <w:right w:val="nil"/>
            </w:tcBorders>
            <w:shd w:val="clear" w:color="auto" w:fill="auto"/>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404 TRAST. RESPIRATORIOS ESPECIFICOS DEL PERIODO PERINATAL</w:t>
            </w:r>
          </w:p>
        </w:tc>
        <w:tc>
          <w:tcPr>
            <w:tcW w:w="731" w:type="dxa"/>
            <w:tcBorders>
              <w:left w:val="nil"/>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14</w:t>
            </w:r>
          </w:p>
        </w:tc>
      </w:tr>
      <w:tr w:rsidR="00982E3B" w:rsidRPr="001B34D0" w:rsidTr="00000F81">
        <w:trPr>
          <w:trHeight w:val="496"/>
        </w:trPr>
        <w:tc>
          <w:tcPr>
            <w:tcW w:w="3559"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407 OTRAS AFECC. ORIGINADAS EN PERIODO PERINATAL</w:t>
            </w:r>
          </w:p>
        </w:tc>
        <w:tc>
          <w:tcPr>
            <w:tcW w:w="731"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9</w:t>
            </w:r>
          </w:p>
        </w:tc>
      </w:tr>
      <w:tr w:rsidR="00982E3B" w:rsidRPr="001B34D0" w:rsidTr="00000F81">
        <w:trPr>
          <w:trHeight w:val="375"/>
        </w:trPr>
        <w:tc>
          <w:tcPr>
            <w:tcW w:w="3559" w:type="dxa"/>
            <w:tcBorders>
              <w:right w:val="nil"/>
            </w:tcBorders>
            <w:shd w:val="clear" w:color="auto" w:fill="auto"/>
            <w:noWrap/>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510 OTROS ACCIDENTES, INCLUSIVE SECUELAS</w:t>
            </w:r>
          </w:p>
        </w:tc>
        <w:tc>
          <w:tcPr>
            <w:tcW w:w="731" w:type="dxa"/>
            <w:tcBorders>
              <w:left w:val="nil"/>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6</w:t>
            </w:r>
          </w:p>
        </w:tc>
      </w:tr>
      <w:tr w:rsidR="00982E3B" w:rsidRPr="001B34D0" w:rsidTr="00000F81">
        <w:trPr>
          <w:trHeight w:val="368"/>
        </w:trPr>
        <w:tc>
          <w:tcPr>
            <w:tcW w:w="3559" w:type="dxa"/>
            <w:shd w:val="clear" w:color="auto" w:fill="D2EAF1"/>
            <w:noWrap/>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700 SINTOMAS, SIGNOS Y AFECCIONES MAL DEFINIDAS</w:t>
            </w:r>
          </w:p>
        </w:tc>
        <w:tc>
          <w:tcPr>
            <w:tcW w:w="731"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4</w:t>
            </w:r>
          </w:p>
        </w:tc>
      </w:tr>
    </w:tbl>
    <w:p w:rsidR="00982E3B" w:rsidRPr="001B34D0" w:rsidRDefault="00982E3B" w:rsidP="00A92D87">
      <w:pPr>
        <w:spacing w:after="0" w:line="240" w:lineRule="auto"/>
        <w:rPr>
          <w:rFonts w:eastAsia="Calibri" w:cs="Times New Roman"/>
          <w:i/>
        </w:rPr>
      </w:pPr>
      <w:r w:rsidRPr="001B34D0">
        <w:rPr>
          <w:rFonts w:eastAsia="Calibri" w:cs="Times New Roman"/>
          <w:i/>
        </w:rPr>
        <w:t>FUENTE: DANE, Estadísticas vitales</w:t>
      </w:r>
    </w:p>
    <w:p w:rsidR="00982E3B" w:rsidRPr="001B34D0" w:rsidRDefault="00982E3B" w:rsidP="00A92D87">
      <w:pPr>
        <w:spacing w:after="0" w:line="240" w:lineRule="auto"/>
        <w:ind w:left="4248" w:firstLine="708"/>
        <w:rPr>
          <w:rFonts w:eastAsia="Calibri" w:cs="Times New Roman"/>
          <w:i/>
        </w:rPr>
      </w:pPr>
      <w:r w:rsidRPr="001B34D0">
        <w:rPr>
          <w:rFonts w:eastAsia="Calibri" w:cs="Times New Roman"/>
          <w:i/>
        </w:rPr>
        <w:t xml:space="preserve">     FUENTE: DANE, Estadísticas vitales</w:t>
      </w:r>
    </w:p>
    <w:p w:rsidR="00982E3B" w:rsidRPr="001B34D0" w:rsidRDefault="00982E3B" w:rsidP="00A92D87">
      <w:pPr>
        <w:spacing w:after="0" w:line="240" w:lineRule="auto"/>
        <w:rPr>
          <w:rFonts w:eastAsia="Calibri" w:cs="Times New Roman"/>
        </w:rPr>
      </w:pPr>
    </w:p>
    <w:tbl>
      <w:tblPr>
        <w:tblpPr w:leftFromText="141" w:rightFromText="141" w:vertAnchor="text" w:tblpY="26"/>
        <w:tblW w:w="4413"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604"/>
        <w:gridCol w:w="809"/>
      </w:tblGrid>
      <w:tr w:rsidR="00982E3B" w:rsidRPr="001B34D0" w:rsidTr="00000F81">
        <w:trPr>
          <w:trHeight w:val="675"/>
        </w:trPr>
        <w:tc>
          <w:tcPr>
            <w:tcW w:w="3657" w:type="dxa"/>
            <w:tcBorders>
              <w:top w:val="single" w:sz="8" w:space="0" w:color="78C0D4"/>
              <w:left w:val="single" w:sz="8" w:space="0" w:color="78C0D4"/>
              <w:bottom w:val="single" w:sz="8" w:space="0" w:color="78C0D4"/>
            </w:tcBorders>
            <w:shd w:val="clear" w:color="auto" w:fill="4BACC6"/>
            <w:hideMark/>
          </w:tcPr>
          <w:p w:rsidR="00982E3B" w:rsidRPr="001B34D0" w:rsidRDefault="00982E3B" w:rsidP="00A92D87">
            <w:pPr>
              <w:spacing w:after="0" w:line="240" w:lineRule="auto"/>
              <w:jc w:val="center"/>
              <w:rPr>
                <w:rFonts w:eastAsia="Times New Roman" w:cs="Calibri"/>
                <w:b/>
                <w:bCs/>
                <w:color w:val="FFFFFF"/>
                <w:lang w:eastAsia="es-CO"/>
              </w:rPr>
            </w:pPr>
            <w:r w:rsidRPr="001B34D0">
              <w:rPr>
                <w:rFonts w:eastAsia="Times New Roman" w:cs="Calibri"/>
                <w:b/>
                <w:bCs/>
                <w:color w:val="FFFFFF"/>
                <w:lang w:eastAsia="es-CO"/>
              </w:rPr>
              <w:lastRenderedPageBreak/>
              <w:t>Cinco primeras causas de mortalidad de niños y niñas 2013</w:t>
            </w:r>
          </w:p>
        </w:tc>
        <w:tc>
          <w:tcPr>
            <w:tcW w:w="756" w:type="dxa"/>
            <w:tcBorders>
              <w:top w:val="single" w:sz="8" w:space="0" w:color="78C0D4"/>
              <w:bottom w:val="single" w:sz="8" w:space="0" w:color="78C0D4"/>
              <w:right w:val="single" w:sz="8" w:space="0" w:color="78C0D4"/>
            </w:tcBorders>
            <w:shd w:val="clear" w:color="auto" w:fill="4BACC6"/>
            <w:hideMark/>
          </w:tcPr>
          <w:p w:rsidR="00982E3B" w:rsidRPr="001B34D0" w:rsidRDefault="00982E3B" w:rsidP="00A92D87">
            <w:pPr>
              <w:spacing w:after="0" w:line="240" w:lineRule="auto"/>
              <w:jc w:val="center"/>
              <w:rPr>
                <w:rFonts w:eastAsia="Times New Roman" w:cs="Calibri"/>
                <w:b/>
                <w:bCs/>
                <w:color w:val="FFFFFF"/>
                <w:lang w:eastAsia="es-CO"/>
              </w:rPr>
            </w:pPr>
            <w:r w:rsidRPr="001B34D0">
              <w:rPr>
                <w:rFonts w:eastAsia="Times New Roman" w:cs="Calibri"/>
                <w:b/>
                <w:bCs/>
                <w:color w:val="FFFFFF"/>
                <w:lang w:eastAsia="es-CO"/>
              </w:rPr>
              <w:t>TOTAL</w:t>
            </w:r>
          </w:p>
        </w:tc>
      </w:tr>
      <w:tr w:rsidR="00982E3B" w:rsidRPr="001B34D0" w:rsidTr="00000F81">
        <w:trPr>
          <w:trHeight w:val="540"/>
        </w:trPr>
        <w:tc>
          <w:tcPr>
            <w:tcW w:w="3657"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615 MALFORMACIONES CONGEN., DEFORMID.Y ANOMALIAS CROMOSOMICAS</w:t>
            </w:r>
          </w:p>
        </w:tc>
        <w:tc>
          <w:tcPr>
            <w:tcW w:w="756"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21</w:t>
            </w:r>
          </w:p>
        </w:tc>
      </w:tr>
      <w:tr w:rsidR="00982E3B" w:rsidRPr="001B34D0" w:rsidTr="00000F81">
        <w:trPr>
          <w:trHeight w:val="540"/>
        </w:trPr>
        <w:tc>
          <w:tcPr>
            <w:tcW w:w="3657" w:type="dxa"/>
            <w:tcBorders>
              <w:right w:val="nil"/>
            </w:tcBorders>
            <w:shd w:val="clear" w:color="auto" w:fill="auto"/>
            <w:hideMark/>
          </w:tcPr>
          <w:p w:rsidR="00982E3B" w:rsidRPr="001B34D0" w:rsidRDefault="00982E3B" w:rsidP="00A92D87">
            <w:pPr>
              <w:spacing w:after="0" w:line="240" w:lineRule="auto"/>
              <w:ind w:left="308"/>
              <w:rPr>
                <w:rFonts w:eastAsia="Times New Roman" w:cs="Calibri"/>
                <w:b/>
                <w:bCs/>
                <w:lang w:eastAsia="es-CO"/>
              </w:rPr>
            </w:pPr>
            <w:r w:rsidRPr="001B34D0">
              <w:rPr>
                <w:rFonts w:eastAsia="Times New Roman" w:cs="Calibri"/>
                <w:b/>
                <w:bCs/>
                <w:lang w:eastAsia="es-CO"/>
              </w:rPr>
              <w:t>404 TRAST. RESPIRATORIOS ESPECIFICOS DEL PERIODO PERINATAL</w:t>
            </w:r>
          </w:p>
        </w:tc>
        <w:tc>
          <w:tcPr>
            <w:tcW w:w="756" w:type="dxa"/>
            <w:tcBorders>
              <w:left w:val="nil"/>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8</w:t>
            </w:r>
          </w:p>
        </w:tc>
      </w:tr>
      <w:tr w:rsidR="00982E3B" w:rsidRPr="001B34D0" w:rsidTr="00000F81">
        <w:trPr>
          <w:trHeight w:val="330"/>
        </w:trPr>
        <w:tc>
          <w:tcPr>
            <w:tcW w:w="3657"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510 OTROS ACCIDENTES, INCLUSIVE SECUELAS</w:t>
            </w:r>
          </w:p>
        </w:tc>
        <w:tc>
          <w:tcPr>
            <w:tcW w:w="756"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5</w:t>
            </w:r>
          </w:p>
        </w:tc>
      </w:tr>
      <w:tr w:rsidR="00982E3B" w:rsidRPr="001B34D0" w:rsidTr="00000F81">
        <w:trPr>
          <w:trHeight w:val="452"/>
        </w:trPr>
        <w:tc>
          <w:tcPr>
            <w:tcW w:w="3657" w:type="dxa"/>
            <w:tcBorders>
              <w:right w:val="nil"/>
            </w:tcBorders>
            <w:shd w:val="clear" w:color="auto" w:fill="auto"/>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403 RETARDO CRECIM.FETAL, DESNUTR. FETAL., BAJO P./ NACER, GEST.CORTA</w:t>
            </w:r>
          </w:p>
        </w:tc>
        <w:tc>
          <w:tcPr>
            <w:tcW w:w="756" w:type="dxa"/>
            <w:tcBorders>
              <w:left w:val="nil"/>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3</w:t>
            </w:r>
          </w:p>
        </w:tc>
      </w:tr>
      <w:tr w:rsidR="00982E3B" w:rsidRPr="001B34D0" w:rsidTr="00000F81">
        <w:trPr>
          <w:trHeight w:val="402"/>
        </w:trPr>
        <w:tc>
          <w:tcPr>
            <w:tcW w:w="3657"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405 SEPSIS BACTERIANA DEL RECIEN NACIDO</w:t>
            </w:r>
          </w:p>
        </w:tc>
        <w:tc>
          <w:tcPr>
            <w:tcW w:w="756"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3</w:t>
            </w:r>
          </w:p>
        </w:tc>
      </w:tr>
    </w:tbl>
    <w:p w:rsidR="00982E3B" w:rsidRPr="001B34D0" w:rsidRDefault="00982E3B" w:rsidP="00A92D87">
      <w:pPr>
        <w:spacing w:after="0" w:line="240" w:lineRule="auto"/>
        <w:rPr>
          <w:rFonts w:eastAsia="Calibri" w:cs="Times New Roman"/>
          <w:vanish/>
        </w:rPr>
      </w:pPr>
    </w:p>
    <w:tbl>
      <w:tblPr>
        <w:tblpPr w:leftFromText="141" w:rightFromText="141" w:vertAnchor="text" w:horzAnchor="margin" w:tblpXSpec="right" w:tblpY="86"/>
        <w:tblW w:w="4268"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3459"/>
        <w:gridCol w:w="809"/>
      </w:tblGrid>
      <w:tr w:rsidR="00982E3B" w:rsidRPr="001B34D0" w:rsidTr="00000F81">
        <w:trPr>
          <w:trHeight w:val="660"/>
        </w:trPr>
        <w:tc>
          <w:tcPr>
            <w:tcW w:w="3512" w:type="dxa"/>
            <w:tcBorders>
              <w:top w:val="single" w:sz="8" w:space="0" w:color="78C0D4"/>
              <w:left w:val="single" w:sz="8" w:space="0" w:color="78C0D4"/>
              <w:bottom w:val="single" w:sz="8" w:space="0" w:color="78C0D4"/>
            </w:tcBorders>
            <w:shd w:val="clear" w:color="auto" w:fill="4BACC6"/>
            <w:hideMark/>
          </w:tcPr>
          <w:p w:rsidR="00982E3B" w:rsidRPr="001B34D0" w:rsidRDefault="00982E3B" w:rsidP="00A92D87">
            <w:pPr>
              <w:spacing w:after="0" w:line="240" w:lineRule="auto"/>
              <w:jc w:val="center"/>
              <w:rPr>
                <w:rFonts w:eastAsia="Times New Roman" w:cs="Calibri"/>
                <w:b/>
                <w:bCs/>
                <w:color w:val="FFFFFF"/>
                <w:lang w:eastAsia="es-CO"/>
              </w:rPr>
            </w:pPr>
            <w:r w:rsidRPr="001B34D0">
              <w:rPr>
                <w:rFonts w:eastAsia="Times New Roman" w:cs="Calibri"/>
                <w:b/>
                <w:bCs/>
                <w:color w:val="FFFFFF"/>
                <w:lang w:eastAsia="es-CO"/>
              </w:rPr>
              <w:t>Cinco primeras causas de mortalidad de niños y niñas 2014 (Preliminar)</w:t>
            </w:r>
          </w:p>
        </w:tc>
        <w:tc>
          <w:tcPr>
            <w:tcW w:w="756" w:type="dxa"/>
            <w:tcBorders>
              <w:top w:val="single" w:sz="8" w:space="0" w:color="78C0D4"/>
              <w:bottom w:val="single" w:sz="8" w:space="0" w:color="78C0D4"/>
              <w:right w:val="single" w:sz="8" w:space="0" w:color="78C0D4"/>
            </w:tcBorders>
            <w:shd w:val="clear" w:color="auto" w:fill="4BACC6"/>
            <w:noWrap/>
            <w:hideMark/>
          </w:tcPr>
          <w:p w:rsidR="00982E3B" w:rsidRPr="001B34D0" w:rsidRDefault="00982E3B" w:rsidP="00A92D87">
            <w:pPr>
              <w:spacing w:after="0" w:line="240" w:lineRule="auto"/>
              <w:jc w:val="center"/>
              <w:rPr>
                <w:rFonts w:eastAsia="Times New Roman" w:cs="Calibri"/>
                <w:b/>
                <w:bCs/>
                <w:color w:val="FFFFFF"/>
                <w:lang w:eastAsia="es-CO"/>
              </w:rPr>
            </w:pPr>
            <w:r w:rsidRPr="001B34D0">
              <w:rPr>
                <w:rFonts w:eastAsia="Times New Roman" w:cs="Calibri"/>
                <w:b/>
                <w:bCs/>
                <w:color w:val="FFFFFF"/>
                <w:lang w:eastAsia="es-CO"/>
              </w:rPr>
              <w:t>TOTAL</w:t>
            </w:r>
          </w:p>
        </w:tc>
      </w:tr>
      <w:tr w:rsidR="00982E3B" w:rsidRPr="001B34D0" w:rsidTr="00000F81">
        <w:trPr>
          <w:trHeight w:val="540"/>
        </w:trPr>
        <w:tc>
          <w:tcPr>
            <w:tcW w:w="3512"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615 MALFORMACIONES CONGEN., DEFORMID.Y ANOMALIAS CROMOSOMICAS</w:t>
            </w:r>
          </w:p>
        </w:tc>
        <w:tc>
          <w:tcPr>
            <w:tcW w:w="756"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19</w:t>
            </w:r>
          </w:p>
        </w:tc>
      </w:tr>
      <w:tr w:rsidR="00982E3B" w:rsidRPr="001B34D0" w:rsidTr="00000F81">
        <w:trPr>
          <w:trHeight w:val="330"/>
        </w:trPr>
        <w:tc>
          <w:tcPr>
            <w:tcW w:w="3512" w:type="dxa"/>
            <w:tcBorders>
              <w:right w:val="nil"/>
            </w:tcBorders>
            <w:shd w:val="clear" w:color="auto" w:fill="auto"/>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407 OTRAS AFECC. ORIGINADAS EN PERIODO PERINATAL</w:t>
            </w:r>
          </w:p>
        </w:tc>
        <w:tc>
          <w:tcPr>
            <w:tcW w:w="756" w:type="dxa"/>
            <w:tcBorders>
              <w:left w:val="nil"/>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10</w:t>
            </w:r>
          </w:p>
        </w:tc>
      </w:tr>
      <w:tr w:rsidR="00982E3B" w:rsidRPr="001B34D0" w:rsidTr="00000F81">
        <w:trPr>
          <w:trHeight w:val="540"/>
        </w:trPr>
        <w:tc>
          <w:tcPr>
            <w:tcW w:w="3512"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404 TRAST. RESPIRATORIOS ESPECIFICOS DEL PERIODO PERINATAL</w:t>
            </w:r>
          </w:p>
        </w:tc>
        <w:tc>
          <w:tcPr>
            <w:tcW w:w="756"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9</w:t>
            </w:r>
          </w:p>
        </w:tc>
      </w:tr>
      <w:tr w:rsidR="00982E3B" w:rsidRPr="001B34D0" w:rsidTr="00000F81">
        <w:trPr>
          <w:trHeight w:val="431"/>
        </w:trPr>
        <w:tc>
          <w:tcPr>
            <w:tcW w:w="3512" w:type="dxa"/>
            <w:tcBorders>
              <w:right w:val="nil"/>
            </w:tcBorders>
            <w:shd w:val="clear" w:color="auto" w:fill="auto"/>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403 RETARDO CRECIM.FETAL, DESNUTR. FETAL., BAJO P./ NACER, GEST.CORTA</w:t>
            </w:r>
          </w:p>
        </w:tc>
        <w:tc>
          <w:tcPr>
            <w:tcW w:w="756" w:type="dxa"/>
            <w:tcBorders>
              <w:left w:val="nil"/>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6</w:t>
            </w:r>
          </w:p>
        </w:tc>
      </w:tr>
      <w:tr w:rsidR="00982E3B" w:rsidRPr="001B34D0" w:rsidTr="00000F81">
        <w:trPr>
          <w:trHeight w:val="430"/>
        </w:trPr>
        <w:tc>
          <w:tcPr>
            <w:tcW w:w="3512" w:type="dxa"/>
            <w:shd w:val="clear" w:color="auto" w:fill="D2EAF1"/>
            <w:hideMark/>
          </w:tcPr>
          <w:p w:rsidR="00982E3B" w:rsidRPr="001B34D0" w:rsidRDefault="00982E3B" w:rsidP="00A92D87">
            <w:pPr>
              <w:spacing w:after="0" w:line="240" w:lineRule="auto"/>
              <w:rPr>
                <w:rFonts w:eastAsia="Times New Roman" w:cs="Calibri"/>
                <w:b/>
                <w:bCs/>
                <w:lang w:eastAsia="es-CO"/>
              </w:rPr>
            </w:pPr>
            <w:r w:rsidRPr="001B34D0">
              <w:rPr>
                <w:rFonts w:eastAsia="Times New Roman" w:cs="Calibri"/>
                <w:b/>
                <w:bCs/>
                <w:lang w:eastAsia="es-CO"/>
              </w:rPr>
              <w:t>109 INFECCIONES RESPIRATORIAS AGUDAS</w:t>
            </w:r>
          </w:p>
        </w:tc>
        <w:tc>
          <w:tcPr>
            <w:tcW w:w="756" w:type="dxa"/>
            <w:shd w:val="clear" w:color="auto" w:fill="D2EAF1"/>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5</w:t>
            </w:r>
          </w:p>
        </w:tc>
      </w:tr>
    </w:tbl>
    <w:p w:rsidR="00982E3B" w:rsidRPr="001B34D0" w:rsidRDefault="00982E3B" w:rsidP="00A92D87">
      <w:pPr>
        <w:spacing w:after="0" w:line="240" w:lineRule="auto"/>
        <w:rPr>
          <w:rFonts w:eastAsia="Calibri" w:cs="Times New Roman"/>
        </w:rPr>
      </w:pPr>
    </w:p>
    <w:p w:rsidR="00982E3B" w:rsidRPr="001B34D0" w:rsidRDefault="00982E3B" w:rsidP="00A92D87">
      <w:pPr>
        <w:spacing w:after="0" w:line="240" w:lineRule="auto"/>
        <w:rPr>
          <w:rFonts w:eastAsia="Calibri" w:cs="Times New Roman"/>
          <w:vanish/>
        </w:rPr>
      </w:pPr>
    </w:p>
    <w:p w:rsidR="00982E3B" w:rsidRPr="001B34D0" w:rsidRDefault="00982E3B" w:rsidP="00A92D87">
      <w:pPr>
        <w:spacing w:after="0" w:line="240" w:lineRule="auto"/>
        <w:rPr>
          <w:rFonts w:eastAsia="Calibri" w:cs="Times New Roman"/>
        </w:rPr>
      </w:pPr>
      <w:r w:rsidRPr="001B34D0">
        <w:rPr>
          <w:rFonts w:eastAsia="Calibri" w:cs="Times New Roman"/>
          <w:i/>
        </w:rPr>
        <w:t xml:space="preserve">FUENTE: DANE, Estadísticas </w:t>
      </w:r>
      <w:r w:rsidR="00F07B9B" w:rsidRPr="001B34D0">
        <w:rPr>
          <w:rFonts w:eastAsia="Calibri" w:cs="Times New Roman"/>
          <w:i/>
        </w:rPr>
        <w:t>vitales FUENTE</w:t>
      </w:r>
      <w:r w:rsidRPr="001B34D0">
        <w:rPr>
          <w:rFonts w:eastAsia="Calibri" w:cs="Times New Roman"/>
          <w:i/>
        </w:rPr>
        <w:t>: DANE, Estadísticas vitales</w:t>
      </w:r>
    </w:p>
    <w:p w:rsidR="00982E3B" w:rsidRPr="001B34D0" w:rsidRDefault="00982E3B" w:rsidP="00A92D87">
      <w:pPr>
        <w:spacing w:after="0" w:line="240" w:lineRule="auto"/>
        <w:rPr>
          <w:rFonts w:eastAsia="Calibri" w:cs="Times New Roman"/>
        </w:rPr>
      </w:pPr>
    </w:p>
    <w:p w:rsidR="00982E3B" w:rsidRPr="001B34D0" w:rsidRDefault="00982E3B" w:rsidP="00A92D87">
      <w:pPr>
        <w:spacing w:after="0" w:line="240" w:lineRule="auto"/>
        <w:rPr>
          <w:rFonts w:eastAsia="Calibri" w:cs="Times New Roman"/>
        </w:rPr>
      </w:pPr>
    </w:p>
    <w:p w:rsidR="00982E3B" w:rsidRPr="001B34D0" w:rsidRDefault="00982E3B" w:rsidP="00A92D87">
      <w:pPr>
        <w:numPr>
          <w:ilvl w:val="0"/>
          <w:numId w:val="3"/>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982E3B" w:rsidRPr="001B34D0" w:rsidRDefault="00982E3B" w:rsidP="002616FA">
      <w:pPr>
        <w:spacing w:after="200" w:line="240" w:lineRule="auto"/>
        <w:ind w:left="360"/>
        <w:jc w:val="both"/>
        <w:rPr>
          <w:rFonts w:eastAsia="Calibri" w:cs="Times New Roman"/>
        </w:rPr>
      </w:pPr>
      <w:r w:rsidRPr="001B34D0">
        <w:rPr>
          <w:rFonts w:eastAsia="Calibri" w:cs="Times New Roman"/>
        </w:rPr>
        <w:t xml:space="preserve">Dentro de las causas principales de mortalidad en los niños y niñas menores de cinco años, se reflejan las malformaciones congénitas y otras afecciones en el período perinatal en el período 2011 a 2014. </w:t>
      </w:r>
    </w:p>
    <w:p w:rsidR="00982E3B" w:rsidRPr="001B34D0" w:rsidRDefault="00982E3B" w:rsidP="002616FA">
      <w:pPr>
        <w:spacing w:after="200" w:line="240" w:lineRule="auto"/>
        <w:ind w:left="360"/>
        <w:jc w:val="both"/>
        <w:rPr>
          <w:rFonts w:eastAsia="Calibri" w:cs="Times New Roman"/>
          <w:lang w:val="es-ES"/>
        </w:rPr>
      </w:pPr>
      <w:r w:rsidRPr="001B34D0">
        <w:rPr>
          <w:rFonts w:eastAsia="Calibri" w:cs="Times New Roman"/>
          <w:lang w:val="es-ES"/>
        </w:rPr>
        <w:t xml:space="preserve">Lo cual orienta y dirige el trabajo a mantener y fortalecer los programas maternos infantiles: riesgo preconcepcional, control prenatal, parto y posparto, Estrategia AIEPI, Minuto de ORO, crecimiento y desarrollo y en mejorar la seguridad nutricional de las familias. </w:t>
      </w:r>
    </w:p>
    <w:p w:rsidR="00982E3B" w:rsidRPr="001B34D0" w:rsidRDefault="00982E3B" w:rsidP="00A92D87">
      <w:pPr>
        <w:numPr>
          <w:ilvl w:val="0"/>
          <w:numId w:val="3"/>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Insumos</w:t>
      </w:r>
    </w:p>
    <w:p w:rsidR="00982E3B" w:rsidRPr="001B34D0" w:rsidRDefault="00982E3B" w:rsidP="002616FA">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Dentro del Plan de Desarrollo Municipal “Pasto: Transformación productiva”, se encuentra contemplado éste indicador, con el fin de disminuir la mortalidad en niños y niñas menores de 5 año.  La Secretaría de Salud Municipal cuenta con un equipo de cuatro contratistas que conforman prioridad de salud infantil (tres enfermeras y un médico) y una funcionaria de planta como Coordinadora de la prioridad, para la ejecución de acciones relacionadas con propender la salud de los niños y niñas del Municipio,  desarrollando actividades de articulación intersectorial, seguimiento, evaluación y asistencia técnica a IPS y EPS,  fortalecimiento de la estrategia AIEPI en el componente clínico y comunitario y la implementación del Plan de Salud Pública de Intervenciones Colectivas. Adicionalmente se cuenta con un equipo de Unidades Centinelas en algunas zonas del área rural como apoyo a la comunidad.</w:t>
      </w: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A92D87">
      <w:pPr>
        <w:numPr>
          <w:ilvl w:val="0"/>
          <w:numId w:val="3"/>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982E3B" w:rsidRPr="001B34D0" w:rsidRDefault="00982E3B" w:rsidP="002616FA">
      <w:pPr>
        <w:spacing w:after="200" w:line="240" w:lineRule="auto"/>
        <w:ind w:left="360"/>
        <w:jc w:val="both"/>
        <w:rPr>
          <w:rFonts w:eastAsia="Calibri" w:cs="Arial"/>
        </w:rPr>
      </w:pPr>
      <w:r w:rsidRPr="001B34D0">
        <w:rPr>
          <w:rFonts w:eastAsia="Calibri" w:cs="Times New Roman"/>
        </w:rPr>
        <w:lastRenderedPageBreak/>
        <w:t xml:space="preserve">El municipio de Pasto, a través de la Secretaría de Salud, se ejecuta un proyecto denominado “NIÑOS Y NIÑAS SALUDABLES DEL MUNICIPIO DE </w:t>
      </w:r>
      <w:r w:rsidRPr="001B34D0">
        <w:rPr>
          <w:rFonts w:eastAsia="Calibri" w:cs="Arial"/>
        </w:rPr>
        <w:t>PASTO” que busca lograr la articulación entre los actores inter e intrainstitucionales que intervienen en la Salud infantil, y el seguimiento, evaluación y asistencia técnica a EPS e IPS con el fin de verificar la adherencia a guías, normas, estrategias y protocolos.</w:t>
      </w:r>
    </w:p>
    <w:p w:rsidR="00982E3B" w:rsidRPr="001B34D0" w:rsidRDefault="00982E3B" w:rsidP="002616FA">
      <w:pPr>
        <w:spacing w:after="200" w:line="240" w:lineRule="auto"/>
        <w:ind w:left="360"/>
        <w:jc w:val="both"/>
        <w:rPr>
          <w:rFonts w:eastAsia="Calibri" w:cs="Arial"/>
        </w:rPr>
      </w:pPr>
      <w:r w:rsidRPr="001B34D0">
        <w:rPr>
          <w:rFonts w:eastAsia="Calibri" w:cs="Arial"/>
        </w:rPr>
        <w:t>Además se aplica la Ruta de atención a la primera infancia e infancia enfocado a orientar y mejorar las actividades relacionadas con la salud infantil de nuestro Municipio.</w:t>
      </w:r>
    </w:p>
    <w:p w:rsidR="00982E3B" w:rsidRPr="001B34D0" w:rsidRDefault="00982E3B" w:rsidP="002616FA">
      <w:pPr>
        <w:spacing w:after="200" w:line="240" w:lineRule="auto"/>
        <w:ind w:left="360"/>
        <w:jc w:val="both"/>
        <w:rPr>
          <w:rFonts w:eastAsia="Calibri" w:cs="Arial"/>
        </w:rPr>
      </w:pPr>
      <w:r w:rsidRPr="001B34D0">
        <w:rPr>
          <w:rFonts w:eastAsia="Calibri" w:cs="Arial"/>
        </w:rPr>
        <w:t>También se desarrolla el Plan de Intervenciones colectivas, a través del cual se ejecuta actividades de articulación y empoderamiento de la salud con la comunidad.</w:t>
      </w:r>
    </w:p>
    <w:p w:rsidR="00982E3B" w:rsidRPr="001B34D0" w:rsidRDefault="00982E3B" w:rsidP="00A92D87">
      <w:pPr>
        <w:numPr>
          <w:ilvl w:val="0"/>
          <w:numId w:val="3"/>
        </w:numPr>
        <w:spacing w:after="0" w:line="240" w:lineRule="auto"/>
        <w:ind w:left="426" w:hanging="426"/>
        <w:contextualSpacing/>
        <w:jc w:val="both"/>
        <w:rPr>
          <w:rFonts w:eastAsia="Times New Roman" w:cs="Times New Roman"/>
          <w:b/>
          <w:lang w:val="es-ES" w:eastAsia="ar-SA"/>
        </w:rPr>
      </w:pPr>
      <w:r w:rsidRPr="001B34D0">
        <w:rPr>
          <w:rFonts w:eastAsia="Times New Roman" w:cs="Times New Roman"/>
          <w:b/>
          <w:lang w:val="es-ES" w:eastAsia="ar-SA"/>
        </w:rPr>
        <w:t>Productos</w:t>
      </w:r>
    </w:p>
    <w:p w:rsidR="00982E3B" w:rsidRPr="001B34D0" w:rsidRDefault="00982E3B" w:rsidP="00A92D87">
      <w:pPr>
        <w:suppressAutoHyphens/>
        <w:spacing w:after="0" w:line="240" w:lineRule="auto"/>
        <w:ind w:left="426" w:hanging="426"/>
        <w:contextualSpacing/>
        <w:jc w:val="both"/>
        <w:rPr>
          <w:rFonts w:eastAsia="Times New Roman" w:cs="Arial"/>
          <w:color w:val="000000"/>
          <w:lang w:val="es-ES" w:eastAsia="ar-SA"/>
        </w:rPr>
      </w:pPr>
    </w:p>
    <w:p w:rsidR="00982E3B" w:rsidRPr="001B34D0" w:rsidRDefault="00982E3B" w:rsidP="00A92D87">
      <w:pPr>
        <w:numPr>
          <w:ilvl w:val="0"/>
          <w:numId w:val="1"/>
        </w:numPr>
        <w:spacing w:after="0" w:line="240" w:lineRule="auto"/>
        <w:ind w:left="426" w:hanging="426"/>
        <w:contextualSpacing/>
        <w:jc w:val="both"/>
        <w:rPr>
          <w:rFonts w:eastAsia="Times New Roman" w:cs="Arial"/>
          <w:b/>
          <w:bCs/>
          <w:color w:val="000000"/>
          <w:lang w:val="es-ES_tradnl" w:eastAsia="es-ES"/>
        </w:rPr>
      </w:pPr>
      <w:r w:rsidRPr="001B34D0">
        <w:rPr>
          <w:rFonts w:eastAsia="Times New Roman" w:cs="Arial"/>
          <w:color w:val="000000"/>
          <w:lang w:val="es-ES" w:eastAsia="ar-SA"/>
        </w:rPr>
        <w:t>Política pública Municipal de primera infancia e infancia operando.</w:t>
      </w:r>
    </w:p>
    <w:p w:rsidR="00982E3B" w:rsidRPr="001B34D0" w:rsidRDefault="00982E3B" w:rsidP="00A92D87">
      <w:pPr>
        <w:numPr>
          <w:ilvl w:val="0"/>
          <w:numId w:val="1"/>
        </w:numPr>
        <w:spacing w:after="0" w:line="240" w:lineRule="auto"/>
        <w:ind w:left="426" w:hanging="426"/>
        <w:jc w:val="both"/>
        <w:rPr>
          <w:rFonts w:eastAsia="Calibri" w:cs="Arial"/>
          <w:color w:val="000000"/>
        </w:rPr>
      </w:pPr>
      <w:r w:rsidRPr="001B34D0">
        <w:rPr>
          <w:rFonts w:eastAsia="Calibri" w:cs="Arial"/>
          <w:color w:val="000000"/>
        </w:rPr>
        <w:t>Lograda la adherencia a guías, normas técnicas y estrategias relacionadas con la Salud infantil del Municipio.</w:t>
      </w:r>
    </w:p>
    <w:p w:rsidR="00982E3B" w:rsidRPr="001B34D0" w:rsidRDefault="00982E3B" w:rsidP="00A92D87">
      <w:pPr>
        <w:numPr>
          <w:ilvl w:val="0"/>
          <w:numId w:val="1"/>
        </w:numPr>
        <w:spacing w:after="0" w:line="240" w:lineRule="auto"/>
        <w:ind w:left="426" w:hanging="426"/>
        <w:jc w:val="both"/>
        <w:rPr>
          <w:rFonts w:eastAsia="Calibri" w:cs="Arial"/>
          <w:b/>
        </w:rPr>
      </w:pPr>
      <w:r w:rsidRPr="001B34D0">
        <w:rPr>
          <w:rFonts w:eastAsia="Calibri" w:cs="Arial"/>
          <w:color w:val="000000"/>
        </w:rPr>
        <w:t xml:space="preserve">Implementada la estrategia de movilización social para el empoderamiento de la comunidad. </w:t>
      </w:r>
    </w:p>
    <w:p w:rsidR="00982E3B" w:rsidRPr="001B34D0" w:rsidRDefault="00982E3B" w:rsidP="00A92D87">
      <w:pPr>
        <w:numPr>
          <w:ilvl w:val="0"/>
          <w:numId w:val="1"/>
        </w:numPr>
        <w:spacing w:after="0" w:line="240" w:lineRule="auto"/>
        <w:ind w:left="426" w:hanging="426"/>
        <w:jc w:val="both"/>
        <w:rPr>
          <w:rFonts w:eastAsia="Calibri" w:cs="Arial"/>
          <w:b/>
        </w:rPr>
      </w:pPr>
      <w:r w:rsidRPr="001B34D0">
        <w:rPr>
          <w:rFonts w:eastAsia="Calibri" w:cs="Arial"/>
          <w:color w:val="000000"/>
        </w:rPr>
        <w:t>Ruta de atención integral a la primera infancia e infancia</w:t>
      </w:r>
    </w:p>
    <w:p w:rsidR="00982E3B" w:rsidRPr="001B34D0" w:rsidRDefault="00982E3B" w:rsidP="00A92D87">
      <w:pPr>
        <w:numPr>
          <w:ilvl w:val="0"/>
          <w:numId w:val="1"/>
        </w:numPr>
        <w:spacing w:after="0" w:line="240" w:lineRule="auto"/>
        <w:ind w:left="426" w:hanging="426"/>
        <w:jc w:val="both"/>
        <w:rPr>
          <w:rFonts w:eastAsia="Calibri" w:cs="Arial"/>
          <w:b/>
        </w:rPr>
      </w:pPr>
      <w:r w:rsidRPr="001B34D0">
        <w:rPr>
          <w:rFonts w:eastAsia="Calibri" w:cs="Arial"/>
          <w:color w:val="000000"/>
        </w:rPr>
        <w:t>Componente AIEPI comunitario fortalecido a través de capacitaciones a actores sociales.</w:t>
      </w:r>
    </w:p>
    <w:p w:rsidR="00982E3B" w:rsidRPr="001B34D0" w:rsidRDefault="00982E3B" w:rsidP="00A92D87">
      <w:pPr>
        <w:suppressAutoHyphens/>
        <w:spacing w:after="0" w:line="240" w:lineRule="auto"/>
        <w:ind w:left="426" w:hanging="426"/>
        <w:contextualSpacing/>
        <w:jc w:val="both"/>
        <w:rPr>
          <w:rFonts w:eastAsia="Times New Roman" w:cs="Times New Roman"/>
          <w:lang w:val="es-ES" w:eastAsia="ar-SA"/>
        </w:rPr>
      </w:pPr>
    </w:p>
    <w:p w:rsidR="00982E3B" w:rsidRPr="001B34D0" w:rsidRDefault="00982E3B" w:rsidP="00A92D87">
      <w:pPr>
        <w:numPr>
          <w:ilvl w:val="0"/>
          <w:numId w:val="3"/>
        </w:numPr>
        <w:spacing w:after="0" w:line="240" w:lineRule="auto"/>
        <w:ind w:left="426" w:hanging="426"/>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982E3B" w:rsidRPr="001B34D0" w:rsidRDefault="00982E3B" w:rsidP="00A92D87">
      <w:pPr>
        <w:suppressAutoHyphens/>
        <w:spacing w:after="0" w:line="240" w:lineRule="auto"/>
        <w:ind w:left="426" w:hanging="426"/>
        <w:contextualSpacing/>
        <w:jc w:val="both"/>
        <w:rPr>
          <w:rFonts w:eastAsia="Times New Roman" w:cs="Times New Roman"/>
          <w:lang w:val="es-ES" w:eastAsia="ar-SA"/>
        </w:rPr>
      </w:pPr>
    </w:p>
    <w:p w:rsidR="00982E3B" w:rsidRPr="001B34D0" w:rsidRDefault="00982E3B" w:rsidP="00A92D87">
      <w:pPr>
        <w:numPr>
          <w:ilvl w:val="0"/>
          <w:numId w:val="2"/>
        </w:numPr>
        <w:spacing w:after="0" w:line="240" w:lineRule="auto"/>
        <w:ind w:left="426" w:hanging="426"/>
        <w:contextualSpacing/>
        <w:jc w:val="both"/>
        <w:rPr>
          <w:rFonts w:eastAsia="Times New Roman" w:cs="Times New Roman"/>
          <w:lang w:val="es-ES" w:eastAsia="ar-SA"/>
        </w:rPr>
      </w:pPr>
      <w:r w:rsidRPr="001B34D0">
        <w:rPr>
          <w:rFonts w:eastAsia="Times New Roman" w:cs="Times New Roman"/>
          <w:lang w:val="es-ES" w:eastAsia="ar-SA"/>
        </w:rPr>
        <w:t>Política pública Municipal de primera infancia e infancia</w:t>
      </w:r>
    </w:p>
    <w:p w:rsidR="00982E3B" w:rsidRPr="001B34D0" w:rsidRDefault="00982E3B" w:rsidP="00A92D87">
      <w:pPr>
        <w:numPr>
          <w:ilvl w:val="0"/>
          <w:numId w:val="2"/>
        </w:numPr>
        <w:spacing w:after="0" w:line="240" w:lineRule="auto"/>
        <w:ind w:left="426" w:hanging="426"/>
        <w:contextualSpacing/>
        <w:jc w:val="both"/>
        <w:rPr>
          <w:rFonts w:eastAsia="Times New Roman" w:cs="Times New Roman"/>
          <w:lang w:val="es-ES" w:eastAsia="ar-SA"/>
        </w:rPr>
      </w:pPr>
      <w:r w:rsidRPr="001B34D0">
        <w:rPr>
          <w:rFonts w:eastAsia="Times New Roman" w:cs="Times New Roman"/>
          <w:lang w:val="es-ES" w:eastAsia="ar-SA"/>
        </w:rPr>
        <w:t>Ruta de atención integral a la primera infancia e infancia</w:t>
      </w:r>
    </w:p>
    <w:p w:rsidR="00982E3B" w:rsidRPr="001B34D0" w:rsidRDefault="00982E3B" w:rsidP="00A92D87">
      <w:pPr>
        <w:numPr>
          <w:ilvl w:val="0"/>
          <w:numId w:val="2"/>
        </w:numPr>
        <w:spacing w:after="0" w:line="240" w:lineRule="auto"/>
        <w:ind w:left="426" w:hanging="426"/>
        <w:contextualSpacing/>
        <w:jc w:val="both"/>
        <w:rPr>
          <w:rFonts w:eastAsia="Times New Roman" w:cs="Times New Roman"/>
          <w:lang w:val="es-ES" w:eastAsia="ar-SA"/>
        </w:rPr>
      </w:pPr>
      <w:r w:rsidRPr="001B34D0">
        <w:rPr>
          <w:rFonts w:eastAsia="Times New Roman" w:cs="Times New Roman"/>
          <w:lang w:val="es-ES" w:eastAsia="ar-SA"/>
        </w:rPr>
        <w:t>Estrategia AIEPI operando en IPS públicas y privadas</w:t>
      </w:r>
    </w:p>
    <w:p w:rsidR="00982E3B" w:rsidRPr="001B34D0" w:rsidRDefault="00982E3B" w:rsidP="00A92D87">
      <w:pPr>
        <w:numPr>
          <w:ilvl w:val="0"/>
          <w:numId w:val="2"/>
        </w:numPr>
        <w:spacing w:after="0" w:line="240" w:lineRule="auto"/>
        <w:ind w:left="426" w:hanging="426"/>
        <w:contextualSpacing/>
        <w:jc w:val="both"/>
        <w:rPr>
          <w:rFonts w:eastAsia="Times New Roman" w:cs="Times New Roman"/>
          <w:lang w:val="es-ES" w:eastAsia="ar-SA"/>
        </w:rPr>
      </w:pPr>
      <w:r w:rsidRPr="001B34D0">
        <w:rPr>
          <w:rFonts w:eastAsia="Times New Roman" w:cs="Times New Roman"/>
          <w:lang w:val="es-ES" w:eastAsia="ar-SA"/>
        </w:rPr>
        <w:t>Unidades Centinelas (11) operando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3"/>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 xml:space="preserve">Positivo: Se evidencian avances en la Estrategia AIEPI en las IPS públicas y privadas.  El trabajo comunitario con la estrategia y las Unidades centinelas se ha evidenciado en los indicadores de mortalidad y morbilidad, y en el conocimiento de los aspectos con la salud infantil.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3"/>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982E3B" w:rsidRPr="001B34D0" w:rsidRDefault="00982E3B" w:rsidP="002616FA">
      <w:pPr>
        <w:spacing w:after="0" w:line="240" w:lineRule="auto"/>
        <w:ind w:left="360"/>
        <w:jc w:val="both"/>
        <w:rPr>
          <w:rFonts w:eastAsia="Calibri" w:cs="Times New Roman"/>
        </w:rPr>
      </w:pPr>
      <w:r w:rsidRPr="001B34D0">
        <w:rPr>
          <w:rFonts w:eastAsia="Calibri" w:cs="Times New Roman"/>
        </w:rPr>
        <w:t>Es importante fortalecer la articulación interinstitucional, con el fin de continuar aunando esfuerzos para evitar que los niños y niñas se nos mueran por enfermedades prevenibles.  Esto se logra trabajando de la mano con las IPS, EPS y con la comunidad en general, para que reconozcan los signos de peligro y acudan oportunamente a los centros de salud más cercanos.</w:t>
      </w:r>
    </w:p>
    <w:p w:rsidR="00982E3B" w:rsidRPr="001B34D0" w:rsidRDefault="00982E3B" w:rsidP="00A92D87">
      <w:pPr>
        <w:spacing w:after="0" w:line="240" w:lineRule="auto"/>
        <w:jc w:val="both"/>
        <w:rPr>
          <w:rFonts w:eastAsia="Calibri" w:cs="Times New Roman"/>
        </w:rPr>
      </w:pPr>
    </w:p>
    <w:p w:rsidR="00982E3B" w:rsidRPr="001B34D0" w:rsidRDefault="00982E3B" w:rsidP="002616FA">
      <w:pPr>
        <w:spacing w:after="0" w:line="240" w:lineRule="auto"/>
        <w:ind w:left="360"/>
        <w:jc w:val="both"/>
        <w:rPr>
          <w:rFonts w:eastAsia="Calibri" w:cs="Times New Roman"/>
        </w:rPr>
      </w:pPr>
      <w:r w:rsidRPr="001B34D0">
        <w:rPr>
          <w:rFonts w:eastAsia="Calibri" w:cs="Times New Roman"/>
          <w:color w:val="000000"/>
          <w:lang w:val="es-ES_tradnl"/>
        </w:rPr>
        <w:t xml:space="preserve">Algunos aspectos como los bajos recursos económicos, factores culturales y educativos, pueden generar un impacto negativo, es por eso que el trabajo se debe enfocar en la educación a la comunidad a través del AIEPI Comunitario y la adecuada priorización de problemas para una oportuna intervención de los mismos. Es importante reconocer que la </w:t>
      </w:r>
      <w:r w:rsidRPr="001B34D0">
        <w:rPr>
          <w:rFonts w:eastAsia="Calibri" w:cs="Times New Roman"/>
          <w:color w:val="000000"/>
          <w:lang w:val="es-ES_tradnl"/>
        </w:rPr>
        <w:lastRenderedPageBreak/>
        <w:t xml:space="preserve">salud infantil empieza desde la preconcepción hasta los cinco años, por lo tanto dichas actividades se deben implementar desde las mujeres en edad fértil, gestación, parto, posparto y en el nacimiento hasta los 5 años.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3"/>
        </w:numPr>
        <w:spacing w:after="0" w:line="240" w:lineRule="auto"/>
        <w:ind w:left="426" w:hanging="437"/>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982E3B" w:rsidRPr="001B34D0" w:rsidRDefault="00982E3B" w:rsidP="00A92D87">
      <w:pPr>
        <w:spacing w:after="200" w:line="240" w:lineRule="auto"/>
        <w:jc w:val="both"/>
        <w:rPr>
          <w:rFonts w:eastAsia="Calibri" w:cs="Times New Roman"/>
        </w:rPr>
      </w:pPr>
      <w:r w:rsidRPr="001B34D0">
        <w:rPr>
          <w:rFonts w:eastAsia="Calibri" w:cs="Times New Roman"/>
        </w:rPr>
        <w:t xml:space="preserve">Se debe continuar trabajando en el seguimiento, evaluación y asistencia técnica con el fin de vigilar que las normas, guías, protocolos y estrategias se estén aplicando satisfactoriamente. </w:t>
      </w:r>
    </w:p>
    <w:p w:rsidR="00982E3B" w:rsidRPr="001B34D0" w:rsidRDefault="00982E3B" w:rsidP="00A92D87">
      <w:pPr>
        <w:spacing w:after="200" w:line="240" w:lineRule="auto"/>
        <w:jc w:val="both"/>
        <w:rPr>
          <w:rFonts w:eastAsia="Calibri" w:cs="Times New Roman"/>
        </w:rPr>
      </w:pPr>
      <w:r w:rsidRPr="001B34D0">
        <w:rPr>
          <w:rFonts w:eastAsia="Calibri" w:cs="Times New Roman"/>
        </w:rPr>
        <w:t xml:space="preserve">Dentro del mejoramiento de la calidad de atención es necesario fortalecer la aplicación de la Estrategia AIEPI, y en el componente comunitario las Unidades Centinelas, siendo ellas las primeras promotoras de la educación con la comunidad, y el puente de articulación con la prestación, en el marco de la referencia y contrareferencia. </w:t>
      </w:r>
    </w:p>
    <w:p w:rsidR="00982E3B" w:rsidRPr="001B34D0" w:rsidRDefault="00982E3B" w:rsidP="00A92D87">
      <w:pPr>
        <w:spacing w:line="240" w:lineRule="auto"/>
        <w:jc w:val="both"/>
        <w:rPr>
          <w:rFonts w:eastAsia="Calibri" w:cs="Times New Roman"/>
        </w:rPr>
      </w:pPr>
      <w:r w:rsidRPr="001B34D0">
        <w:rPr>
          <w:rFonts w:eastAsia="Calibri" w:cs="Times New Roman"/>
        </w:rPr>
        <w:t>De igual manera, la ruta de atención integral a la primera infancia e infancia, es una estrategia clave para orientar el trabajo de las EPS, IPS y actores sociales que intervienen en la misma, y garantizar la mejor atención a los niños y niñas de nuestro Municipio</w:t>
      </w:r>
    </w:p>
    <w:p w:rsidR="00982E3B" w:rsidRPr="001B34D0" w:rsidRDefault="00982E3B" w:rsidP="00A92D87">
      <w:pPr>
        <w:spacing w:after="200" w:line="240" w:lineRule="auto"/>
        <w:rPr>
          <w:rFonts w:eastAsia="Calibri" w:cs="Times New Roman"/>
        </w:rPr>
      </w:pPr>
    </w:p>
    <w:p w:rsidR="00982E3B" w:rsidRPr="001B34D0" w:rsidRDefault="00982E3B"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1B34D0">
        <w:rPr>
          <w:rFonts w:eastAsia="Calibri" w:cs="Times New Roman"/>
          <w:b/>
          <w:i/>
          <w:iCs/>
        </w:rPr>
        <w:t>DESCRIPCIÓN DEL INDICADOR No. 9</w:t>
      </w:r>
      <w:r w:rsidRPr="001B34D0">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368"/>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579"/>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Mortalidad en niños, niñas y adolescentes por malaria (Casos)</w:t>
            </w:r>
          </w:p>
        </w:tc>
      </w:tr>
      <w:tr w:rsidR="00982E3B" w:rsidRPr="001B34D0" w:rsidTr="00000F81">
        <w:trPr>
          <w:trHeight w:val="332"/>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SIVIGILA</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338"/>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Temas relacionados con el indicador: </w:t>
            </w:r>
          </w:p>
        </w:tc>
      </w:tr>
    </w:tbl>
    <w:p w:rsidR="002616FA" w:rsidRDefault="002616FA" w:rsidP="00A92D87">
      <w:pPr>
        <w:spacing w:after="200" w:line="240" w:lineRule="auto"/>
        <w:rPr>
          <w:rFonts w:eastAsia="Calibri" w:cs="Times New Roman"/>
        </w:rPr>
      </w:pPr>
    </w:p>
    <w:p w:rsidR="002616FA" w:rsidRDefault="002616FA">
      <w:pPr>
        <w:rPr>
          <w:rFonts w:eastAsia="Calibri" w:cs="Times New Roman"/>
        </w:rPr>
      </w:pPr>
      <w:r>
        <w:rPr>
          <w:rFonts w:eastAsia="Calibri" w:cs="Times New Roman"/>
        </w:rPr>
        <w:br w:type="page"/>
      </w:r>
    </w:p>
    <w:p w:rsidR="00982E3B" w:rsidRPr="001B34D0" w:rsidRDefault="00982E3B" w:rsidP="00A92D87">
      <w:pPr>
        <w:spacing w:after="200" w:line="240" w:lineRule="auto"/>
        <w:rPr>
          <w:rFonts w:eastAsia="Calibri" w:cs="Times New Roman"/>
        </w:rPr>
      </w:pPr>
    </w:p>
    <w:p w:rsidR="00982E3B" w:rsidRPr="001B34D0" w:rsidRDefault="00982E3B" w:rsidP="00A92D87">
      <w:pPr>
        <w:numPr>
          <w:ilvl w:val="0"/>
          <w:numId w:val="42"/>
        </w:numPr>
        <w:suppressAutoHyphens/>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982E3B" w:rsidRPr="001B34D0" w:rsidRDefault="00982E3B" w:rsidP="00A92D87">
      <w:pPr>
        <w:suppressAutoHyphens/>
        <w:spacing w:after="0" w:line="240" w:lineRule="auto"/>
        <w:ind w:left="360"/>
        <w:contextualSpacing/>
        <w:rPr>
          <w:rFonts w:eastAsia="Times New Roman" w:cs="Times New Roman"/>
          <w:b/>
          <w:lang w:val="es-ES" w:eastAsia="ar-SA"/>
        </w:rPr>
      </w:pPr>
    </w:p>
    <w:p w:rsidR="00982E3B" w:rsidRPr="001B34D0" w:rsidRDefault="00982E3B" w:rsidP="00A92D87">
      <w:pPr>
        <w:spacing w:after="0" w:line="240" w:lineRule="auto"/>
        <w:rPr>
          <w:rFonts w:eastAsia="Calibri" w:cs="Times New Roman"/>
        </w:rPr>
      </w:pPr>
      <w:r w:rsidRPr="001B34D0">
        <w:rPr>
          <w:rFonts w:eastAsia="Calibri" w:cs="Times New Roman"/>
          <w:noProof/>
          <w:lang w:val="es-ES" w:eastAsia="es-ES"/>
        </w:rPr>
        <w:drawing>
          <wp:inline distT="0" distB="0" distL="0" distR="0">
            <wp:extent cx="5617210" cy="3025140"/>
            <wp:effectExtent l="0" t="0" r="2540" b="3810"/>
            <wp:docPr id="32"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82E3B" w:rsidRPr="001B34D0" w:rsidRDefault="00982E3B" w:rsidP="00A92D87">
      <w:pPr>
        <w:spacing w:after="0" w:line="240" w:lineRule="auto"/>
        <w:rPr>
          <w:rFonts w:eastAsia="Calibri" w:cs="Times New Roman"/>
        </w:rPr>
      </w:pPr>
      <w:r w:rsidRPr="001B34D0">
        <w:rPr>
          <w:rFonts w:eastAsia="Calibri" w:cs="Times New Roman"/>
        </w:rPr>
        <w:t>FUENTE: SIVIGILA</w:t>
      </w:r>
    </w:p>
    <w:p w:rsidR="00982E3B" w:rsidRPr="001B34D0" w:rsidRDefault="00982E3B" w:rsidP="00A92D87">
      <w:pPr>
        <w:spacing w:after="0" w:line="240" w:lineRule="auto"/>
        <w:rPr>
          <w:rFonts w:eastAsia="Calibri" w:cs="Times New Roman"/>
        </w:rPr>
      </w:pPr>
    </w:p>
    <w:p w:rsidR="00982E3B" w:rsidRPr="001B34D0" w:rsidRDefault="00982E3B" w:rsidP="00A92D87">
      <w:pPr>
        <w:numPr>
          <w:ilvl w:val="0"/>
          <w:numId w:val="42"/>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Situación detectada: </w:t>
      </w:r>
    </w:p>
    <w:p w:rsidR="00982E3B" w:rsidRPr="001B34D0" w:rsidRDefault="00982E3B" w:rsidP="002616FA">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 xml:space="preserve">Teniendo en cuenta que el  municipio de Pasto no es una zona endémica para el evento, la probabilidad de que se presente es muy baja; sin embargo, no estamos exentos de que algún momento se presente una mortalidad por dengue importado de las zonas endémicas.  </w:t>
      </w:r>
    </w:p>
    <w:p w:rsidR="002616FA" w:rsidRDefault="002616FA" w:rsidP="00A92D87">
      <w:pPr>
        <w:suppressAutoHyphens/>
        <w:spacing w:after="0" w:line="240" w:lineRule="auto"/>
        <w:contextualSpacing/>
        <w:jc w:val="both"/>
        <w:rPr>
          <w:rFonts w:eastAsia="Times New Roman" w:cs="Times New Roman"/>
          <w:lang w:val="es-ES" w:eastAsia="ar-SA"/>
        </w:rPr>
      </w:pPr>
    </w:p>
    <w:p w:rsidR="00982E3B" w:rsidRPr="001B34D0" w:rsidRDefault="00982E3B" w:rsidP="002616FA">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Por otra parte nuestras IPS de primer, segundo y tercer nivel de complejidad tienen capacidad resolutiva para atender los casos que se presenten.</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42"/>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 xml:space="preserve">Insumos: </w:t>
      </w:r>
    </w:p>
    <w:p w:rsidR="00982E3B" w:rsidRPr="001B34D0" w:rsidRDefault="00982E3B" w:rsidP="002616FA">
      <w:pPr>
        <w:spacing w:after="200" w:line="240" w:lineRule="auto"/>
        <w:ind w:left="360"/>
        <w:jc w:val="both"/>
        <w:rPr>
          <w:rFonts w:eastAsia="Calibri" w:cs="Times New Roman"/>
          <w:b/>
        </w:rPr>
      </w:pPr>
      <w:r w:rsidRPr="001B34D0">
        <w:rPr>
          <w:rFonts w:eastAsia="Calibri" w:cs="Times New Roman"/>
        </w:rPr>
        <w:t>La Secretaria Municipal de Salud cuenta con un equipo de vigilancia en Salud Pública capacitado, con el fin de actuar en el momento en que se presenten casos.</w:t>
      </w:r>
    </w:p>
    <w:p w:rsidR="00982E3B" w:rsidRPr="001B34D0" w:rsidRDefault="00982E3B"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1B34D0">
        <w:rPr>
          <w:rFonts w:eastAsia="Calibri" w:cs="Times New Roman"/>
          <w:b/>
          <w:i/>
          <w:iCs/>
        </w:rPr>
        <w:t>DESCRIPCIÓN DEL INDICADOR No. 10</w:t>
      </w:r>
      <w:r w:rsidRPr="001B34D0">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368"/>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579"/>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Mortalidad en niños, niñas y adolescentes por dengue (casos)</w:t>
            </w:r>
          </w:p>
        </w:tc>
      </w:tr>
      <w:tr w:rsidR="00982E3B" w:rsidRPr="001B34D0" w:rsidTr="00000F81">
        <w:trPr>
          <w:trHeight w:val="332"/>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lastRenderedPageBreak/>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SIVIGILA</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458"/>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Temas relacionados con el indicador: </w:t>
            </w:r>
          </w:p>
        </w:tc>
      </w:tr>
    </w:tbl>
    <w:p w:rsidR="00982E3B" w:rsidRPr="001B34D0" w:rsidRDefault="00982E3B" w:rsidP="00A92D87">
      <w:pPr>
        <w:spacing w:after="200" w:line="240" w:lineRule="auto"/>
        <w:rPr>
          <w:rFonts w:eastAsia="Calibri" w:cs="Times New Roman"/>
        </w:rPr>
      </w:pPr>
    </w:p>
    <w:p w:rsidR="00982E3B" w:rsidRPr="001B34D0" w:rsidRDefault="00982E3B" w:rsidP="00DF63E8">
      <w:pPr>
        <w:numPr>
          <w:ilvl w:val="0"/>
          <w:numId w:val="41"/>
        </w:numPr>
        <w:suppressAutoHyphens/>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982E3B" w:rsidRPr="001B34D0" w:rsidRDefault="00982E3B" w:rsidP="00A92D87">
      <w:pPr>
        <w:spacing w:after="0" w:line="240" w:lineRule="auto"/>
        <w:rPr>
          <w:rFonts w:eastAsia="Calibri" w:cs="Times New Roman"/>
        </w:rPr>
      </w:pPr>
      <w:r w:rsidRPr="001B34D0">
        <w:rPr>
          <w:rFonts w:eastAsia="Calibri" w:cs="Times New Roman"/>
          <w:noProof/>
          <w:lang w:val="es-ES" w:eastAsia="es-ES"/>
        </w:rPr>
        <w:drawing>
          <wp:inline distT="0" distB="0" distL="0" distR="0">
            <wp:extent cx="5549265" cy="2911475"/>
            <wp:effectExtent l="0" t="0" r="13335" b="3175"/>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82E3B" w:rsidRPr="001B34D0" w:rsidRDefault="00982E3B" w:rsidP="00A92D87">
      <w:pPr>
        <w:spacing w:after="0" w:line="240" w:lineRule="auto"/>
        <w:rPr>
          <w:rFonts w:eastAsia="Calibri" w:cs="Times New Roman"/>
        </w:rPr>
      </w:pPr>
      <w:r w:rsidRPr="001B34D0">
        <w:rPr>
          <w:rFonts w:eastAsia="Calibri" w:cs="Times New Roman"/>
        </w:rPr>
        <w:t>FUENTE: SIVIGILA</w:t>
      </w:r>
    </w:p>
    <w:p w:rsidR="00982E3B" w:rsidRPr="001B34D0" w:rsidRDefault="00982E3B" w:rsidP="00A92D87">
      <w:pPr>
        <w:spacing w:after="0" w:line="240" w:lineRule="auto"/>
        <w:rPr>
          <w:rFonts w:eastAsia="Calibri" w:cs="Times New Roman"/>
        </w:rPr>
      </w:pPr>
    </w:p>
    <w:p w:rsidR="00982E3B" w:rsidRPr="001B34D0" w:rsidRDefault="00982E3B" w:rsidP="00DF63E8">
      <w:pPr>
        <w:numPr>
          <w:ilvl w:val="0"/>
          <w:numId w:val="41"/>
        </w:numPr>
        <w:spacing w:after="0" w:line="240" w:lineRule="auto"/>
        <w:contextualSpacing/>
        <w:jc w:val="both"/>
        <w:rPr>
          <w:rFonts w:eastAsia="Times New Roman" w:cs="Times New Roman"/>
          <w:lang w:val="es-ES" w:eastAsia="ar-SA"/>
        </w:rPr>
      </w:pPr>
      <w:r w:rsidRPr="001B34D0">
        <w:rPr>
          <w:rFonts w:eastAsia="Times New Roman" w:cs="Times New Roman"/>
          <w:b/>
          <w:lang w:val="es-ES" w:eastAsia="ar-SA"/>
        </w:rPr>
        <w:t xml:space="preserve">Situación detectada: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 xml:space="preserve">Teniendo en cuenta que el municipio de Pasto no es una zona endémica para el evento, la probabilidad de que se presente es muy baja; sin embargo, no estamos exentos de que algún momento se presente una mortalidad por dengue importado de las zonas endémicas.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Por otra parte nuestras IPS de primer, segundo y tercer nivel de complejidad tienen capacidad resolutiva para atender los casos que se presenten.</w:t>
      </w: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DF63E8">
      <w:pPr>
        <w:numPr>
          <w:ilvl w:val="0"/>
          <w:numId w:val="41"/>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 xml:space="preserve">Insumos: </w:t>
      </w:r>
    </w:p>
    <w:p w:rsidR="00982E3B"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La Secretaria Municipal de Salud cuenta con un equipo de vigilancia en Salud Pública capacitado, con el fin de actuar en el momento en que se presenten casos.</w:t>
      </w:r>
    </w:p>
    <w:p w:rsidR="006E6C52" w:rsidRDefault="006E6C52" w:rsidP="00A92D87">
      <w:pPr>
        <w:suppressAutoHyphens/>
        <w:spacing w:after="0" w:line="240" w:lineRule="auto"/>
        <w:ind w:left="360"/>
        <w:contextualSpacing/>
        <w:jc w:val="both"/>
        <w:rPr>
          <w:rFonts w:eastAsia="Times New Roman" w:cs="Times New Roman"/>
          <w:lang w:val="es-ES" w:eastAsia="ar-SA"/>
        </w:rPr>
      </w:pPr>
    </w:p>
    <w:p w:rsidR="006E6C52" w:rsidRDefault="006E6C52" w:rsidP="00A92D87">
      <w:pPr>
        <w:suppressAutoHyphens/>
        <w:spacing w:after="0" w:line="240" w:lineRule="auto"/>
        <w:ind w:left="360"/>
        <w:contextualSpacing/>
        <w:jc w:val="both"/>
        <w:rPr>
          <w:rFonts w:eastAsia="Times New Roman" w:cs="Times New Roman"/>
          <w:lang w:val="es-ES" w:eastAsia="ar-SA"/>
        </w:rPr>
      </w:pPr>
    </w:p>
    <w:p w:rsidR="006E6C52" w:rsidRDefault="006E6C52" w:rsidP="00A92D87">
      <w:pPr>
        <w:suppressAutoHyphens/>
        <w:spacing w:after="0" w:line="240" w:lineRule="auto"/>
        <w:ind w:left="360"/>
        <w:contextualSpacing/>
        <w:jc w:val="both"/>
        <w:rPr>
          <w:rFonts w:eastAsia="Times New Roman" w:cs="Times New Roman"/>
          <w:lang w:val="es-ES" w:eastAsia="ar-SA"/>
        </w:rPr>
      </w:pPr>
    </w:p>
    <w:p w:rsidR="006E6C52" w:rsidRPr="001B34D0" w:rsidRDefault="006E6C52"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A92D87">
      <w:pPr>
        <w:spacing w:line="240" w:lineRule="auto"/>
        <w:jc w:val="both"/>
        <w:rPr>
          <w:rFonts w:eastAsia="Calibri" w:cs="Times New Roman"/>
        </w:rPr>
      </w:pPr>
    </w:p>
    <w:p w:rsidR="00982E3B" w:rsidRPr="001B34D0" w:rsidRDefault="00982E3B"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1B34D0">
        <w:rPr>
          <w:rFonts w:eastAsia="Calibri" w:cs="Times New Roman"/>
          <w:b/>
          <w:i/>
          <w:iCs/>
        </w:rPr>
        <w:lastRenderedPageBreak/>
        <w:t>DESCRIPCIÓN DEL INDICADOR No. 36</w:t>
      </w:r>
      <w:r w:rsidRPr="001B34D0">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233"/>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736"/>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Cinco primeras causas de morbilidad en niños y niñas</w:t>
            </w:r>
          </w:p>
          <w:p w:rsidR="00982E3B" w:rsidRPr="001B34D0" w:rsidRDefault="00982E3B" w:rsidP="00A92D87">
            <w:pPr>
              <w:spacing w:after="0" w:line="240" w:lineRule="auto"/>
              <w:rPr>
                <w:rFonts w:eastAsia="Calibri" w:cs="Times New Roman"/>
                <w:b/>
                <w:bCs/>
              </w:rPr>
            </w:pPr>
            <w:r w:rsidRPr="001B34D0">
              <w:rPr>
                <w:rFonts w:eastAsia="Calibri" w:cs="Times New Roman"/>
                <w:b/>
                <w:bCs/>
              </w:rPr>
              <w:t>(Diferenciar en las de consulta por urgencias y consultas regulares)</w:t>
            </w:r>
          </w:p>
        </w:tc>
      </w:tr>
      <w:tr w:rsidR="00982E3B" w:rsidRPr="001B34D0" w:rsidTr="00000F81">
        <w:trPr>
          <w:trHeight w:val="332"/>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Cubos, Ministerio de Salud y Protección Social</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458"/>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Temas relacionados con el indicador: </w:t>
            </w:r>
          </w:p>
        </w:tc>
      </w:tr>
    </w:tbl>
    <w:p w:rsidR="00982E3B" w:rsidRPr="001B34D0" w:rsidRDefault="00982E3B" w:rsidP="00A92D87">
      <w:pPr>
        <w:spacing w:after="200" w:line="240" w:lineRule="auto"/>
        <w:rPr>
          <w:rFonts w:eastAsia="Calibri" w:cs="Times New Roman"/>
        </w:rPr>
      </w:pPr>
    </w:p>
    <w:p w:rsidR="00982E3B" w:rsidRPr="001B34D0" w:rsidRDefault="00982E3B" w:rsidP="00DF63E8">
      <w:pPr>
        <w:numPr>
          <w:ilvl w:val="0"/>
          <w:numId w:val="41"/>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5"/>
        <w:gridCol w:w="4739"/>
      </w:tblGrid>
      <w:tr w:rsidR="00982E3B" w:rsidRPr="001B34D0" w:rsidTr="00000F81">
        <w:tc>
          <w:tcPr>
            <w:tcW w:w="4315" w:type="dxa"/>
            <w:shd w:val="clear" w:color="auto" w:fill="auto"/>
          </w:tcPr>
          <w:tbl>
            <w:tblPr>
              <w:tblW w:w="3714" w:type="dxa"/>
              <w:tblBorders>
                <w:top w:val="single" w:sz="8" w:space="0" w:color="4F81BD"/>
                <w:left w:val="single" w:sz="8" w:space="0" w:color="4F81BD"/>
                <w:bottom w:val="single" w:sz="8" w:space="0" w:color="4F81BD"/>
                <w:right w:val="single" w:sz="8" w:space="0" w:color="4F81BD"/>
              </w:tblBorders>
              <w:tblLook w:val="04A0"/>
            </w:tblPr>
            <w:tblGrid>
              <w:gridCol w:w="3085"/>
              <w:gridCol w:w="833"/>
            </w:tblGrid>
            <w:tr w:rsidR="00982E3B" w:rsidRPr="001B34D0" w:rsidTr="00000F81">
              <w:trPr>
                <w:trHeight w:val="777"/>
              </w:trPr>
              <w:tc>
                <w:tcPr>
                  <w:tcW w:w="3085" w:type="dxa"/>
                  <w:shd w:val="clear" w:color="auto" w:fill="4F81BD"/>
                  <w:noWrap/>
                  <w:hideMark/>
                </w:tcPr>
                <w:p w:rsidR="00982E3B" w:rsidRPr="001B34D0" w:rsidRDefault="00982E3B" w:rsidP="00A92D87">
                  <w:pPr>
                    <w:spacing w:after="0" w:line="240" w:lineRule="auto"/>
                    <w:rPr>
                      <w:rFonts w:eastAsia="Calibri" w:cs="Calibri"/>
                      <w:b/>
                      <w:bCs/>
                      <w:color w:val="FFFFFF"/>
                    </w:rPr>
                  </w:pPr>
                  <w:r w:rsidRPr="001B34D0">
                    <w:rPr>
                      <w:rFonts w:eastAsia="Calibri" w:cs="Calibri"/>
                      <w:b/>
                      <w:bCs/>
                      <w:color w:val="FFFFFF"/>
                    </w:rPr>
                    <w:t>Cinco primeras causas de morbilidad en niños y niñas menores de 5 años por consulta externa, 2011</w:t>
                  </w:r>
                </w:p>
              </w:tc>
              <w:tc>
                <w:tcPr>
                  <w:tcW w:w="629" w:type="dxa"/>
                  <w:shd w:val="clear" w:color="auto" w:fill="4F81BD"/>
                  <w:noWrap/>
                  <w:hideMark/>
                </w:tcPr>
                <w:p w:rsidR="00982E3B" w:rsidRPr="001B34D0" w:rsidRDefault="00982E3B" w:rsidP="00A92D87">
                  <w:pPr>
                    <w:spacing w:after="0" w:line="240" w:lineRule="auto"/>
                    <w:rPr>
                      <w:rFonts w:eastAsia="Times New Roman" w:cs="Calibri"/>
                      <w:b/>
                      <w:bCs/>
                      <w:color w:val="FFFFFF"/>
                      <w:lang w:eastAsia="es-CO"/>
                    </w:rPr>
                  </w:pPr>
                  <w:r w:rsidRPr="001B34D0">
                    <w:rPr>
                      <w:rFonts w:eastAsia="Times New Roman" w:cs="Calibri"/>
                      <w:b/>
                      <w:bCs/>
                      <w:color w:val="FFFFFF"/>
                      <w:lang w:eastAsia="es-CO"/>
                    </w:rPr>
                    <w:t>Total</w:t>
                  </w:r>
                </w:p>
              </w:tc>
            </w:tr>
            <w:tr w:rsidR="00982E3B" w:rsidRPr="001B34D0" w:rsidTr="00000F81">
              <w:trPr>
                <w:trHeight w:val="457"/>
              </w:trPr>
              <w:tc>
                <w:tcPr>
                  <w:tcW w:w="3085" w:type="dxa"/>
                  <w:tcBorders>
                    <w:top w:val="single" w:sz="8" w:space="0" w:color="4F81BD"/>
                    <w:left w:val="single" w:sz="8" w:space="0" w:color="4F81BD"/>
                    <w:bottom w:val="single" w:sz="8" w:space="0" w:color="4F81BD"/>
                  </w:tcBorders>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C10 - ENFERMEDADES DEL SISTEMA RESPIRATORIO</w:t>
                  </w:r>
                </w:p>
              </w:tc>
              <w:tc>
                <w:tcPr>
                  <w:tcW w:w="629"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11.808</w:t>
                  </w:r>
                </w:p>
              </w:tc>
            </w:tr>
            <w:tr w:rsidR="00982E3B" w:rsidRPr="001B34D0" w:rsidTr="00000F81">
              <w:trPr>
                <w:trHeight w:val="404"/>
              </w:trPr>
              <w:tc>
                <w:tcPr>
                  <w:tcW w:w="3085" w:type="dxa"/>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C01 - CIERTAS ENFERMEDADES INFECCIOSAS Y PARASITARIAS</w:t>
                  </w:r>
                </w:p>
              </w:tc>
              <w:tc>
                <w:tcPr>
                  <w:tcW w:w="629" w:type="dxa"/>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8.983</w:t>
                  </w:r>
                </w:p>
              </w:tc>
            </w:tr>
            <w:tr w:rsidR="00982E3B" w:rsidRPr="001B34D0" w:rsidTr="00000F81">
              <w:trPr>
                <w:trHeight w:val="554"/>
              </w:trPr>
              <w:tc>
                <w:tcPr>
                  <w:tcW w:w="3085" w:type="dxa"/>
                  <w:tcBorders>
                    <w:top w:val="single" w:sz="8" w:space="0" w:color="4F81BD"/>
                    <w:left w:val="single" w:sz="8" w:space="0" w:color="4F81BD"/>
                    <w:bottom w:val="single" w:sz="8" w:space="0" w:color="4F81BD"/>
                  </w:tcBorders>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C12 - ENFERMEDADES DE LA PIEL Y DEL TEJIDO SUBCUTANEO</w:t>
                  </w:r>
                </w:p>
              </w:tc>
              <w:tc>
                <w:tcPr>
                  <w:tcW w:w="629"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3.118</w:t>
                  </w:r>
                </w:p>
              </w:tc>
            </w:tr>
            <w:tr w:rsidR="00982E3B" w:rsidRPr="001B34D0" w:rsidTr="00000F81">
              <w:trPr>
                <w:trHeight w:val="787"/>
              </w:trPr>
              <w:tc>
                <w:tcPr>
                  <w:tcW w:w="3085" w:type="dxa"/>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C17 - MALFORMACIONES CONGENITAS, DEFORMIDADES Y ANOMALIAS CROSOMICAS</w:t>
                  </w:r>
                </w:p>
              </w:tc>
              <w:tc>
                <w:tcPr>
                  <w:tcW w:w="629" w:type="dxa"/>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3.020</w:t>
                  </w:r>
                </w:p>
              </w:tc>
            </w:tr>
            <w:tr w:rsidR="00982E3B" w:rsidRPr="001B34D0" w:rsidTr="00000F81">
              <w:trPr>
                <w:trHeight w:val="659"/>
              </w:trPr>
              <w:tc>
                <w:tcPr>
                  <w:tcW w:w="3085" w:type="dxa"/>
                  <w:tcBorders>
                    <w:top w:val="single" w:sz="8" w:space="0" w:color="4F81BD"/>
                    <w:left w:val="single" w:sz="8" w:space="0" w:color="4F81BD"/>
                    <w:bottom w:val="single" w:sz="8" w:space="0" w:color="4F81BD"/>
                  </w:tcBorders>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C11 - ENFERMEDADES DEL SISTEMA DIGESTIVO</w:t>
                  </w:r>
                </w:p>
              </w:tc>
              <w:tc>
                <w:tcPr>
                  <w:tcW w:w="629"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2.833</w:t>
                  </w:r>
                </w:p>
              </w:tc>
            </w:tr>
          </w:tbl>
          <w:p w:rsidR="00982E3B" w:rsidRPr="001B34D0" w:rsidRDefault="00982E3B" w:rsidP="00A92D87">
            <w:pPr>
              <w:spacing w:after="0" w:line="240" w:lineRule="auto"/>
              <w:rPr>
                <w:rFonts w:eastAsia="Calibri" w:cs="Times New Roman"/>
                <w:b/>
                <w:lang w:eastAsia="es-CO"/>
              </w:rPr>
            </w:pPr>
          </w:p>
        </w:tc>
        <w:tc>
          <w:tcPr>
            <w:tcW w:w="4739" w:type="dxa"/>
            <w:shd w:val="clear" w:color="auto" w:fill="auto"/>
          </w:tcPr>
          <w:tbl>
            <w:tblPr>
              <w:tblpPr w:leftFromText="141" w:rightFromText="141" w:vertAnchor="text" w:horzAnchor="margin" w:tblpY="-4341"/>
              <w:tblOverlap w:val="never"/>
              <w:tblW w:w="4503" w:type="dxa"/>
              <w:tblBorders>
                <w:top w:val="single" w:sz="8" w:space="0" w:color="4F81BD"/>
                <w:left w:val="single" w:sz="8" w:space="0" w:color="4F81BD"/>
                <w:bottom w:val="single" w:sz="8" w:space="0" w:color="4F81BD"/>
                <w:right w:val="single" w:sz="8" w:space="0" w:color="4F81BD"/>
              </w:tblBorders>
              <w:tblLook w:val="04A0"/>
            </w:tblPr>
            <w:tblGrid>
              <w:gridCol w:w="3544"/>
              <w:gridCol w:w="959"/>
            </w:tblGrid>
            <w:tr w:rsidR="00982E3B" w:rsidRPr="001B34D0" w:rsidTr="00000F81">
              <w:trPr>
                <w:trHeight w:val="435"/>
              </w:trPr>
              <w:tc>
                <w:tcPr>
                  <w:tcW w:w="3544" w:type="dxa"/>
                  <w:shd w:val="clear" w:color="auto" w:fill="4F81BD"/>
                  <w:noWrap/>
                  <w:hideMark/>
                </w:tcPr>
                <w:p w:rsidR="00982E3B" w:rsidRPr="001B34D0" w:rsidRDefault="00982E3B" w:rsidP="00A92D87">
                  <w:pPr>
                    <w:spacing w:after="0" w:line="240" w:lineRule="auto"/>
                    <w:rPr>
                      <w:rFonts w:eastAsia="Times New Roman" w:cs="Calibri"/>
                      <w:b/>
                      <w:bCs/>
                      <w:color w:val="FFFFFF"/>
                      <w:lang w:eastAsia="es-CO"/>
                    </w:rPr>
                  </w:pPr>
                  <w:r w:rsidRPr="001B34D0">
                    <w:rPr>
                      <w:rFonts w:eastAsia="Calibri" w:cs="Calibri"/>
                      <w:b/>
                      <w:bCs/>
                      <w:color w:val="FFFFFF"/>
                    </w:rPr>
                    <w:t>Cinco primeras causas de morbilidad en niños y niñas menores de 5 años por urgencias, 2011</w:t>
                  </w:r>
                </w:p>
              </w:tc>
              <w:tc>
                <w:tcPr>
                  <w:tcW w:w="959" w:type="dxa"/>
                  <w:shd w:val="clear" w:color="auto" w:fill="4F81BD"/>
                  <w:noWrap/>
                  <w:hideMark/>
                </w:tcPr>
                <w:p w:rsidR="00982E3B" w:rsidRPr="001B34D0" w:rsidRDefault="00982E3B" w:rsidP="00A92D87">
                  <w:pPr>
                    <w:spacing w:after="0" w:line="240" w:lineRule="auto"/>
                    <w:rPr>
                      <w:rFonts w:eastAsia="Times New Roman" w:cs="Calibri"/>
                      <w:b/>
                      <w:bCs/>
                      <w:color w:val="FFFFFF"/>
                      <w:lang w:eastAsia="es-CO"/>
                    </w:rPr>
                  </w:pPr>
                  <w:r w:rsidRPr="001B34D0">
                    <w:rPr>
                      <w:rFonts w:eastAsia="Times New Roman" w:cs="Calibri"/>
                      <w:b/>
                      <w:bCs/>
                      <w:color w:val="FFFFFF"/>
                      <w:lang w:eastAsia="es-CO"/>
                    </w:rPr>
                    <w:t>Total</w:t>
                  </w:r>
                </w:p>
              </w:tc>
            </w:tr>
            <w:tr w:rsidR="00982E3B" w:rsidRPr="001B34D0" w:rsidTr="00000F81">
              <w:trPr>
                <w:trHeight w:val="215"/>
              </w:trPr>
              <w:tc>
                <w:tcPr>
                  <w:tcW w:w="3544" w:type="dxa"/>
                  <w:tcBorders>
                    <w:top w:val="single" w:sz="8" w:space="0" w:color="4F81BD"/>
                    <w:left w:val="single" w:sz="8" w:space="0" w:color="4F81BD"/>
                    <w:bottom w:val="single" w:sz="8" w:space="0" w:color="4F81BD"/>
                  </w:tcBorders>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C10 - ENFERMEDADES DEL SISTEMA RESPIRATORIO</w:t>
                  </w:r>
                </w:p>
              </w:tc>
              <w:tc>
                <w:tcPr>
                  <w:tcW w:w="959"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3.018</w:t>
                  </w:r>
                </w:p>
              </w:tc>
            </w:tr>
            <w:tr w:rsidR="00982E3B" w:rsidRPr="001B34D0" w:rsidTr="00000F81">
              <w:trPr>
                <w:trHeight w:val="383"/>
              </w:trPr>
              <w:tc>
                <w:tcPr>
                  <w:tcW w:w="3544" w:type="dxa"/>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C01 - CIERTAS ENFERMEDADES INFECCIOSAS Y PARASITARIAS</w:t>
                  </w:r>
                </w:p>
              </w:tc>
              <w:tc>
                <w:tcPr>
                  <w:tcW w:w="959" w:type="dxa"/>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2.643</w:t>
                  </w:r>
                </w:p>
              </w:tc>
            </w:tr>
            <w:tr w:rsidR="00982E3B" w:rsidRPr="001B34D0" w:rsidTr="00000F81">
              <w:trPr>
                <w:trHeight w:val="915"/>
              </w:trPr>
              <w:tc>
                <w:tcPr>
                  <w:tcW w:w="3544" w:type="dxa"/>
                  <w:tcBorders>
                    <w:top w:val="single" w:sz="8" w:space="0" w:color="4F81BD"/>
                    <w:left w:val="single" w:sz="8" w:space="0" w:color="4F81BD"/>
                    <w:bottom w:val="single" w:sz="8" w:space="0" w:color="4F81BD"/>
                  </w:tcBorders>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C18 - SINTOMAS, SIGNOS Y HALLAZGOS ANORMALES CLINICOS Y DE LABORATORIO, NO CLASIFICADOS EN OTRA PARTE</w:t>
                  </w:r>
                </w:p>
              </w:tc>
              <w:tc>
                <w:tcPr>
                  <w:tcW w:w="959"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1.837</w:t>
                  </w:r>
                </w:p>
              </w:tc>
            </w:tr>
            <w:tr w:rsidR="00982E3B" w:rsidRPr="001B34D0" w:rsidTr="00000F81">
              <w:trPr>
                <w:trHeight w:val="430"/>
              </w:trPr>
              <w:tc>
                <w:tcPr>
                  <w:tcW w:w="3544" w:type="dxa"/>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C08 - ENFERMEDADES DEL OIDO Y DE LA APOFISIS MASTOIDES</w:t>
                  </w:r>
                </w:p>
              </w:tc>
              <w:tc>
                <w:tcPr>
                  <w:tcW w:w="959" w:type="dxa"/>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585</w:t>
                  </w:r>
                </w:p>
              </w:tc>
            </w:tr>
            <w:tr w:rsidR="00982E3B" w:rsidRPr="001B34D0" w:rsidTr="00000F81">
              <w:trPr>
                <w:trHeight w:val="600"/>
              </w:trPr>
              <w:tc>
                <w:tcPr>
                  <w:tcW w:w="3544" w:type="dxa"/>
                  <w:tcBorders>
                    <w:top w:val="single" w:sz="8" w:space="0" w:color="4F81BD"/>
                    <w:left w:val="single" w:sz="8" w:space="0" w:color="4F81BD"/>
                    <w:bottom w:val="single" w:sz="8" w:space="0" w:color="4F81BD"/>
                  </w:tcBorders>
                  <w:shd w:val="clear" w:color="auto" w:fill="auto"/>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C19 - TRAUMATISMOS, ENVENENAMIENTOS Y ALGUNAS OTRAS CONSECUENCIAS DE CAUSA EXTERNAS</w:t>
                  </w:r>
                </w:p>
              </w:tc>
              <w:tc>
                <w:tcPr>
                  <w:tcW w:w="959"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580</w:t>
                  </w:r>
                </w:p>
              </w:tc>
            </w:tr>
          </w:tbl>
          <w:p w:rsidR="00982E3B" w:rsidRPr="001B34D0" w:rsidRDefault="00982E3B" w:rsidP="00A92D87">
            <w:pPr>
              <w:spacing w:after="0" w:line="240" w:lineRule="auto"/>
              <w:rPr>
                <w:rFonts w:eastAsia="Calibri" w:cs="Times New Roman"/>
                <w:b/>
                <w:lang w:eastAsia="es-CO"/>
              </w:rPr>
            </w:pPr>
          </w:p>
        </w:tc>
      </w:tr>
    </w:tbl>
    <w:p w:rsidR="00982E3B" w:rsidRPr="001B34D0" w:rsidRDefault="00982E3B" w:rsidP="00A92D87">
      <w:pPr>
        <w:spacing w:after="200" w:line="240" w:lineRule="auto"/>
        <w:rPr>
          <w:rFonts w:eastAsia="Calibri" w:cs="Times New Roman"/>
          <w:i/>
        </w:rPr>
      </w:pPr>
      <w:r w:rsidRPr="001B34D0">
        <w:rPr>
          <w:rFonts w:eastAsia="Calibri" w:cs="Times New Roman"/>
          <w:i/>
        </w:rPr>
        <w:t>FUENTE: CUBOS, MINISTERIO DE SALUD Y PROTECCIÓN SOCIAL</w:t>
      </w:r>
    </w:p>
    <w:p w:rsidR="002616FA" w:rsidRDefault="002616FA">
      <w:pPr>
        <w:rPr>
          <w:rFonts w:eastAsia="Calibri" w:cs="Calibri"/>
          <w:b/>
          <w:bCs/>
          <w:color w:val="FFFFFF"/>
        </w:rPr>
      </w:pPr>
      <w:r>
        <w:rPr>
          <w:rFonts w:eastAsia="Calibri" w:cs="Calibri"/>
          <w:b/>
          <w:bCs/>
          <w:color w:val="FFFFFF"/>
        </w:rPr>
        <w:br w:type="page"/>
      </w:r>
    </w:p>
    <w:p w:rsidR="006E6C52" w:rsidRDefault="006E6C52" w:rsidP="00A92D87">
      <w:pPr>
        <w:spacing w:after="200" w:line="240" w:lineRule="auto"/>
        <w:rPr>
          <w:rFonts w:eastAsia="Calibri" w:cs="Calibri"/>
          <w:b/>
          <w:bCs/>
          <w:color w:val="FFFFFF"/>
        </w:rPr>
      </w:pPr>
    </w:p>
    <w:p w:rsidR="006E6C52" w:rsidRPr="001B34D0" w:rsidRDefault="006E6C52" w:rsidP="00A92D87">
      <w:pPr>
        <w:spacing w:after="200" w:line="240" w:lineRule="auto"/>
        <w:rPr>
          <w:rFonts w:eastAsia="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982E3B" w:rsidRPr="001B34D0" w:rsidTr="00000F81">
        <w:tc>
          <w:tcPr>
            <w:tcW w:w="4489" w:type="dxa"/>
            <w:shd w:val="clear" w:color="auto" w:fill="auto"/>
          </w:tcPr>
          <w:tbl>
            <w:tblPr>
              <w:tblW w:w="3559" w:type="dxa"/>
              <w:tblBorders>
                <w:top w:val="single" w:sz="8" w:space="0" w:color="4F81BD"/>
                <w:left w:val="single" w:sz="8" w:space="0" w:color="4F81BD"/>
                <w:bottom w:val="single" w:sz="8" w:space="0" w:color="4F81BD"/>
                <w:right w:val="single" w:sz="8" w:space="0" w:color="4F81BD"/>
              </w:tblBorders>
              <w:tblLook w:val="04A0"/>
            </w:tblPr>
            <w:tblGrid>
              <w:gridCol w:w="2850"/>
              <w:gridCol w:w="833"/>
            </w:tblGrid>
            <w:tr w:rsidR="00982E3B" w:rsidRPr="001B34D0" w:rsidTr="00000F81">
              <w:trPr>
                <w:trHeight w:val="300"/>
              </w:trPr>
              <w:tc>
                <w:tcPr>
                  <w:tcW w:w="2850" w:type="dxa"/>
                  <w:shd w:val="clear" w:color="auto" w:fill="4F81BD"/>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Calibri" w:cs="Calibri"/>
                      <w:b/>
                      <w:bCs/>
                      <w:color w:val="FFFFFF"/>
                    </w:rPr>
                    <w:t>Cinco primeras causas de morbilidad en niños y niñas menores de 5 años por consulta externa, 2013</w:t>
                  </w:r>
                </w:p>
              </w:tc>
              <w:tc>
                <w:tcPr>
                  <w:tcW w:w="709" w:type="dxa"/>
                  <w:shd w:val="clear" w:color="auto" w:fill="4F81BD"/>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FFFFFF"/>
                      <w:lang w:eastAsia="es-CO"/>
                    </w:rPr>
                    <w:t>Total</w:t>
                  </w:r>
                </w:p>
              </w:tc>
            </w:tr>
            <w:tr w:rsidR="00982E3B" w:rsidRPr="001B34D0" w:rsidTr="00000F81">
              <w:trPr>
                <w:trHeight w:val="300"/>
              </w:trPr>
              <w:tc>
                <w:tcPr>
                  <w:tcW w:w="2850"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C10 - ENFERMEDADES DEL SISTEMA RESPIRATORIO</w:t>
                  </w:r>
                </w:p>
              </w:tc>
              <w:tc>
                <w:tcPr>
                  <w:tcW w:w="709"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10.784</w:t>
                  </w:r>
                </w:p>
              </w:tc>
            </w:tr>
            <w:tr w:rsidR="00982E3B" w:rsidRPr="001B34D0" w:rsidTr="00000F81">
              <w:trPr>
                <w:trHeight w:val="300"/>
              </w:trPr>
              <w:tc>
                <w:tcPr>
                  <w:tcW w:w="2850" w:type="dxa"/>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C01 - CIERTAS ENFERMEDADES INFECCIOSAS Y PARASITARIAS</w:t>
                  </w:r>
                </w:p>
              </w:tc>
              <w:tc>
                <w:tcPr>
                  <w:tcW w:w="709" w:type="dxa"/>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8.960</w:t>
                  </w:r>
                </w:p>
              </w:tc>
            </w:tr>
            <w:tr w:rsidR="00982E3B" w:rsidRPr="001B34D0" w:rsidTr="00000F81">
              <w:trPr>
                <w:trHeight w:val="300"/>
              </w:trPr>
              <w:tc>
                <w:tcPr>
                  <w:tcW w:w="2850"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C11 - ENFERMEDADES DEL SISTEMA DIGESTIVO</w:t>
                  </w:r>
                </w:p>
              </w:tc>
              <w:tc>
                <w:tcPr>
                  <w:tcW w:w="709"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7.729</w:t>
                  </w:r>
                </w:p>
              </w:tc>
            </w:tr>
            <w:tr w:rsidR="00982E3B" w:rsidRPr="001B34D0" w:rsidTr="00000F81">
              <w:trPr>
                <w:trHeight w:val="300"/>
              </w:trPr>
              <w:tc>
                <w:tcPr>
                  <w:tcW w:w="2850" w:type="dxa"/>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C04 - ENFERMEDADES ENDOCRINAS, NUTRICIONALES Y METABOLICAS</w:t>
                  </w:r>
                </w:p>
              </w:tc>
              <w:tc>
                <w:tcPr>
                  <w:tcW w:w="709" w:type="dxa"/>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4.444</w:t>
                  </w:r>
                </w:p>
              </w:tc>
            </w:tr>
            <w:tr w:rsidR="00982E3B" w:rsidRPr="001B34D0" w:rsidTr="00000F81">
              <w:trPr>
                <w:trHeight w:val="300"/>
              </w:trPr>
              <w:tc>
                <w:tcPr>
                  <w:tcW w:w="2850"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C17 - MALFORMACIONES CONGENITAS, DEFORMIDADES Y ANOMALIAS CROSOMICAS</w:t>
                  </w:r>
                </w:p>
              </w:tc>
              <w:tc>
                <w:tcPr>
                  <w:tcW w:w="709"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3.713</w:t>
                  </w:r>
                </w:p>
              </w:tc>
            </w:tr>
          </w:tbl>
          <w:p w:rsidR="00982E3B" w:rsidRPr="001B34D0" w:rsidRDefault="00982E3B" w:rsidP="00A92D87">
            <w:pPr>
              <w:spacing w:after="0" w:line="240" w:lineRule="auto"/>
              <w:rPr>
                <w:rFonts w:eastAsia="Calibri" w:cs="Times New Roman"/>
                <w:b/>
                <w:lang w:eastAsia="es-CO"/>
              </w:rPr>
            </w:pPr>
          </w:p>
        </w:tc>
        <w:tc>
          <w:tcPr>
            <w:tcW w:w="4489" w:type="dxa"/>
            <w:shd w:val="clear" w:color="auto" w:fill="auto"/>
          </w:tcPr>
          <w:tbl>
            <w:tblPr>
              <w:tblpPr w:leftFromText="141" w:rightFromText="141" w:vertAnchor="text" w:horzAnchor="margin" w:tblpY="-207"/>
              <w:tblOverlap w:val="never"/>
              <w:tblW w:w="3932" w:type="dxa"/>
              <w:tblBorders>
                <w:top w:val="single" w:sz="8" w:space="0" w:color="4F81BD"/>
                <w:left w:val="single" w:sz="8" w:space="0" w:color="4F81BD"/>
                <w:bottom w:val="single" w:sz="8" w:space="0" w:color="4F81BD"/>
                <w:right w:val="single" w:sz="8" w:space="0" w:color="4F81BD"/>
              </w:tblBorders>
              <w:tblLook w:val="04A0"/>
            </w:tblPr>
            <w:tblGrid>
              <w:gridCol w:w="3201"/>
              <w:gridCol w:w="731"/>
            </w:tblGrid>
            <w:tr w:rsidR="00982E3B" w:rsidRPr="001B34D0" w:rsidTr="00000F81">
              <w:trPr>
                <w:trHeight w:val="300"/>
              </w:trPr>
              <w:tc>
                <w:tcPr>
                  <w:tcW w:w="3201" w:type="dxa"/>
                  <w:shd w:val="clear" w:color="auto" w:fill="4F81BD"/>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Calibri" w:cs="Calibri"/>
                      <w:b/>
                      <w:bCs/>
                      <w:color w:val="FFFFFF"/>
                    </w:rPr>
                    <w:t>Cinco primeras causas de morbilidad en niños y niñas menores de 5 años por urgencias, 2013</w:t>
                  </w:r>
                </w:p>
              </w:tc>
              <w:tc>
                <w:tcPr>
                  <w:tcW w:w="731" w:type="dxa"/>
                  <w:shd w:val="clear" w:color="auto" w:fill="4F81BD"/>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FFFFFF"/>
                      <w:lang w:eastAsia="es-CO"/>
                    </w:rPr>
                    <w:t>Total</w:t>
                  </w:r>
                </w:p>
              </w:tc>
            </w:tr>
            <w:tr w:rsidR="00982E3B" w:rsidRPr="001B34D0" w:rsidTr="00000F81">
              <w:trPr>
                <w:trHeight w:val="300"/>
              </w:trPr>
              <w:tc>
                <w:tcPr>
                  <w:tcW w:w="3201"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C10 - ENFERMEDADES DEL SISTEMA RESPIRATORIO</w:t>
                  </w:r>
                </w:p>
              </w:tc>
              <w:tc>
                <w:tcPr>
                  <w:tcW w:w="731"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2.365</w:t>
                  </w:r>
                </w:p>
              </w:tc>
            </w:tr>
            <w:tr w:rsidR="00982E3B" w:rsidRPr="001B34D0" w:rsidTr="00000F81">
              <w:trPr>
                <w:trHeight w:val="300"/>
              </w:trPr>
              <w:tc>
                <w:tcPr>
                  <w:tcW w:w="3201" w:type="dxa"/>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C01 - CIERTAS ENFERMEDADES INFECCIOSAS Y PARASITARIAS</w:t>
                  </w:r>
                </w:p>
              </w:tc>
              <w:tc>
                <w:tcPr>
                  <w:tcW w:w="731" w:type="dxa"/>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1.446</w:t>
                  </w:r>
                </w:p>
              </w:tc>
            </w:tr>
            <w:tr w:rsidR="00982E3B" w:rsidRPr="001B34D0" w:rsidTr="00000F81">
              <w:trPr>
                <w:trHeight w:val="300"/>
              </w:trPr>
              <w:tc>
                <w:tcPr>
                  <w:tcW w:w="3201"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C19 - TRAUMATISMOS, ENVENENAMIENTOS Y ALGUNAS OTRAS CONSECUENCIAS DE CAUSA EXTERNAS</w:t>
                  </w:r>
                </w:p>
              </w:tc>
              <w:tc>
                <w:tcPr>
                  <w:tcW w:w="731"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490</w:t>
                  </w:r>
                </w:p>
              </w:tc>
            </w:tr>
            <w:tr w:rsidR="00982E3B" w:rsidRPr="001B34D0" w:rsidTr="00000F81">
              <w:trPr>
                <w:trHeight w:val="300"/>
              </w:trPr>
              <w:tc>
                <w:tcPr>
                  <w:tcW w:w="3201" w:type="dxa"/>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C08 - ENFERMEDADES DEL OIDO Y DE LA APOFISIS MASTOIDES</w:t>
                  </w:r>
                </w:p>
              </w:tc>
              <w:tc>
                <w:tcPr>
                  <w:tcW w:w="731" w:type="dxa"/>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377</w:t>
                  </w:r>
                </w:p>
              </w:tc>
            </w:tr>
            <w:tr w:rsidR="00982E3B" w:rsidRPr="001B34D0" w:rsidTr="00000F81">
              <w:trPr>
                <w:trHeight w:val="300"/>
              </w:trPr>
              <w:tc>
                <w:tcPr>
                  <w:tcW w:w="3201"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C12 - ENFERMEDADES DE LA PIEL Y DEL TEJIDO SUBCUTANEO</w:t>
                  </w:r>
                </w:p>
              </w:tc>
              <w:tc>
                <w:tcPr>
                  <w:tcW w:w="731"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269</w:t>
                  </w:r>
                </w:p>
              </w:tc>
            </w:tr>
          </w:tbl>
          <w:p w:rsidR="00982E3B" w:rsidRPr="001B34D0" w:rsidRDefault="00982E3B" w:rsidP="00A92D87">
            <w:pPr>
              <w:spacing w:after="0" w:line="240" w:lineRule="auto"/>
              <w:rPr>
                <w:rFonts w:eastAsia="Calibri" w:cs="Times New Roman"/>
                <w:b/>
                <w:lang w:eastAsia="es-CO"/>
              </w:rPr>
            </w:pPr>
          </w:p>
        </w:tc>
      </w:tr>
    </w:tbl>
    <w:p w:rsidR="00982E3B" w:rsidRPr="001B34D0" w:rsidRDefault="00982E3B" w:rsidP="00A92D87">
      <w:pPr>
        <w:spacing w:after="200" w:line="240" w:lineRule="auto"/>
        <w:rPr>
          <w:rFonts w:eastAsia="Calibri" w:cs="Times New Roman"/>
          <w:i/>
        </w:rPr>
      </w:pPr>
      <w:r w:rsidRPr="001B34D0">
        <w:rPr>
          <w:rFonts w:eastAsia="Calibri" w:cs="Times New Roman"/>
          <w:i/>
        </w:rPr>
        <w:t>FUENTE: CUBOS, MINISTERIO DE SALUD Y PROTECCIÓN SOCIAL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982E3B" w:rsidRPr="001B34D0" w:rsidTr="00000F81">
        <w:tc>
          <w:tcPr>
            <w:tcW w:w="4489" w:type="dxa"/>
            <w:shd w:val="clear" w:color="auto" w:fill="auto"/>
          </w:tcPr>
          <w:tbl>
            <w:tblPr>
              <w:tblpPr w:leftFromText="141" w:rightFromText="141" w:vertAnchor="text" w:horzAnchor="margin" w:tblpY="35"/>
              <w:tblOverlap w:val="never"/>
              <w:tblW w:w="3897" w:type="dxa"/>
              <w:tblBorders>
                <w:top w:val="single" w:sz="8" w:space="0" w:color="4F81BD"/>
                <w:left w:val="single" w:sz="8" w:space="0" w:color="4F81BD"/>
                <w:bottom w:val="single" w:sz="8" w:space="0" w:color="4F81BD"/>
                <w:right w:val="single" w:sz="8" w:space="0" w:color="4F81BD"/>
              </w:tblBorders>
              <w:tblLook w:val="04A0"/>
            </w:tblPr>
            <w:tblGrid>
              <w:gridCol w:w="3227"/>
              <w:gridCol w:w="721"/>
            </w:tblGrid>
            <w:tr w:rsidR="00982E3B" w:rsidRPr="001B34D0" w:rsidTr="00000F81">
              <w:trPr>
                <w:trHeight w:val="300"/>
              </w:trPr>
              <w:tc>
                <w:tcPr>
                  <w:tcW w:w="3227" w:type="dxa"/>
                  <w:shd w:val="clear" w:color="auto" w:fill="4F81BD"/>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Calibri" w:cs="Calibri"/>
                      <w:b/>
                      <w:bCs/>
                      <w:color w:val="FFFFFF"/>
                    </w:rPr>
                    <w:t>Cinco primeras causas de morbilidad en niños y niñas menores de 5 años por consulta externa, 2014 (preliminar)</w:t>
                  </w:r>
                </w:p>
              </w:tc>
              <w:tc>
                <w:tcPr>
                  <w:tcW w:w="670" w:type="dxa"/>
                  <w:shd w:val="clear" w:color="auto" w:fill="4F81BD"/>
                  <w:noWrap/>
                  <w:hideMark/>
                </w:tcPr>
                <w:p w:rsidR="00982E3B" w:rsidRPr="001B34D0" w:rsidRDefault="00982E3B" w:rsidP="00A92D87">
                  <w:pPr>
                    <w:spacing w:after="0" w:line="240" w:lineRule="auto"/>
                    <w:jc w:val="center"/>
                    <w:rPr>
                      <w:rFonts w:eastAsia="Times New Roman" w:cs="Calibri"/>
                      <w:b/>
                      <w:bCs/>
                      <w:color w:val="000000"/>
                      <w:lang w:eastAsia="es-CO"/>
                    </w:rPr>
                  </w:pPr>
                  <w:r w:rsidRPr="001B34D0">
                    <w:rPr>
                      <w:rFonts w:eastAsia="Times New Roman" w:cs="Calibri"/>
                      <w:b/>
                      <w:bCs/>
                      <w:color w:val="FFFFFF"/>
                      <w:lang w:eastAsia="es-CO"/>
                    </w:rPr>
                    <w:t>Total</w:t>
                  </w:r>
                </w:p>
              </w:tc>
            </w:tr>
            <w:tr w:rsidR="00982E3B" w:rsidRPr="001B34D0" w:rsidTr="00000F81">
              <w:trPr>
                <w:trHeight w:val="300"/>
              </w:trPr>
              <w:tc>
                <w:tcPr>
                  <w:tcW w:w="3227"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C10 - ENFERMEDADES DEL SISTEMA RESPIRATORIO</w:t>
                  </w:r>
                </w:p>
              </w:tc>
              <w:tc>
                <w:tcPr>
                  <w:tcW w:w="670"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7.639</w:t>
                  </w:r>
                </w:p>
              </w:tc>
            </w:tr>
            <w:tr w:rsidR="00982E3B" w:rsidRPr="001B34D0" w:rsidTr="00000F81">
              <w:trPr>
                <w:trHeight w:val="300"/>
              </w:trPr>
              <w:tc>
                <w:tcPr>
                  <w:tcW w:w="3227" w:type="dxa"/>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C01 - CIERTAS ENFERMEDADES INFECCIOSAS Y PARASITARIAS</w:t>
                  </w:r>
                </w:p>
              </w:tc>
              <w:tc>
                <w:tcPr>
                  <w:tcW w:w="670" w:type="dxa"/>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6.485</w:t>
                  </w:r>
                </w:p>
              </w:tc>
            </w:tr>
            <w:tr w:rsidR="00982E3B" w:rsidRPr="001B34D0" w:rsidTr="00000F81">
              <w:trPr>
                <w:trHeight w:val="300"/>
              </w:trPr>
              <w:tc>
                <w:tcPr>
                  <w:tcW w:w="3227"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C11 - ENFERMEDADES DEL SISTEMA DIGESTIVO</w:t>
                  </w:r>
                </w:p>
              </w:tc>
              <w:tc>
                <w:tcPr>
                  <w:tcW w:w="670"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4.972</w:t>
                  </w:r>
                </w:p>
              </w:tc>
            </w:tr>
            <w:tr w:rsidR="00982E3B" w:rsidRPr="001B34D0" w:rsidTr="00000F81">
              <w:trPr>
                <w:trHeight w:val="300"/>
              </w:trPr>
              <w:tc>
                <w:tcPr>
                  <w:tcW w:w="3227" w:type="dxa"/>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C04 - ENFERMEDADES ENDOCRINAS, NUTRICIONALES Y METABOLICAS</w:t>
                  </w:r>
                </w:p>
              </w:tc>
              <w:tc>
                <w:tcPr>
                  <w:tcW w:w="670" w:type="dxa"/>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2.804</w:t>
                  </w:r>
                </w:p>
              </w:tc>
            </w:tr>
            <w:tr w:rsidR="00982E3B" w:rsidRPr="001B34D0" w:rsidTr="00000F81">
              <w:trPr>
                <w:trHeight w:val="300"/>
              </w:trPr>
              <w:tc>
                <w:tcPr>
                  <w:tcW w:w="3227"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C17 - MALFORMACIONES CONGENITAS, DEFORMIDADES Y ANOMALIAS CROSOMICAS</w:t>
                  </w:r>
                </w:p>
              </w:tc>
              <w:tc>
                <w:tcPr>
                  <w:tcW w:w="670"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right"/>
                    <w:rPr>
                      <w:rFonts w:eastAsia="Times New Roman" w:cs="Calibri"/>
                      <w:b/>
                      <w:color w:val="000000"/>
                      <w:lang w:eastAsia="es-CO"/>
                    </w:rPr>
                  </w:pPr>
                  <w:r w:rsidRPr="001B34D0">
                    <w:rPr>
                      <w:rFonts w:eastAsia="Times New Roman" w:cs="Calibri"/>
                      <w:b/>
                      <w:color w:val="000000"/>
                      <w:lang w:eastAsia="es-CO"/>
                    </w:rPr>
                    <w:t>2.563</w:t>
                  </w:r>
                </w:p>
              </w:tc>
            </w:tr>
          </w:tbl>
          <w:p w:rsidR="00982E3B" w:rsidRPr="001B34D0" w:rsidRDefault="00982E3B" w:rsidP="00A92D87">
            <w:pPr>
              <w:spacing w:after="0" w:line="240" w:lineRule="auto"/>
              <w:rPr>
                <w:rFonts w:eastAsia="Calibri" w:cs="Times New Roman"/>
                <w:b/>
                <w:lang w:eastAsia="es-CO"/>
              </w:rPr>
            </w:pPr>
          </w:p>
        </w:tc>
        <w:tc>
          <w:tcPr>
            <w:tcW w:w="4489" w:type="dxa"/>
            <w:shd w:val="clear" w:color="auto" w:fill="auto"/>
          </w:tcPr>
          <w:tbl>
            <w:tblPr>
              <w:tblpPr w:leftFromText="141" w:rightFromText="141" w:vertAnchor="page" w:horzAnchor="margin" w:tblpY="1"/>
              <w:tblOverlap w:val="never"/>
              <w:tblW w:w="4181" w:type="dxa"/>
              <w:tblBorders>
                <w:top w:val="single" w:sz="8" w:space="0" w:color="4F81BD"/>
                <w:left w:val="single" w:sz="8" w:space="0" w:color="4F81BD"/>
                <w:bottom w:val="single" w:sz="8" w:space="0" w:color="4F81BD"/>
                <w:right w:val="single" w:sz="8" w:space="0" w:color="4F81BD"/>
              </w:tblBorders>
              <w:tblLook w:val="04A0"/>
            </w:tblPr>
            <w:tblGrid>
              <w:gridCol w:w="3331"/>
              <w:gridCol w:w="850"/>
            </w:tblGrid>
            <w:tr w:rsidR="00982E3B" w:rsidRPr="001B34D0" w:rsidTr="00000F81">
              <w:trPr>
                <w:trHeight w:val="300"/>
              </w:trPr>
              <w:tc>
                <w:tcPr>
                  <w:tcW w:w="3331" w:type="dxa"/>
                  <w:shd w:val="clear" w:color="auto" w:fill="4F81BD"/>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Calibri" w:cs="Calibri"/>
                      <w:b/>
                      <w:bCs/>
                      <w:color w:val="FFFFFF"/>
                    </w:rPr>
                    <w:t>Cinco primeras causas de morbilidad en niños y niñas menores de 5 años por urgencias, 2014 (preliminar)</w:t>
                  </w:r>
                </w:p>
              </w:tc>
              <w:tc>
                <w:tcPr>
                  <w:tcW w:w="850" w:type="dxa"/>
                  <w:shd w:val="clear" w:color="auto" w:fill="4F81BD"/>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FFFFFF"/>
                      <w:lang w:eastAsia="es-CO"/>
                    </w:rPr>
                    <w:t>Total</w:t>
                  </w:r>
                </w:p>
              </w:tc>
            </w:tr>
            <w:tr w:rsidR="00982E3B" w:rsidRPr="001B34D0" w:rsidTr="00000F81">
              <w:trPr>
                <w:trHeight w:val="300"/>
              </w:trPr>
              <w:tc>
                <w:tcPr>
                  <w:tcW w:w="3331"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C10 - ENFERMEDADES DEL SISTEMA RESPIRATORIO</w:t>
                  </w:r>
                </w:p>
              </w:tc>
              <w:tc>
                <w:tcPr>
                  <w:tcW w:w="850"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781</w:t>
                  </w:r>
                </w:p>
              </w:tc>
            </w:tr>
            <w:tr w:rsidR="00982E3B" w:rsidRPr="001B34D0" w:rsidTr="00000F81">
              <w:trPr>
                <w:trHeight w:val="300"/>
              </w:trPr>
              <w:tc>
                <w:tcPr>
                  <w:tcW w:w="3331" w:type="dxa"/>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C01 - CIERTAS ENFERMEDADES INFECCIOSAS Y PARASITARIAS</w:t>
                  </w:r>
                </w:p>
              </w:tc>
              <w:tc>
                <w:tcPr>
                  <w:tcW w:w="850" w:type="dxa"/>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498</w:t>
                  </w:r>
                </w:p>
              </w:tc>
            </w:tr>
            <w:tr w:rsidR="00982E3B" w:rsidRPr="001B34D0" w:rsidTr="00000F81">
              <w:trPr>
                <w:trHeight w:val="300"/>
              </w:trPr>
              <w:tc>
                <w:tcPr>
                  <w:tcW w:w="3331"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C19 - TRAUMATISMOS, ENVENENAMIENTOS Y ALGUNAS OTRAS CONSECUENCIAS DE CAUSA EXTERNAS</w:t>
                  </w:r>
                </w:p>
              </w:tc>
              <w:tc>
                <w:tcPr>
                  <w:tcW w:w="850"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212</w:t>
                  </w:r>
                </w:p>
              </w:tc>
            </w:tr>
            <w:tr w:rsidR="00982E3B" w:rsidRPr="001B34D0" w:rsidTr="00000F81">
              <w:trPr>
                <w:trHeight w:val="300"/>
              </w:trPr>
              <w:tc>
                <w:tcPr>
                  <w:tcW w:w="3331" w:type="dxa"/>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C08 - ENFERMEDADES DEL OIDO Y DE LA APOFISIS MASTOIDES</w:t>
                  </w:r>
                </w:p>
              </w:tc>
              <w:tc>
                <w:tcPr>
                  <w:tcW w:w="850" w:type="dxa"/>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120</w:t>
                  </w:r>
                </w:p>
              </w:tc>
            </w:tr>
            <w:tr w:rsidR="00982E3B" w:rsidRPr="001B34D0" w:rsidTr="00000F81">
              <w:trPr>
                <w:trHeight w:val="468"/>
              </w:trPr>
              <w:tc>
                <w:tcPr>
                  <w:tcW w:w="3331" w:type="dxa"/>
                  <w:tcBorders>
                    <w:top w:val="single" w:sz="8" w:space="0" w:color="4F81BD"/>
                    <w:left w:val="single" w:sz="8" w:space="0" w:color="4F81BD"/>
                    <w:bottom w:val="single" w:sz="8" w:space="0" w:color="4F81BD"/>
                  </w:tcBorders>
                  <w:shd w:val="clear" w:color="auto" w:fill="auto"/>
                  <w:noWrap/>
                  <w:hideMark/>
                </w:tcPr>
                <w:p w:rsidR="00982E3B" w:rsidRPr="001B34D0" w:rsidRDefault="00982E3B" w:rsidP="00A92D87">
                  <w:pPr>
                    <w:spacing w:after="0" w:line="240" w:lineRule="auto"/>
                    <w:rPr>
                      <w:rFonts w:eastAsia="Times New Roman" w:cs="Calibri"/>
                      <w:b/>
                      <w:bCs/>
                      <w:color w:val="000000"/>
                      <w:lang w:eastAsia="es-CO"/>
                    </w:rPr>
                  </w:pPr>
                  <w:r w:rsidRPr="001B34D0">
                    <w:rPr>
                      <w:rFonts w:eastAsia="Times New Roman" w:cs="Calibri"/>
                      <w:b/>
                      <w:bCs/>
                      <w:color w:val="000000"/>
                      <w:lang w:eastAsia="es-CO"/>
                    </w:rPr>
                    <w:t>C11 - ENFERMEDADES DEL SISTEMA DIGESTIVO</w:t>
                  </w:r>
                </w:p>
              </w:tc>
              <w:tc>
                <w:tcPr>
                  <w:tcW w:w="850" w:type="dxa"/>
                  <w:tcBorders>
                    <w:top w:val="single" w:sz="8" w:space="0" w:color="4F81BD"/>
                    <w:bottom w:val="single" w:sz="8" w:space="0" w:color="4F81BD"/>
                    <w:right w:val="single" w:sz="8" w:space="0" w:color="4F81BD"/>
                  </w:tcBorders>
                  <w:shd w:val="clear" w:color="auto" w:fill="auto"/>
                  <w:noWrap/>
                  <w:hideMark/>
                </w:tcPr>
                <w:p w:rsidR="00982E3B" w:rsidRPr="001B34D0" w:rsidRDefault="00982E3B" w:rsidP="00A92D87">
                  <w:pPr>
                    <w:spacing w:after="0" w:line="240" w:lineRule="auto"/>
                    <w:jc w:val="center"/>
                    <w:rPr>
                      <w:rFonts w:eastAsia="Times New Roman" w:cs="Calibri"/>
                      <w:b/>
                      <w:color w:val="000000"/>
                      <w:lang w:eastAsia="es-CO"/>
                    </w:rPr>
                  </w:pPr>
                  <w:r w:rsidRPr="001B34D0">
                    <w:rPr>
                      <w:rFonts w:eastAsia="Times New Roman" w:cs="Calibri"/>
                      <w:b/>
                      <w:color w:val="000000"/>
                      <w:lang w:eastAsia="es-CO"/>
                    </w:rPr>
                    <w:t>105</w:t>
                  </w:r>
                </w:p>
              </w:tc>
            </w:tr>
          </w:tbl>
          <w:p w:rsidR="00982E3B" w:rsidRPr="001B34D0" w:rsidRDefault="00982E3B" w:rsidP="00A92D87">
            <w:pPr>
              <w:spacing w:after="0" w:line="240" w:lineRule="auto"/>
              <w:rPr>
                <w:rFonts w:eastAsia="Calibri" w:cs="Times New Roman"/>
                <w:b/>
                <w:lang w:eastAsia="es-CO"/>
              </w:rPr>
            </w:pPr>
          </w:p>
        </w:tc>
      </w:tr>
    </w:tbl>
    <w:p w:rsidR="00982E3B" w:rsidRPr="001B34D0" w:rsidRDefault="00982E3B" w:rsidP="00A92D87">
      <w:pPr>
        <w:spacing w:after="200" w:line="240" w:lineRule="auto"/>
        <w:rPr>
          <w:rFonts w:eastAsia="Calibri" w:cs="Times New Roman"/>
        </w:rPr>
      </w:pPr>
      <w:r w:rsidRPr="001B34D0">
        <w:rPr>
          <w:rFonts w:eastAsia="Calibri" w:cs="Times New Roman"/>
          <w:i/>
        </w:rPr>
        <w:t>FUENTE: CUBOS, MINISTERIO DE SALUD Y PROTECCIÓN SOCIAL</w:t>
      </w:r>
    </w:p>
    <w:p w:rsidR="00982E3B" w:rsidRPr="001B34D0" w:rsidRDefault="00982E3B" w:rsidP="00A92D87">
      <w:pPr>
        <w:spacing w:after="0" w:line="240" w:lineRule="auto"/>
        <w:rPr>
          <w:rFonts w:eastAsia="Calibri" w:cs="Times New Roman"/>
        </w:rPr>
      </w:pPr>
    </w:p>
    <w:p w:rsidR="00982E3B" w:rsidRPr="001B34D0" w:rsidRDefault="00982E3B" w:rsidP="00DF63E8">
      <w:pPr>
        <w:numPr>
          <w:ilvl w:val="0"/>
          <w:numId w:val="4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982E3B" w:rsidRPr="001B34D0" w:rsidRDefault="00982E3B" w:rsidP="00A92D87">
      <w:pPr>
        <w:spacing w:after="200" w:line="240" w:lineRule="auto"/>
        <w:jc w:val="both"/>
        <w:rPr>
          <w:rFonts w:eastAsia="Calibri" w:cs="Times New Roman"/>
        </w:rPr>
      </w:pPr>
      <w:r w:rsidRPr="001B34D0">
        <w:rPr>
          <w:rFonts w:eastAsia="Calibri" w:cs="Times New Roman"/>
        </w:rPr>
        <w:t xml:space="preserve">Dentro de las causas principales de morbilidad en los niños y niñas menores de cinco años, se reflejan las enfermedades del aparato respiratorio en el trascurso de los años 2011 a 2014. </w:t>
      </w:r>
    </w:p>
    <w:p w:rsidR="00982E3B" w:rsidRPr="001B34D0" w:rsidRDefault="00982E3B" w:rsidP="00A92D87">
      <w:pPr>
        <w:spacing w:after="200" w:line="240" w:lineRule="auto"/>
        <w:jc w:val="both"/>
        <w:rPr>
          <w:rFonts w:eastAsia="Calibri" w:cs="Times New Roman"/>
          <w:lang w:val="es-ES"/>
        </w:rPr>
      </w:pPr>
      <w:r w:rsidRPr="001B34D0">
        <w:rPr>
          <w:rFonts w:eastAsia="Calibri" w:cs="Times New Roman"/>
          <w:lang w:val="es-ES"/>
        </w:rPr>
        <w:t xml:space="preserve">Lo cual orienta y dirige el trabajo a mantener y fortalecer </w:t>
      </w:r>
      <w:r w:rsidR="00F07B9B" w:rsidRPr="001B34D0">
        <w:rPr>
          <w:rFonts w:eastAsia="Calibri" w:cs="Times New Roman"/>
          <w:lang w:val="es-ES"/>
        </w:rPr>
        <w:t>los programas maternos infantiles: riesgo</w:t>
      </w:r>
      <w:r w:rsidRPr="001B34D0">
        <w:rPr>
          <w:rFonts w:eastAsia="Calibri" w:cs="Times New Roman"/>
          <w:lang w:val="es-ES"/>
        </w:rPr>
        <w:t xml:space="preserve"> preconcepcional, control prenatal, parto y posparto, Estrategia AIEPI, Minuto de ORO, crecimiento y desarrollo y en mejorar la seguridad nutricional de las familias. </w:t>
      </w:r>
    </w:p>
    <w:p w:rsidR="00982E3B" w:rsidRPr="001B34D0" w:rsidRDefault="00982E3B" w:rsidP="00DF63E8">
      <w:pPr>
        <w:numPr>
          <w:ilvl w:val="0"/>
          <w:numId w:val="41"/>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Insumos</w:t>
      </w:r>
    </w:p>
    <w:p w:rsidR="00982E3B" w:rsidRPr="001B34D0" w:rsidRDefault="00982E3B" w:rsidP="00A92D87">
      <w:pPr>
        <w:suppressAutoHyphens/>
        <w:spacing w:after="0" w:line="240" w:lineRule="auto"/>
        <w:contextualSpacing/>
        <w:jc w:val="both"/>
        <w:rPr>
          <w:rFonts w:eastAsia="Times New Roman" w:cs="Times New Roman"/>
          <w:lang w:val="es-ES" w:eastAsia="ar-SA"/>
        </w:rPr>
      </w:pPr>
      <w:r w:rsidRPr="001B34D0">
        <w:rPr>
          <w:rFonts w:eastAsia="Times New Roman" w:cs="Times New Roman"/>
          <w:lang w:val="es-ES" w:eastAsia="ar-SA"/>
        </w:rPr>
        <w:t xml:space="preserve">Dentro del Plan de Desarrollo Municipal “Pasto: Transformación productiva”, se encuentra contemplado éste indicador, con el fin de disminuir la mortalidad en niños y niñas menores de 5 año.  La Secretaría de Salud Municipal cuenta con un equipo de cuatro contratistas que conforman prioridad de salud infantil (tres enfermeras y un médico) y una funcionaria de planta como Coordinadora de la prioridad, para la ejecución de acciones relacionadas con propender la salud de los niños y niñas del Municipio,  desarrollando actividades de articulación intersectorial, seguimiento, evaluación y asistencia técnica a IPS y EPS,  fortalecimiento de la estrategia AIEPI en el componente clínico y comunitario y la implementación del Plan de Salud Pública de Intervenciones Colectivas. </w:t>
      </w:r>
    </w:p>
    <w:p w:rsidR="00982E3B" w:rsidRPr="001B34D0" w:rsidRDefault="00982E3B" w:rsidP="00A92D87">
      <w:pPr>
        <w:suppressAutoHyphens/>
        <w:spacing w:after="0" w:line="240" w:lineRule="auto"/>
        <w:contextualSpacing/>
        <w:jc w:val="both"/>
        <w:rPr>
          <w:rFonts w:eastAsia="Times New Roman" w:cs="Times New Roman"/>
          <w:lang w:val="es-ES" w:eastAsia="ar-SA"/>
        </w:rPr>
      </w:pPr>
      <w:r w:rsidRPr="001B34D0">
        <w:rPr>
          <w:rFonts w:eastAsia="Times New Roman" w:cs="Times New Roman"/>
          <w:lang w:val="es-ES" w:eastAsia="ar-SA"/>
        </w:rPr>
        <w:t>Adicionalmente se cuenta con un equipo de Unidades Centinelas en algunas zonas del área rural como apoyo a la comunidad.</w:t>
      </w: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DF63E8">
      <w:pPr>
        <w:numPr>
          <w:ilvl w:val="0"/>
          <w:numId w:val="4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982E3B" w:rsidRPr="001B34D0" w:rsidRDefault="00982E3B" w:rsidP="00A92D87">
      <w:pPr>
        <w:spacing w:after="200" w:line="240" w:lineRule="auto"/>
        <w:jc w:val="both"/>
        <w:rPr>
          <w:rFonts w:eastAsia="Calibri" w:cs="Arial"/>
        </w:rPr>
      </w:pPr>
      <w:r w:rsidRPr="001B34D0">
        <w:rPr>
          <w:rFonts w:eastAsia="Calibri" w:cs="Times New Roman"/>
        </w:rPr>
        <w:t xml:space="preserve">El municipio de Pasto, a través de la Secretaría de Salud, se ejecuta un proyecto denominado “NIÑOS Y NIÑAS SALUDABLES DEL MUNICIPIO DE </w:t>
      </w:r>
      <w:r w:rsidRPr="001B34D0">
        <w:rPr>
          <w:rFonts w:eastAsia="Calibri" w:cs="Arial"/>
        </w:rPr>
        <w:t>PASTO” que busca lograr la articulación entre los actores inter e intrainstitucionales que intervienen en la Salud infantil, y el seguimiento, evaluación y asistencia técnica a EPS e IPS con el fin de verificar la adherencia a guías, normas, estrategias y protocolos.</w:t>
      </w:r>
    </w:p>
    <w:p w:rsidR="00982E3B" w:rsidRPr="001B34D0" w:rsidRDefault="00982E3B" w:rsidP="00A92D87">
      <w:pPr>
        <w:spacing w:after="200" w:line="240" w:lineRule="auto"/>
        <w:jc w:val="both"/>
        <w:rPr>
          <w:rFonts w:eastAsia="Calibri" w:cs="Arial"/>
        </w:rPr>
      </w:pPr>
      <w:r w:rsidRPr="001B34D0">
        <w:rPr>
          <w:rFonts w:eastAsia="Calibri" w:cs="Arial"/>
        </w:rPr>
        <w:t>Además se aplica la Ruta de atención a la primera infancia e infancia enfocado a orientar y mejorar las actividades relacionadas con la salud infantil de nuestro Municipio.</w:t>
      </w:r>
    </w:p>
    <w:p w:rsidR="00982E3B" w:rsidRPr="001B34D0" w:rsidRDefault="00982E3B" w:rsidP="00A92D87">
      <w:pPr>
        <w:spacing w:after="200" w:line="240" w:lineRule="auto"/>
        <w:jc w:val="both"/>
        <w:rPr>
          <w:rFonts w:eastAsia="Calibri" w:cs="Arial"/>
        </w:rPr>
      </w:pPr>
      <w:r w:rsidRPr="001B34D0">
        <w:rPr>
          <w:rFonts w:eastAsia="Calibri" w:cs="Arial"/>
        </w:rPr>
        <w:t>También se desarrolla el Plan de Intervenciones colectivas, a través del cual se ejecuta actividades de articulación y empoderamiento de la salud con la comunidad.</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DF63E8">
      <w:pPr>
        <w:numPr>
          <w:ilvl w:val="0"/>
          <w:numId w:val="4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982E3B" w:rsidRPr="001B34D0" w:rsidRDefault="00982E3B" w:rsidP="00A92D87">
      <w:pPr>
        <w:suppressAutoHyphens/>
        <w:spacing w:after="0" w:line="240" w:lineRule="auto"/>
        <w:ind w:left="360"/>
        <w:contextualSpacing/>
        <w:jc w:val="both"/>
        <w:rPr>
          <w:rFonts w:eastAsia="Times New Roman" w:cs="Arial"/>
          <w:color w:val="000000"/>
          <w:lang w:val="es-ES" w:eastAsia="ar-SA"/>
        </w:rPr>
      </w:pPr>
    </w:p>
    <w:p w:rsidR="00982E3B" w:rsidRPr="001B34D0" w:rsidRDefault="00982E3B" w:rsidP="00A92D87">
      <w:pPr>
        <w:numPr>
          <w:ilvl w:val="0"/>
          <w:numId w:val="1"/>
        </w:numPr>
        <w:spacing w:after="0" w:line="240" w:lineRule="auto"/>
        <w:contextualSpacing/>
        <w:jc w:val="both"/>
        <w:rPr>
          <w:rFonts w:eastAsia="Times New Roman" w:cs="Arial"/>
          <w:b/>
          <w:bCs/>
          <w:color w:val="000000"/>
          <w:lang w:val="es-ES_tradnl" w:eastAsia="es-ES"/>
        </w:rPr>
      </w:pPr>
      <w:r w:rsidRPr="001B34D0">
        <w:rPr>
          <w:rFonts w:eastAsia="Times New Roman" w:cs="Arial"/>
          <w:color w:val="000000"/>
          <w:lang w:val="es-ES" w:eastAsia="ar-SA"/>
        </w:rPr>
        <w:t>Política pública Municipal de primera infancia e infancia operando.</w:t>
      </w:r>
    </w:p>
    <w:p w:rsidR="00982E3B" w:rsidRPr="001B34D0" w:rsidRDefault="00982E3B" w:rsidP="00A92D87">
      <w:pPr>
        <w:numPr>
          <w:ilvl w:val="0"/>
          <w:numId w:val="1"/>
        </w:numPr>
        <w:spacing w:after="0" w:line="240" w:lineRule="auto"/>
        <w:jc w:val="both"/>
        <w:rPr>
          <w:rFonts w:eastAsia="Calibri" w:cs="Arial"/>
          <w:color w:val="000000"/>
        </w:rPr>
      </w:pPr>
      <w:r w:rsidRPr="001B34D0">
        <w:rPr>
          <w:rFonts w:eastAsia="Calibri" w:cs="Arial"/>
          <w:color w:val="000000"/>
        </w:rPr>
        <w:t>Lograda la adherencia a guías, normas técnicas y estrategias relacionadas con la Salud infantil del Municipio.</w:t>
      </w:r>
    </w:p>
    <w:p w:rsidR="00982E3B" w:rsidRPr="001B34D0" w:rsidRDefault="00982E3B" w:rsidP="00A92D87">
      <w:pPr>
        <w:numPr>
          <w:ilvl w:val="0"/>
          <w:numId w:val="1"/>
        </w:numPr>
        <w:spacing w:after="0" w:line="240" w:lineRule="auto"/>
        <w:jc w:val="both"/>
        <w:rPr>
          <w:rFonts w:eastAsia="Calibri" w:cs="Arial"/>
          <w:b/>
        </w:rPr>
      </w:pPr>
      <w:r w:rsidRPr="001B34D0">
        <w:rPr>
          <w:rFonts w:eastAsia="Calibri" w:cs="Arial"/>
          <w:color w:val="000000"/>
        </w:rPr>
        <w:t xml:space="preserve">Implementada la estrategia de movilización social para el empoderamiento de la comunidad. </w:t>
      </w:r>
    </w:p>
    <w:p w:rsidR="00982E3B" w:rsidRPr="001B34D0" w:rsidRDefault="00982E3B" w:rsidP="00A92D87">
      <w:pPr>
        <w:numPr>
          <w:ilvl w:val="0"/>
          <w:numId w:val="1"/>
        </w:numPr>
        <w:spacing w:after="0" w:line="240" w:lineRule="auto"/>
        <w:jc w:val="both"/>
        <w:rPr>
          <w:rFonts w:eastAsia="Calibri" w:cs="Arial"/>
          <w:b/>
        </w:rPr>
      </w:pPr>
      <w:r w:rsidRPr="001B34D0">
        <w:rPr>
          <w:rFonts w:eastAsia="Calibri" w:cs="Arial"/>
          <w:color w:val="000000"/>
        </w:rPr>
        <w:t>Ruta de atención integral a la primera infancia e infancia</w:t>
      </w:r>
    </w:p>
    <w:p w:rsidR="00982E3B" w:rsidRPr="001B34D0" w:rsidRDefault="00982E3B" w:rsidP="00A92D87">
      <w:pPr>
        <w:numPr>
          <w:ilvl w:val="0"/>
          <w:numId w:val="1"/>
        </w:numPr>
        <w:spacing w:after="0" w:line="240" w:lineRule="auto"/>
        <w:jc w:val="both"/>
        <w:rPr>
          <w:rFonts w:eastAsia="Calibri" w:cs="Arial"/>
          <w:b/>
        </w:rPr>
      </w:pPr>
      <w:r w:rsidRPr="001B34D0">
        <w:rPr>
          <w:rFonts w:eastAsia="Calibri" w:cs="Arial"/>
          <w:color w:val="000000"/>
        </w:rPr>
        <w:lastRenderedPageBreak/>
        <w:t>Componente AIEPI comunitario fortalecido a través de capacitaciones a actores sociales.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DF63E8">
      <w:pPr>
        <w:numPr>
          <w:ilvl w:val="0"/>
          <w:numId w:val="4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2"/>
        </w:numPr>
        <w:spacing w:after="0" w:line="240" w:lineRule="auto"/>
        <w:contextualSpacing/>
        <w:jc w:val="both"/>
        <w:rPr>
          <w:rFonts w:eastAsia="Times New Roman" w:cs="Times New Roman"/>
          <w:lang w:val="es-ES" w:eastAsia="ar-SA"/>
        </w:rPr>
      </w:pPr>
      <w:r w:rsidRPr="001B34D0">
        <w:rPr>
          <w:rFonts w:eastAsia="Times New Roman" w:cs="Times New Roman"/>
          <w:lang w:val="es-ES" w:eastAsia="ar-SA"/>
        </w:rPr>
        <w:t>Política pública Municipal de primera infancia e infancia</w:t>
      </w:r>
    </w:p>
    <w:p w:rsidR="00982E3B" w:rsidRPr="001B34D0" w:rsidRDefault="00982E3B" w:rsidP="00A92D87">
      <w:pPr>
        <w:numPr>
          <w:ilvl w:val="0"/>
          <w:numId w:val="2"/>
        </w:numPr>
        <w:spacing w:after="0" w:line="240" w:lineRule="auto"/>
        <w:contextualSpacing/>
        <w:jc w:val="both"/>
        <w:rPr>
          <w:rFonts w:eastAsia="Times New Roman" w:cs="Times New Roman"/>
          <w:lang w:val="es-ES" w:eastAsia="ar-SA"/>
        </w:rPr>
      </w:pPr>
      <w:r w:rsidRPr="001B34D0">
        <w:rPr>
          <w:rFonts w:eastAsia="Times New Roman" w:cs="Times New Roman"/>
          <w:lang w:val="es-ES" w:eastAsia="ar-SA"/>
        </w:rPr>
        <w:t>Ruta de atención integral a la primera infancia e infancia</w:t>
      </w:r>
    </w:p>
    <w:p w:rsidR="00982E3B" w:rsidRPr="001B34D0" w:rsidRDefault="00982E3B" w:rsidP="00A92D87">
      <w:pPr>
        <w:numPr>
          <w:ilvl w:val="0"/>
          <w:numId w:val="2"/>
        </w:numPr>
        <w:spacing w:after="0" w:line="240" w:lineRule="auto"/>
        <w:contextualSpacing/>
        <w:jc w:val="both"/>
        <w:rPr>
          <w:rFonts w:eastAsia="Times New Roman" w:cs="Times New Roman"/>
          <w:lang w:val="es-ES" w:eastAsia="ar-SA"/>
        </w:rPr>
      </w:pPr>
      <w:r w:rsidRPr="001B34D0">
        <w:rPr>
          <w:rFonts w:eastAsia="Times New Roman" w:cs="Times New Roman"/>
          <w:lang w:val="es-ES" w:eastAsia="ar-SA"/>
        </w:rPr>
        <w:t>Estrategia AIEPI operando en IPS públicas y privadas</w:t>
      </w:r>
    </w:p>
    <w:p w:rsidR="00982E3B" w:rsidRPr="001B34D0" w:rsidRDefault="00982E3B" w:rsidP="00A92D87">
      <w:pPr>
        <w:numPr>
          <w:ilvl w:val="0"/>
          <w:numId w:val="2"/>
        </w:numPr>
        <w:spacing w:after="0" w:line="240" w:lineRule="auto"/>
        <w:contextualSpacing/>
        <w:jc w:val="both"/>
        <w:rPr>
          <w:rFonts w:eastAsia="Times New Roman" w:cs="Times New Roman"/>
          <w:lang w:val="es-ES" w:eastAsia="ar-SA"/>
        </w:rPr>
      </w:pPr>
      <w:r w:rsidRPr="001B34D0">
        <w:rPr>
          <w:rFonts w:eastAsia="Times New Roman" w:cs="Times New Roman"/>
          <w:lang w:val="es-ES" w:eastAsia="ar-SA"/>
        </w:rPr>
        <w:t>Unidades Centinelas (11) operando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DF63E8">
      <w:pPr>
        <w:numPr>
          <w:ilvl w:val="0"/>
          <w:numId w:val="4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 xml:space="preserve">Positivo: Se evidencian avances en la Estrategia AIEPI en las IPS públicas y privadas.  El trabajo comunitario con la estrategia y las Unidades centinelas se ha evidenciado en los indicadores de mortalidad y morbilidad, y en el conocimiento de los aspectos con la salud infantil.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DF63E8">
      <w:pPr>
        <w:numPr>
          <w:ilvl w:val="0"/>
          <w:numId w:val="4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982E3B" w:rsidRPr="001B34D0" w:rsidRDefault="00982E3B" w:rsidP="00A92D87">
      <w:pPr>
        <w:spacing w:after="0" w:line="240" w:lineRule="auto"/>
        <w:jc w:val="both"/>
        <w:rPr>
          <w:rFonts w:eastAsia="Calibri" w:cs="Times New Roman"/>
        </w:rPr>
      </w:pPr>
      <w:r w:rsidRPr="001B34D0">
        <w:rPr>
          <w:rFonts w:eastAsia="Calibri" w:cs="Times New Roman"/>
        </w:rPr>
        <w:t>Es importante fortalecer la articulación interinstitucional, con el fin de continuar aunando esfuerzos para evitar que los niños y niñas se nos mueran por enfermedades prevenibles.  Esto se logra trabajando de la mano con las IPS, EPS y con la comunidad en general, para que reconozcan los signos de peligro y acudan oportunamente a los centros de salud más cercanos.</w:t>
      </w:r>
    </w:p>
    <w:p w:rsidR="00982E3B" w:rsidRPr="001B34D0" w:rsidRDefault="00982E3B" w:rsidP="00A92D87">
      <w:pPr>
        <w:spacing w:after="0" w:line="240" w:lineRule="auto"/>
        <w:jc w:val="both"/>
        <w:rPr>
          <w:rFonts w:eastAsia="Calibri" w:cs="Times New Roman"/>
        </w:rPr>
      </w:pPr>
    </w:p>
    <w:p w:rsidR="00982E3B" w:rsidRPr="001B34D0" w:rsidRDefault="00982E3B" w:rsidP="00A92D87">
      <w:pPr>
        <w:spacing w:after="0" w:line="240" w:lineRule="auto"/>
        <w:jc w:val="both"/>
        <w:rPr>
          <w:rFonts w:eastAsia="Calibri" w:cs="Times New Roman"/>
        </w:rPr>
      </w:pPr>
      <w:r w:rsidRPr="001B34D0">
        <w:rPr>
          <w:rFonts w:eastAsia="Calibri" w:cs="Times New Roman"/>
          <w:color w:val="000000"/>
          <w:lang w:val="es-ES_tradnl"/>
        </w:rPr>
        <w:t xml:space="preserve">Algunos aspectos como los bajos recursos económicos, factores culturales y educativos, pueden generar un impacto negativo, es por eso que el trabajo se debe enfocar en la educación a la comunidad a través del AIEPI Comunitario y la adecuada priorización de problemas para una oportuna intervención de los mismos. Es importante reconocer que la salud infantil empieza desde la preconcepción hasta los cinco años, por lo tanto dichas actividades se deben implementar desde las mujeres en edad fértil, gestación, parto, posparto y en el nacimiento hasta los 5 años.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DF63E8">
      <w:pPr>
        <w:numPr>
          <w:ilvl w:val="0"/>
          <w:numId w:val="4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982E3B" w:rsidRPr="001B34D0" w:rsidRDefault="00982E3B" w:rsidP="00A92D87">
      <w:pPr>
        <w:spacing w:after="200" w:line="240" w:lineRule="auto"/>
        <w:jc w:val="both"/>
        <w:rPr>
          <w:rFonts w:eastAsia="Calibri" w:cs="Times New Roman"/>
        </w:rPr>
      </w:pPr>
      <w:r w:rsidRPr="001B34D0">
        <w:rPr>
          <w:rFonts w:eastAsia="Calibri" w:cs="Times New Roman"/>
        </w:rPr>
        <w:t xml:space="preserve">Se debe continuar trabajando en el seguimiento, evaluación y asistencia técnica con el fin de vigilar que las normas, guías, protocolos y estrategias se estén aplicando satisfactoriamente. </w:t>
      </w:r>
    </w:p>
    <w:p w:rsidR="00982E3B" w:rsidRPr="001B34D0" w:rsidRDefault="00982E3B" w:rsidP="00A92D87">
      <w:pPr>
        <w:spacing w:after="200" w:line="240" w:lineRule="auto"/>
        <w:jc w:val="both"/>
        <w:rPr>
          <w:rFonts w:eastAsia="Calibri" w:cs="Times New Roman"/>
        </w:rPr>
      </w:pPr>
      <w:r w:rsidRPr="001B34D0">
        <w:rPr>
          <w:rFonts w:eastAsia="Calibri" w:cs="Times New Roman"/>
        </w:rPr>
        <w:t xml:space="preserve">Dentro del mejoramiento de la calidad de atención es necesario fortalecer la aplicación de la Estrategia AIEPI, y en el componente comunitario las Unidades Centinelas, siendo ellas las primeras promotoras de la educación con la comunidad, y el puente de articulación con la prestación, en el marco de la referencia y contrareferencia. </w:t>
      </w:r>
    </w:p>
    <w:p w:rsidR="00982E3B" w:rsidRPr="001B34D0" w:rsidRDefault="00982E3B" w:rsidP="00A92D87">
      <w:pPr>
        <w:spacing w:after="200" w:line="240" w:lineRule="auto"/>
        <w:jc w:val="both"/>
        <w:rPr>
          <w:rFonts w:eastAsia="Calibri" w:cs="Times New Roman"/>
        </w:rPr>
      </w:pPr>
      <w:r w:rsidRPr="001B34D0">
        <w:rPr>
          <w:rFonts w:eastAsia="Calibri" w:cs="Times New Roman"/>
        </w:rPr>
        <w:t xml:space="preserve">De igual manera, la ruta de atención integral a la primera infancia e infancia, es una estrategia clave para orientar el trabajo de las EPS, IPS y actores sociales que intervienen en la misma, y garantizar la mejor atención a los niños y niñas de nuestro Municipio. </w:t>
      </w:r>
    </w:p>
    <w:p w:rsidR="00982E3B" w:rsidRPr="001B34D0" w:rsidRDefault="00982E3B" w:rsidP="00A92D87">
      <w:pPr>
        <w:spacing w:after="200" w:line="240" w:lineRule="auto"/>
        <w:jc w:val="both"/>
        <w:rPr>
          <w:rFonts w:eastAsia="Calibri" w:cs="Times New Roman"/>
        </w:rPr>
      </w:pPr>
    </w:p>
    <w:p w:rsidR="00982E3B" w:rsidRPr="001B34D0" w:rsidRDefault="00982E3B" w:rsidP="00A92D87">
      <w:pPr>
        <w:spacing w:after="200" w:line="240" w:lineRule="auto"/>
        <w:jc w:val="both"/>
        <w:rPr>
          <w:rFonts w:eastAsia="Calibri" w:cs="Times New Roman"/>
        </w:rPr>
      </w:pPr>
    </w:p>
    <w:p w:rsidR="00982E3B" w:rsidRPr="001B34D0" w:rsidRDefault="00982E3B" w:rsidP="00A92D87">
      <w:pPr>
        <w:spacing w:after="200" w:line="240" w:lineRule="auto"/>
        <w:jc w:val="both"/>
        <w:rPr>
          <w:rFonts w:eastAsia="Calibri" w:cs="Times New Roman"/>
        </w:rPr>
      </w:pPr>
    </w:p>
    <w:p w:rsidR="00982E3B" w:rsidRPr="001B34D0" w:rsidRDefault="00982E3B"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1B34D0">
        <w:rPr>
          <w:rFonts w:eastAsia="Calibri" w:cs="Times New Roman"/>
          <w:b/>
          <w:i/>
          <w:iCs/>
        </w:rPr>
        <w:t>DESCRIPCIÓN DEL INDICADOR No. 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233"/>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595"/>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Tasa de muertes por causas externas en niños, niñas y adolescentes</w:t>
            </w:r>
          </w:p>
        </w:tc>
      </w:tr>
      <w:tr w:rsidR="00982E3B" w:rsidRPr="001B34D0" w:rsidTr="00000F81">
        <w:trPr>
          <w:trHeight w:val="663"/>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982E3B" w:rsidRPr="001B34D0" w:rsidTr="00000F81">
        <w:trPr>
          <w:trHeight w:val="10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186"/>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982E3B" w:rsidRPr="001B34D0" w:rsidRDefault="00982E3B" w:rsidP="00A92D87">
      <w:pPr>
        <w:suppressAutoHyphens/>
        <w:spacing w:after="0" w:line="240" w:lineRule="auto"/>
        <w:ind w:left="360"/>
        <w:contextualSpacing/>
        <w:rPr>
          <w:rFonts w:eastAsia="Times New Roman" w:cs="Times New Roman"/>
          <w:b/>
          <w:lang w:val="es-ES" w:eastAsia="ar-SA"/>
        </w:rPr>
      </w:pPr>
    </w:p>
    <w:p w:rsidR="00982E3B" w:rsidRPr="001B34D0" w:rsidRDefault="00982E3B" w:rsidP="00A92D87">
      <w:pPr>
        <w:numPr>
          <w:ilvl w:val="0"/>
          <w:numId w:val="17"/>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982E3B" w:rsidRPr="001B34D0" w:rsidRDefault="00982E3B" w:rsidP="00A92D87">
      <w:pPr>
        <w:suppressAutoHyphens/>
        <w:spacing w:after="0" w:line="240" w:lineRule="auto"/>
        <w:ind w:left="1080"/>
        <w:contextualSpacing/>
        <w:rPr>
          <w:rFonts w:eastAsia="Times New Roman" w:cs="Times New Roman"/>
          <w:b/>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9"/>
        <w:gridCol w:w="1723"/>
        <w:gridCol w:w="1724"/>
        <w:gridCol w:w="1724"/>
        <w:gridCol w:w="1724"/>
      </w:tblGrid>
      <w:tr w:rsidR="00982E3B" w:rsidRPr="001B34D0" w:rsidTr="00000F81">
        <w:tc>
          <w:tcPr>
            <w:tcW w:w="219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982E3B" w:rsidRPr="001B34D0" w:rsidTr="00000F81">
        <w:tc>
          <w:tcPr>
            <w:tcW w:w="2196" w:type="dxa"/>
            <w:shd w:val="clear" w:color="auto" w:fill="auto"/>
          </w:tcPr>
          <w:p w:rsidR="00982E3B" w:rsidRPr="001B34D0" w:rsidRDefault="00982E3B" w:rsidP="00A92D87">
            <w:pPr>
              <w:spacing w:after="0" w:line="240" w:lineRule="auto"/>
              <w:rPr>
                <w:rFonts w:eastAsia="Calibri" w:cs="Times New Roman"/>
                <w:lang w:eastAsia="es-CO"/>
              </w:rPr>
            </w:pPr>
            <w:r w:rsidRPr="001B34D0">
              <w:rPr>
                <w:rFonts w:eastAsia="Calibri" w:cs="Times New Roman"/>
                <w:lang w:eastAsia="es-CO"/>
              </w:rPr>
              <w:t>Tasa de muertes por causas externas en niños, niñas y adolescentes (0 a 17 Años).</w:t>
            </w:r>
          </w:p>
        </w:tc>
        <w:tc>
          <w:tcPr>
            <w:tcW w:w="1765"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19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16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23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15 x 100000 Hbts</w:t>
            </w:r>
          </w:p>
        </w:tc>
      </w:tr>
      <w:tr w:rsidR="00982E3B" w:rsidRPr="001B34D0" w:rsidTr="00000F81">
        <w:trPr>
          <w:trHeight w:val="185"/>
        </w:trPr>
        <w:tc>
          <w:tcPr>
            <w:tcW w:w="9259" w:type="dxa"/>
            <w:gridSpan w:val="5"/>
            <w:shd w:val="clear" w:color="auto" w:fill="auto"/>
          </w:tcPr>
          <w:p w:rsidR="00982E3B" w:rsidRPr="001B34D0" w:rsidRDefault="00982E3B"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982E3B" w:rsidRPr="001B34D0" w:rsidRDefault="00982E3B" w:rsidP="00A92D87">
      <w:pPr>
        <w:spacing w:after="200" w:line="240" w:lineRule="auto"/>
        <w:rPr>
          <w:rFonts w:eastAsia="Calibri" w:cs="Times New Roman"/>
        </w:rPr>
      </w:pPr>
    </w:p>
    <w:p w:rsidR="00982E3B" w:rsidRPr="001B34D0" w:rsidRDefault="00982E3B" w:rsidP="00A92D87">
      <w:pPr>
        <w:spacing w:after="200" w:line="240" w:lineRule="auto"/>
        <w:rPr>
          <w:rFonts w:eastAsia="Calibri" w:cs="Times New Roman"/>
          <w:b/>
        </w:rPr>
      </w:pPr>
      <w:r w:rsidRPr="001B34D0">
        <w:rPr>
          <w:rFonts w:eastAsia="Calibri" w:cs="Times New Roman"/>
          <w:b/>
        </w:rPr>
        <w:t xml:space="preserve">Gráfico: </w:t>
      </w:r>
    </w:p>
    <w:p w:rsidR="009225DA" w:rsidRDefault="00982E3B" w:rsidP="00A92D87">
      <w:pPr>
        <w:spacing w:after="200" w:line="240" w:lineRule="auto"/>
        <w:rPr>
          <w:rFonts w:eastAsia="Calibri" w:cs="Times New Roman"/>
          <w:b/>
        </w:rPr>
      </w:pPr>
      <w:r w:rsidRPr="001B34D0">
        <w:rPr>
          <w:rFonts w:eastAsia="Calibri" w:cs="Times New Roman"/>
          <w:noProof/>
          <w:lang w:val="es-ES" w:eastAsia="es-ES"/>
        </w:rPr>
        <w:drawing>
          <wp:inline distT="0" distB="0" distL="0" distR="0">
            <wp:extent cx="5739765" cy="2214245"/>
            <wp:effectExtent l="0" t="0" r="13335" b="14605"/>
            <wp:docPr id="34"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225DA" w:rsidRDefault="009225DA">
      <w:pPr>
        <w:rPr>
          <w:rFonts w:eastAsia="Calibri" w:cs="Times New Roman"/>
          <w:b/>
        </w:rPr>
      </w:pPr>
      <w:r>
        <w:rPr>
          <w:rFonts w:eastAsia="Calibri" w:cs="Times New Roman"/>
          <w:b/>
        </w:rPr>
        <w:br w:type="page"/>
      </w:r>
    </w:p>
    <w:p w:rsidR="00982E3B" w:rsidRPr="001B34D0" w:rsidRDefault="00982E3B" w:rsidP="00A92D87">
      <w:pPr>
        <w:spacing w:after="200" w:line="240" w:lineRule="auto"/>
        <w:rPr>
          <w:rFonts w:eastAsia="Calibri" w:cs="Times New Roman"/>
          <w:b/>
        </w:rPr>
      </w:pPr>
    </w:p>
    <w:p w:rsidR="00982E3B" w:rsidRPr="001B34D0" w:rsidRDefault="00982E3B"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34% de los casos presentados en lesiones por causa externa fatales corresponde a muertes accidentales, el 26% a homicidios, el 21% son suicidios y el 17% de este tipo de muertes son por accidentes de tránsito; donde el 66% de los casos son hombres  y la mayoría se presentan en la zona urbana del municipio de Pasto, concentrándose principalmente en las comunas 4, 5, 6 y en el corregimiento de Catambuco.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7"/>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Insumos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82E3B" w:rsidRPr="001B34D0" w:rsidRDefault="00982E3B" w:rsidP="00A92D87">
      <w:pPr>
        <w:suppressAutoHyphens/>
        <w:spacing w:after="0" w:line="240" w:lineRule="auto"/>
        <w:ind w:left="1080"/>
        <w:contextualSpacing/>
        <w:rPr>
          <w:rFonts w:eastAsia="Times New Roman" w:cs="Times New Roman"/>
          <w:lang w:val="es-ES" w:eastAsia="ar-SA"/>
        </w:rPr>
      </w:pPr>
    </w:p>
    <w:p w:rsidR="00982E3B" w:rsidRPr="001B34D0" w:rsidRDefault="00982E3B"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del Municipio de Pasto, monitorea tres líneas de vigilancia (Lesiones fatales, no fatales y violencia intrafamiliar), además realiza un monitoreo interno de la Secretaria de Gobierno en cuanto a los infractores del Decreto 0400, Centro Integral para la Convivencia CECON, infracciones urbanísticas y los Delito de Alto Impacto cuya fuente es Policía Nacional. El Observatorio del Delito, consolida mensualmente la información,  realiza el análisis respectivo a través de unas mesas temáticas de Seguridad, violencia intrafamiliar y conducta suicida, también se envía la información al Señor Alcalde y gabinete municipal  y realiza la publicación respectiva a la comunidad por medio  de la página WEB de la Alcaldía de Pasto www.pasto.gov.co</w:t>
      </w:r>
    </w:p>
    <w:p w:rsidR="00982E3B" w:rsidRPr="001B34D0" w:rsidRDefault="00982E3B" w:rsidP="00A92D87">
      <w:pPr>
        <w:suppressAutoHyphens/>
        <w:spacing w:after="0" w:line="240" w:lineRule="auto"/>
        <w:ind w:left="720"/>
        <w:contextualSpacing/>
        <w:rPr>
          <w:rFonts w:eastAsia="Times New Roman" w:cs="Times New Roman"/>
          <w:b/>
          <w:lang w:val="es-ES" w:eastAsia="ar-SA"/>
        </w:rPr>
      </w:pPr>
    </w:p>
    <w:p w:rsidR="00982E3B" w:rsidRPr="001B34D0" w:rsidRDefault="00982E3B"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Indicadores de lesiones de causa externa fatal, no fatal, violencia intrafamiliar, delitos de alto impacto confiables, garantizando el total de unidades notificadoras en el sector salud, protección y justicia.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Impacto: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 xml:space="preserve">El Observatorio del Delito cuenta con información de los eventos monitoreados a partir del año 2003, lo que resulta fundamental para conocer el comportamiento de estos eventos, por lo que ha adquirido un papel clave en formulación de indicadores tanto para los planes de </w:t>
      </w:r>
      <w:r w:rsidRPr="001B34D0">
        <w:rPr>
          <w:rFonts w:eastAsia="Times New Roman" w:cs="Times New Roman"/>
          <w:lang w:val="es-ES" w:eastAsia="ar-SA"/>
        </w:rPr>
        <w:lastRenderedPageBreak/>
        <w:t>desarrollo, como también para el plan integral de convivencia y seguridad del Municipio de Pasto.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En el periodo analizado 2011- 2014 se evidencia que las comunas con mayor problemática en lesiones fatales son las comunas 4, 5, 6 y en el corregimiento de Catambuco, con referente en la población masculina los cuales están más expuestos a situaciones de riesgo tanto de inseguridad y de accidentabilidad.</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982E3B" w:rsidRPr="001B34D0" w:rsidRDefault="00982E3B" w:rsidP="00A92D87">
      <w:pPr>
        <w:pBdr>
          <w:top w:val="single" w:sz="4" w:space="10" w:color="4F81BD"/>
          <w:bottom w:val="single" w:sz="4" w:space="10" w:color="4F81BD"/>
        </w:pBdr>
        <w:spacing w:before="360" w:after="360" w:line="240" w:lineRule="auto"/>
        <w:ind w:left="864" w:right="864"/>
        <w:jc w:val="center"/>
        <w:rPr>
          <w:rFonts w:eastAsia="Calibri" w:cs="Times New Roman"/>
          <w:b/>
          <w:i/>
          <w:iCs/>
        </w:rPr>
      </w:pPr>
      <w:r w:rsidRPr="001B34D0">
        <w:rPr>
          <w:rFonts w:eastAsia="Calibri" w:cs="Times New Roman"/>
          <w:b/>
          <w:i/>
          <w:iCs/>
        </w:rPr>
        <w:t>DESCRIPCIÓN DEL INDICADOR No. 73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579"/>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579"/>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Tasa de Homicidios en niños, niñas y adolescentes</w:t>
            </w:r>
          </w:p>
        </w:tc>
      </w:tr>
      <w:tr w:rsidR="00982E3B" w:rsidRPr="001B34D0" w:rsidTr="00000F81">
        <w:trPr>
          <w:trHeight w:val="332"/>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458"/>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982E3B" w:rsidRPr="001B34D0" w:rsidRDefault="00982E3B" w:rsidP="00A92D87">
      <w:pPr>
        <w:suppressAutoHyphens/>
        <w:spacing w:after="0" w:line="240" w:lineRule="auto"/>
        <w:ind w:left="360"/>
        <w:contextualSpacing/>
        <w:rPr>
          <w:rFonts w:eastAsia="Times New Roman" w:cs="Times New Roman"/>
          <w:b/>
          <w:lang w:val="es-ES" w:eastAsia="ar-SA"/>
        </w:rPr>
      </w:pPr>
    </w:p>
    <w:p w:rsidR="00982E3B" w:rsidRPr="001B34D0" w:rsidRDefault="00982E3B" w:rsidP="00A92D87">
      <w:pPr>
        <w:numPr>
          <w:ilvl w:val="0"/>
          <w:numId w:val="18"/>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982E3B" w:rsidRPr="001B34D0" w:rsidRDefault="00982E3B"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982E3B" w:rsidRPr="001B34D0" w:rsidTr="00000F81">
        <w:tc>
          <w:tcPr>
            <w:tcW w:w="219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982E3B" w:rsidRPr="001B34D0" w:rsidTr="00000F81">
        <w:tc>
          <w:tcPr>
            <w:tcW w:w="2196" w:type="dxa"/>
            <w:shd w:val="clear" w:color="auto" w:fill="auto"/>
          </w:tcPr>
          <w:p w:rsidR="00982E3B" w:rsidRPr="001B34D0" w:rsidRDefault="00982E3B" w:rsidP="00A92D87">
            <w:pPr>
              <w:spacing w:after="0" w:line="240" w:lineRule="auto"/>
              <w:rPr>
                <w:rFonts w:eastAsia="Calibri" w:cs="Times New Roman"/>
                <w:lang w:eastAsia="es-CO"/>
              </w:rPr>
            </w:pPr>
            <w:r w:rsidRPr="001B34D0">
              <w:rPr>
                <w:rFonts w:eastAsia="Calibri" w:cs="Times New Roman"/>
                <w:lang w:eastAsia="es-CO"/>
              </w:rPr>
              <w:t>Tasa de Homicidios en niños, niñas y adolescentes</w:t>
            </w:r>
          </w:p>
        </w:tc>
        <w:tc>
          <w:tcPr>
            <w:tcW w:w="1765"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6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3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6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4 x 100000 Hbts</w:t>
            </w:r>
          </w:p>
        </w:tc>
      </w:tr>
      <w:tr w:rsidR="00982E3B" w:rsidRPr="001B34D0" w:rsidTr="00000F81">
        <w:tc>
          <w:tcPr>
            <w:tcW w:w="9259" w:type="dxa"/>
            <w:gridSpan w:val="5"/>
            <w:shd w:val="clear" w:color="auto" w:fill="auto"/>
          </w:tcPr>
          <w:p w:rsidR="00982E3B" w:rsidRPr="001B34D0" w:rsidRDefault="00982E3B"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9225DA" w:rsidRDefault="009225DA" w:rsidP="00A92D87">
      <w:pPr>
        <w:spacing w:after="200" w:line="240" w:lineRule="auto"/>
        <w:rPr>
          <w:rFonts w:eastAsia="Calibri" w:cs="Times New Roman"/>
        </w:rPr>
      </w:pPr>
    </w:p>
    <w:p w:rsidR="009225DA" w:rsidRDefault="009225DA">
      <w:pPr>
        <w:rPr>
          <w:rFonts w:eastAsia="Calibri" w:cs="Times New Roman"/>
        </w:rPr>
      </w:pPr>
      <w:r>
        <w:rPr>
          <w:rFonts w:eastAsia="Calibri" w:cs="Times New Roman"/>
        </w:rPr>
        <w:br w:type="page"/>
      </w:r>
    </w:p>
    <w:p w:rsidR="00982E3B" w:rsidRPr="001B34D0" w:rsidRDefault="00982E3B" w:rsidP="00A92D87">
      <w:pPr>
        <w:spacing w:after="200" w:line="240" w:lineRule="auto"/>
        <w:rPr>
          <w:rFonts w:eastAsia="Calibri" w:cs="Times New Roman"/>
        </w:rPr>
      </w:pPr>
    </w:p>
    <w:p w:rsidR="00982E3B" w:rsidRPr="001B34D0" w:rsidRDefault="00982E3B" w:rsidP="00A92D87">
      <w:pPr>
        <w:spacing w:after="200" w:line="240" w:lineRule="auto"/>
        <w:rPr>
          <w:rFonts w:eastAsia="Calibri" w:cs="Times New Roman"/>
          <w:b/>
        </w:rPr>
      </w:pPr>
      <w:r w:rsidRPr="001B34D0">
        <w:rPr>
          <w:rFonts w:eastAsia="Calibri" w:cs="Times New Roman"/>
          <w:b/>
        </w:rPr>
        <w:t xml:space="preserve">Gráfico: </w:t>
      </w:r>
    </w:p>
    <w:p w:rsidR="00982E3B" w:rsidRPr="001B34D0" w:rsidRDefault="00982E3B" w:rsidP="00A92D87">
      <w:pPr>
        <w:spacing w:after="200" w:line="240" w:lineRule="auto"/>
        <w:rPr>
          <w:rFonts w:eastAsia="Calibri" w:cs="Times New Roman"/>
          <w:b/>
        </w:rPr>
      </w:pPr>
      <w:r w:rsidRPr="001B34D0">
        <w:rPr>
          <w:rFonts w:eastAsia="Calibri" w:cs="Times New Roman"/>
          <w:noProof/>
          <w:lang w:val="es-ES" w:eastAsia="es-ES"/>
        </w:rPr>
        <w:drawing>
          <wp:inline distT="0" distB="0" distL="0" distR="0">
            <wp:extent cx="5808345" cy="1864360"/>
            <wp:effectExtent l="0" t="0" r="1905" b="2540"/>
            <wp:docPr id="35"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82E3B" w:rsidRPr="001B34D0" w:rsidRDefault="00982E3B" w:rsidP="00A92D87">
      <w:pPr>
        <w:numPr>
          <w:ilvl w:val="0"/>
          <w:numId w:val="1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91% de los casos presentados de homicidios son hombres , en el periodo comprendido entre los años 2011-2014, el 54% de los homicidios se presentaron con arma de fuego y el 39% con arma blanca el 21%, principalmente bajo el contexto de violencia interpersonal riñas 28%, en horarios de la noche y madrugada los fines de semana. Espacialmente ubicados en la comuna 5, 4 y 8 y el corregimiento de catambuco.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8"/>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Insumos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82E3B" w:rsidRPr="001B34D0" w:rsidRDefault="00982E3B" w:rsidP="00A92D87">
      <w:pPr>
        <w:suppressAutoHyphens/>
        <w:spacing w:after="0" w:line="240" w:lineRule="auto"/>
        <w:ind w:left="1080"/>
        <w:contextualSpacing/>
        <w:rPr>
          <w:rFonts w:eastAsia="Times New Roman" w:cs="Times New Roman"/>
          <w:lang w:val="es-ES" w:eastAsia="ar-SA"/>
        </w:rPr>
      </w:pPr>
    </w:p>
    <w:p w:rsidR="00982E3B" w:rsidRPr="001B34D0" w:rsidRDefault="00982E3B" w:rsidP="00A92D87">
      <w:pPr>
        <w:numPr>
          <w:ilvl w:val="0"/>
          <w:numId w:val="1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Además de los indicadores, del análisis evolutivo de la violencia y de la distribución espacial geo referenciada que permite contar con información sectorizada y más exacta, de acuerdo a las doce comunas, setenta y seis (76) cuadrantes y diecisiete (17) corregimientos; en cada informe, se muestra una exposición del alto impacto de las Unidades de Policía Nacional,  en especial el de la Policía Metropolitana de Pasto, programas y actividades  que están a cargo de la Secretaria de Gobierno Municipal.</w:t>
      </w:r>
    </w:p>
    <w:p w:rsidR="00982E3B" w:rsidRPr="001B34D0" w:rsidRDefault="00982E3B" w:rsidP="00A92D87">
      <w:pPr>
        <w:numPr>
          <w:ilvl w:val="0"/>
          <w:numId w:val="1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Indicadores de homicidios confiables, destacando que a nivel de homicidios el año 2014, ha sido el año con menor número de casos en los doce años de monitoreo y para el caso de menores de 17 años presenta una tasa de 4 x 100000 habitantes, bajando 2 puntos en la tasa con respecto al año 2013.</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En el periodo analizado 2011- 2014 se evidencia que las comunas con mayor problemática en lesiones fatales son las comunas 4, 5, 8 y en el corregimiento de Catambuco, con referente en la población masculina los cuales están más expuestos en este evento, hay que hacer énfasis en el trabajo de tolerancia y sana convivencia.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pBdr>
          <w:top w:val="single" w:sz="4" w:space="10" w:color="4F81BD"/>
          <w:bottom w:val="single" w:sz="4" w:space="10" w:color="4F81BD"/>
        </w:pBdr>
        <w:spacing w:before="360" w:after="360" w:line="240" w:lineRule="auto"/>
        <w:ind w:left="864" w:right="864"/>
        <w:jc w:val="center"/>
        <w:rPr>
          <w:rFonts w:eastAsia="Calibri" w:cs="Times New Roman"/>
          <w:b/>
          <w:i/>
          <w:iCs/>
        </w:rPr>
      </w:pPr>
      <w:r w:rsidRPr="001B34D0">
        <w:rPr>
          <w:rFonts w:eastAsia="Calibri" w:cs="Times New Roman"/>
          <w:b/>
          <w:i/>
          <w:iCs/>
        </w:rPr>
        <w:t>DESCRIPCIÓN DEL INDICADOR No. 74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579"/>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579"/>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Tasa de suicidios en niños, niñas y adolescentes</w:t>
            </w:r>
          </w:p>
        </w:tc>
      </w:tr>
      <w:tr w:rsidR="00982E3B" w:rsidRPr="001B34D0" w:rsidTr="00000F81">
        <w:trPr>
          <w:trHeight w:val="332"/>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458"/>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982E3B" w:rsidRPr="001B34D0" w:rsidRDefault="00982E3B" w:rsidP="00A92D87">
      <w:pPr>
        <w:suppressAutoHyphens/>
        <w:spacing w:after="0" w:line="240" w:lineRule="auto"/>
        <w:ind w:left="720"/>
        <w:contextualSpacing/>
        <w:rPr>
          <w:rFonts w:eastAsia="Times New Roman" w:cs="Times New Roman"/>
          <w:b/>
          <w:lang w:val="es-ES" w:eastAsia="ar-SA"/>
        </w:rPr>
      </w:pPr>
    </w:p>
    <w:p w:rsidR="00982E3B" w:rsidRPr="001B34D0" w:rsidRDefault="00982E3B" w:rsidP="00A92D87">
      <w:pPr>
        <w:numPr>
          <w:ilvl w:val="0"/>
          <w:numId w:val="19"/>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982E3B" w:rsidRPr="001B34D0" w:rsidRDefault="00982E3B"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982E3B" w:rsidRPr="001B34D0" w:rsidTr="00000F81">
        <w:tc>
          <w:tcPr>
            <w:tcW w:w="219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982E3B" w:rsidRPr="001B34D0" w:rsidTr="00000F81">
        <w:tc>
          <w:tcPr>
            <w:tcW w:w="2196" w:type="dxa"/>
            <w:shd w:val="clear" w:color="auto" w:fill="auto"/>
          </w:tcPr>
          <w:p w:rsidR="00982E3B" w:rsidRPr="001B34D0" w:rsidRDefault="00982E3B" w:rsidP="00A92D87">
            <w:pPr>
              <w:spacing w:after="0" w:line="240" w:lineRule="auto"/>
              <w:rPr>
                <w:rFonts w:eastAsia="Calibri" w:cs="Times New Roman"/>
                <w:lang w:eastAsia="es-CO"/>
              </w:rPr>
            </w:pPr>
            <w:r w:rsidRPr="001B34D0">
              <w:rPr>
                <w:rFonts w:eastAsia="Calibri" w:cs="Times New Roman"/>
                <w:lang w:eastAsia="es-CO"/>
              </w:rPr>
              <w:t>Tasa de suicidios en niños, niñas y adolescentes</w:t>
            </w:r>
          </w:p>
        </w:tc>
        <w:tc>
          <w:tcPr>
            <w:tcW w:w="1765"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4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4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5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3 x 100000 Hbts</w:t>
            </w:r>
          </w:p>
        </w:tc>
      </w:tr>
      <w:tr w:rsidR="00982E3B" w:rsidRPr="001B34D0" w:rsidTr="00000F81">
        <w:tc>
          <w:tcPr>
            <w:tcW w:w="9259" w:type="dxa"/>
            <w:gridSpan w:val="5"/>
            <w:shd w:val="clear" w:color="auto" w:fill="auto"/>
          </w:tcPr>
          <w:p w:rsidR="00982E3B" w:rsidRPr="001B34D0" w:rsidRDefault="00982E3B"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982E3B" w:rsidRPr="001B34D0" w:rsidRDefault="00982E3B" w:rsidP="00A92D87">
      <w:pPr>
        <w:spacing w:after="200" w:line="240" w:lineRule="auto"/>
        <w:rPr>
          <w:rFonts w:eastAsia="Calibri" w:cs="Times New Roman"/>
        </w:rPr>
      </w:pPr>
    </w:p>
    <w:p w:rsidR="00982E3B" w:rsidRPr="001B34D0" w:rsidRDefault="00982E3B" w:rsidP="00A92D87">
      <w:pPr>
        <w:spacing w:after="200" w:line="240" w:lineRule="auto"/>
        <w:rPr>
          <w:rFonts w:eastAsia="Calibri" w:cs="Times New Roman"/>
          <w:b/>
        </w:rPr>
      </w:pPr>
      <w:r w:rsidRPr="001B34D0">
        <w:rPr>
          <w:rFonts w:eastAsia="Calibri" w:cs="Times New Roman"/>
          <w:b/>
        </w:rPr>
        <w:t xml:space="preserve">Gráfico: </w:t>
      </w:r>
    </w:p>
    <w:p w:rsidR="00982E3B" w:rsidRPr="001B34D0" w:rsidRDefault="00982E3B" w:rsidP="00A92D87">
      <w:pPr>
        <w:spacing w:after="200" w:line="240" w:lineRule="auto"/>
        <w:rPr>
          <w:rFonts w:eastAsia="Calibri" w:cs="Times New Roman"/>
          <w:b/>
        </w:rPr>
      </w:pPr>
      <w:r w:rsidRPr="001B34D0">
        <w:rPr>
          <w:rFonts w:eastAsia="Calibri" w:cs="Times New Roman"/>
          <w:noProof/>
          <w:lang w:val="es-ES" w:eastAsia="es-ES"/>
        </w:rPr>
        <w:drawing>
          <wp:inline distT="0" distB="0" distL="0" distR="0">
            <wp:extent cx="5521960" cy="1529715"/>
            <wp:effectExtent l="0" t="0" r="2540" b="13335"/>
            <wp:docPr id="36"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2E3B" w:rsidRPr="001B34D0" w:rsidRDefault="00982E3B" w:rsidP="00A92D87">
      <w:pPr>
        <w:numPr>
          <w:ilvl w:val="0"/>
          <w:numId w:val="19"/>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75% de los casos presentados de suicidios son hombres, el factor desencadenante de este evento es el conflicto con la pareja, otro tipo de eventos como depresión y en la mayoría de los casos se desconoce las causas de esta decisión, donde el medio más utilizado es el ahorcamiento y la intoxicación.</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9"/>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Insumos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82E3B" w:rsidRPr="001B34D0" w:rsidRDefault="00982E3B" w:rsidP="00A92D87">
      <w:pPr>
        <w:suppressAutoHyphens/>
        <w:spacing w:after="0" w:line="240" w:lineRule="auto"/>
        <w:ind w:left="1080"/>
        <w:contextualSpacing/>
        <w:rPr>
          <w:rFonts w:eastAsia="Times New Roman" w:cs="Times New Roman"/>
          <w:lang w:val="es-ES" w:eastAsia="ar-SA"/>
        </w:rPr>
      </w:pPr>
    </w:p>
    <w:p w:rsidR="00982E3B" w:rsidRPr="001B34D0" w:rsidRDefault="00982E3B" w:rsidP="00A92D87">
      <w:pPr>
        <w:numPr>
          <w:ilvl w:val="0"/>
          <w:numId w:val="19"/>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982E3B" w:rsidRPr="001B34D0" w:rsidRDefault="00982E3B" w:rsidP="00A92D87">
      <w:pPr>
        <w:spacing w:after="200" w:line="240" w:lineRule="auto"/>
        <w:ind w:left="360"/>
        <w:jc w:val="both"/>
        <w:rPr>
          <w:rFonts w:eastAsia="Calibri" w:cs="Times New Roman"/>
          <w:b/>
        </w:rPr>
      </w:pPr>
      <w:r w:rsidRPr="001B34D0">
        <w:rPr>
          <w:rFonts w:eastAsia="Calibri" w:cs="Times New Roman"/>
        </w:rPr>
        <w:t xml:space="preserve">Este hecho social, se sabe que va en aumento,  de hecho un estudio de esta clase, muestra no solo quien está como representante y que propuestas deben cambiar, “Según la OMS, en el 2020 aproximadamente 1,53 millones de personas se suicidarán y de 10 a 20 veces más lo intentarán”. En esta región del sur de Colombia se han venido presentando tasas de suicidios que llegan a superar en varias veces el </w:t>
      </w:r>
      <w:r w:rsidR="007E5119" w:rsidRPr="001B34D0">
        <w:rPr>
          <w:rFonts w:eastAsia="Calibri" w:cs="Times New Roman"/>
        </w:rPr>
        <w:t>promedio Nacional</w:t>
      </w:r>
      <w:r w:rsidRPr="001B34D0">
        <w:rPr>
          <w:rFonts w:eastAsia="Calibri" w:cs="Times New Roman"/>
        </w:rPr>
        <w:t>.</w:t>
      </w:r>
    </w:p>
    <w:p w:rsidR="00982E3B" w:rsidRPr="001B34D0" w:rsidRDefault="00982E3B" w:rsidP="00A92D87">
      <w:pPr>
        <w:numPr>
          <w:ilvl w:val="0"/>
          <w:numId w:val="19"/>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lastRenderedPageBreak/>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9"/>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ámbito de enfermedades psicológicas se puede ver que son una de las causas  más importantes o con mayor relevancia, ya que esta población se ha ido incrementando en la ciudad de Pasto, en una mayor medida, la depresión. La vida de los jóvenes está cambiando constantemente y se enfrentan a un sin número de problemas y dificultades los cuales no todos los asumen de la misma manera.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Se conoce que el alcoholismo, conlleva a tomar decisiones a la carrera, puesto que en este estado se cambia de ánimo con facilidad, además que el cerebro no funciona de la misma manera, que sin alcohol, y se descontrola el sistema nervioso central. Se habla de este factos puesto que se conoce que en Pasto los días viernes son espacios para el encuentro popular, en sitios de expendio de bebidas con alcohol.</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19"/>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982E3B"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9225DA" w:rsidRPr="001B34D0" w:rsidRDefault="009225DA" w:rsidP="009225DA">
      <w:pPr>
        <w:spacing w:after="0" w:line="240" w:lineRule="auto"/>
        <w:ind w:left="1440"/>
        <w:contextualSpacing/>
        <w:rPr>
          <w:rFonts w:eastAsia="Times New Roman" w:cs="Times New Roman"/>
          <w:lang w:val="es-ES" w:eastAsia="ar-SA"/>
        </w:rPr>
      </w:pPr>
    </w:p>
    <w:p w:rsidR="00982E3B" w:rsidRPr="001B34D0" w:rsidRDefault="00982E3B" w:rsidP="00A92D87">
      <w:pPr>
        <w:numPr>
          <w:ilvl w:val="0"/>
          <w:numId w:val="19"/>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Aparentemente, las estadísticas nos revelan una tendencia al aumento de la frecuencia de los suicidios en los períodos de crisis económica. Lo que le interesa por encima de todo, al extremo de obsesionarlo, es en efecto la crisis de la sociedad moderna que se define por la desintegración social y la debilidad de los vínculos que relacionan al individuo con la familia o con el grupo.</w:t>
      </w: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A92D87">
      <w:pPr>
        <w:numPr>
          <w:ilvl w:val="0"/>
          <w:numId w:val="19"/>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1B34D0">
        <w:rPr>
          <w:rFonts w:eastAsia="Calibri" w:cs="Times New Roman"/>
          <w:b/>
          <w:i/>
          <w:iCs/>
        </w:rPr>
        <w:lastRenderedPageBreak/>
        <w:t>DESCRIPCIÓN DEL INDICADOR No. 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361"/>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579"/>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Tasa de muertes por otros accidentes en niños, niñas y adolescentes</w:t>
            </w:r>
          </w:p>
        </w:tc>
      </w:tr>
      <w:tr w:rsidR="00982E3B" w:rsidRPr="001B34D0" w:rsidTr="00000F81">
        <w:trPr>
          <w:trHeight w:val="332"/>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458"/>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982E3B" w:rsidRPr="001B34D0" w:rsidRDefault="00982E3B" w:rsidP="00A92D87">
      <w:pPr>
        <w:suppressAutoHyphens/>
        <w:spacing w:after="0" w:line="240" w:lineRule="auto"/>
        <w:ind w:left="720"/>
        <w:contextualSpacing/>
        <w:rPr>
          <w:rFonts w:eastAsia="Times New Roman" w:cs="Times New Roman"/>
          <w:b/>
          <w:lang w:val="es-ES" w:eastAsia="ar-SA"/>
        </w:rPr>
      </w:pPr>
    </w:p>
    <w:p w:rsidR="00982E3B" w:rsidRPr="001B34D0" w:rsidRDefault="00982E3B" w:rsidP="00A92D87">
      <w:pPr>
        <w:numPr>
          <w:ilvl w:val="0"/>
          <w:numId w:val="20"/>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982E3B" w:rsidRPr="001B34D0" w:rsidRDefault="00982E3B" w:rsidP="00A92D87">
      <w:pPr>
        <w:suppressAutoHyphens/>
        <w:spacing w:after="0" w:line="240" w:lineRule="auto"/>
        <w:ind w:left="1080"/>
        <w:contextualSpacing/>
        <w:rPr>
          <w:rFonts w:eastAsia="Times New Roman" w:cs="Times New Roman"/>
          <w:b/>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9"/>
        <w:gridCol w:w="1723"/>
        <w:gridCol w:w="1724"/>
        <w:gridCol w:w="1724"/>
        <w:gridCol w:w="1724"/>
      </w:tblGrid>
      <w:tr w:rsidR="00982E3B" w:rsidRPr="001B34D0" w:rsidTr="00000F81">
        <w:tc>
          <w:tcPr>
            <w:tcW w:w="219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982E3B" w:rsidRPr="001B34D0" w:rsidTr="00000F81">
        <w:tc>
          <w:tcPr>
            <w:tcW w:w="2196" w:type="dxa"/>
            <w:shd w:val="clear" w:color="auto" w:fill="auto"/>
          </w:tcPr>
          <w:p w:rsidR="00982E3B" w:rsidRPr="001B34D0" w:rsidRDefault="00982E3B" w:rsidP="00A92D87">
            <w:pPr>
              <w:spacing w:after="0" w:line="240" w:lineRule="auto"/>
              <w:rPr>
                <w:rFonts w:eastAsia="Calibri" w:cs="Times New Roman"/>
                <w:lang w:eastAsia="es-CO"/>
              </w:rPr>
            </w:pPr>
            <w:r w:rsidRPr="001B34D0">
              <w:rPr>
                <w:rFonts w:eastAsia="Calibri" w:cs="Times New Roman"/>
                <w:lang w:eastAsia="es-CO"/>
              </w:rPr>
              <w:t>Tasa de muertes por otros accidentes en niños, niñas y adolescentes</w:t>
            </w:r>
          </w:p>
        </w:tc>
        <w:tc>
          <w:tcPr>
            <w:tcW w:w="1765"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6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4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9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6 x 100000 Hbts</w:t>
            </w:r>
          </w:p>
        </w:tc>
      </w:tr>
      <w:tr w:rsidR="00982E3B" w:rsidRPr="001B34D0" w:rsidTr="00000F81">
        <w:tc>
          <w:tcPr>
            <w:tcW w:w="9259" w:type="dxa"/>
            <w:gridSpan w:val="5"/>
            <w:shd w:val="clear" w:color="auto" w:fill="auto"/>
          </w:tcPr>
          <w:p w:rsidR="00982E3B" w:rsidRPr="001B34D0" w:rsidRDefault="00982E3B"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982E3B" w:rsidRPr="001B34D0" w:rsidRDefault="00982E3B" w:rsidP="00A92D87">
      <w:pPr>
        <w:spacing w:after="200" w:line="240" w:lineRule="auto"/>
        <w:rPr>
          <w:rFonts w:eastAsia="Calibri" w:cs="Times New Roman"/>
        </w:rPr>
      </w:pPr>
    </w:p>
    <w:p w:rsidR="00982E3B" w:rsidRPr="001B34D0" w:rsidRDefault="00982E3B" w:rsidP="00A92D87">
      <w:pPr>
        <w:spacing w:after="200" w:line="240" w:lineRule="auto"/>
        <w:rPr>
          <w:rFonts w:eastAsia="Calibri" w:cs="Times New Roman"/>
          <w:b/>
        </w:rPr>
      </w:pPr>
      <w:r w:rsidRPr="001B34D0">
        <w:rPr>
          <w:rFonts w:eastAsia="Calibri" w:cs="Times New Roman"/>
          <w:b/>
        </w:rPr>
        <w:t xml:space="preserve">Gráfico: </w:t>
      </w:r>
    </w:p>
    <w:p w:rsidR="00982E3B" w:rsidRPr="001B34D0" w:rsidRDefault="00982E3B" w:rsidP="00A92D87">
      <w:pPr>
        <w:spacing w:after="200" w:line="240" w:lineRule="auto"/>
        <w:rPr>
          <w:rFonts w:eastAsia="Calibri" w:cs="Times New Roman"/>
          <w:b/>
        </w:rPr>
      </w:pPr>
      <w:r w:rsidRPr="001B34D0">
        <w:rPr>
          <w:rFonts w:eastAsia="Calibri" w:cs="Times New Roman"/>
          <w:noProof/>
          <w:lang w:val="es-ES" w:eastAsia="es-ES"/>
        </w:rPr>
        <w:drawing>
          <wp:inline distT="0" distB="0" distL="0" distR="0">
            <wp:extent cx="5618480" cy="2301240"/>
            <wp:effectExtent l="0" t="0" r="1270" b="3810"/>
            <wp:docPr id="37"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82E3B" w:rsidRPr="001B34D0" w:rsidRDefault="00982E3B" w:rsidP="00A92D87">
      <w:pPr>
        <w:numPr>
          <w:ilvl w:val="0"/>
          <w:numId w:val="2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tbl>
      <w:tblPr>
        <w:tblW w:w="5091" w:type="pct"/>
        <w:tblCellMar>
          <w:left w:w="70" w:type="dxa"/>
          <w:right w:w="70" w:type="dxa"/>
        </w:tblCellMar>
        <w:tblLook w:val="04A0"/>
      </w:tblPr>
      <w:tblGrid>
        <w:gridCol w:w="3341"/>
        <w:gridCol w:w="811"/>
        <w:gridCol w:w="762"/>
        <w:gridCol w:w="647"/>
        <w:gridCol w:w="762"/>
        <w:gridCol w:w="647"/>
        <w:gridCol w:w="762"/>
        <w:gridCol w:w="647"/>
        <w:gridCol w:w="762"/>
      </w:tblGrid>
      <w:tr w:rsidR="00982E3B" w:rsidRPr="001B34D0" w:rsidTr="00000F81">
        <w:trPr>
          <w:trHeight w:val="300"/>
        </w:trPr>
        <w:tc>
          <w:tcPr>
            <w:tcW w:w="18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rPr>
                <w:rFonts w:eastAsia="Times New Roman" w:cs="Arial"/>
                <w:b/>
                <w:lang w:eastAsia="es-CO"/>
              </w:rPr>
            </w:pPr>
            <w:r w:rsidRPr="001B34D0">
              <w:rPr>
                <w:rFonts w:eastAsia="Times New Roman" w:cs="Arial"/>
                <w:b/>
                <w:lang w:eastAsia="es-CO"/>
              </w:rPr>
              <w:t>LESION FATAL</w:t>
            </w:r>
          </w:p>
        </w:tc>
        <w:tc>
          <w:tcPr>
            <w:tcW w:w="44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2011</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TASA</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2012</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TASA</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2013</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TASA</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2014</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TASA</w:t>
            </w:r>
          </w:p>
        </w:tc>
      </w:tr>
      <w:tr w:rsidR="00982E3B" w:rsidRPr="001B34D0" w:rsidTr="00000F81">
        <w:trPr>
          <w:trHeight w:val="300"/>
        </w:trPr>
        <w:tc>
          <w:tcPr>
            <w:tcW w:w="18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rPr>
                <w:rFonts w:eastAsia="Times New Roman" w:cs="Arial"/>
                <w:lang w:eastAsia="es-CO"/>
              </w:rPr>
            </w:pPr>
            <w:r w:rsidRPr="001B34D0">
              <w:rPr>
                <w:rFonts w:eastAsia="Times New Roman" w:cs="Arial"/>
                <w:lang w:eastAsia="es-CO"/>
              </w:rPr>
              <w:t>Otras Muertes No Intencionales</w:t>
            </w:r>
          </w:p>
        </w:tc>
        <w:tc>
          <w:tcPr>
            <w:tcW w:w="44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lang w:eastAsia="es-CO"/>
              </w:rPr>
            </w:pPr>
            <w:r w:rsidRPr="001B34D0">
              <w:rPr>
                <w:rFonts w:eastAsia="Times New Roman" w:cs="Arial"/>
                <w:lang w:eastAsia="es-CO"/>
              </w:rPr>
              <w:t>8</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lang w:eastAsia="es-CO"/>
              </w:rPr>
            </w:pPr>
            <w:r w:rsidRPr="001B34D0">
              <w:rPr>
                <w:rFonts w:eastAsia="Times New Roman" w:cs="Arial"/>
                <w:lang w:eastAsia="es-CO"/>
              </w:rPr>
              <w:t>6</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lang w:eastAsia="es-CO"/>
              </w:rPr>
            </w:pPr>
            <w:r w:rsidRPr="001B34D0">
              <w:rPr>
                <w:rFonts w:eastAsia="Times New Roman" w:cs="Arial"/>
                <w:lang w:eastAsia="es-CO"/>
              </w:rPr>
              <w:t>5</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lang w:eastAsia="es-CO"/>
              </w:rPr>
            </w:pPr>
            <w:r w:rsidRPr="001B34D0">
              <w:rPr>
                <w:rFonts w:eastAsia="Times New Roman" w:cs="Arial"/>
                <w:lang w:eastAsia="es-CO"/>
              </w:rPr>
              <w:t>4</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lang w:eastAsia="es-CO"/>
              </w:rPr>
            </w:pPr>
            <w:r w:rsidRPr="001B34D0">
              <w:rPr>
                <w:rFonts w:eastAsia="Times New Roman" w:cs="Arial"/>
                <w:lang w:eastAsia="es-CO"/>
              </w:rPr>
              <w:t>11</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lang w:eastAsia="es-CO"/>
              </w:rPr>
            </w:pPr>
            <w:r w:rsidRPr="001B34D0">
              <w:rPr>
                <w:rFonts w:eastAsia="Times New Roman" w:cs="Arial"/>
                <w:lang w:eastAsia="es-CO"/>
              </w:rPr>
              <w:t>9</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lang w:eastAsia="es-CO"/>
              </w:rPr>
            </w:pPr>
            <w:r w:rsidRPr="001B34D0">
              <w:rPr>
                <w:rFonts w:eastAsia="Times New Roman" w:cs="Arial"/>
                <w:lang w:eastAsia="es-CO"/>
              </w:rPr>
              <w:t>8</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lang w:eastAsia="es-CO"/>
              </w:rPr>
            </w:pPr>
            <w:r w:rsidRPr="001B34D0">
              <w:rPr>
                <w:rFonts w:eastAsia="Times New Roman" w:cs="Arial"/>
                <w:lang w:eastAsia="es-CO"/>
              </w:rPr>
              <w:t>6</w:t>
            </w:r>
          </w:p>
        </w:tc>
      </w:tr>
    </w:tbl>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lastRenderedPageBreak/>
        <w:t>El 63% de los casos presentados de otras muertes no intencionales son hombres, el mecanismo de este tipo de muertes es la asfixia con los 56%, ocurridas principalmente en la casa.</w:t>
      </w:r>
    </w:p>
    <w:p w:rsidR="00982E3B" w:rsidRPr="001B34D0" w:rsidRDefault="00982E3B" w:rsidP="00A92D87">
      <w:pPr>
        <w:numPr>
          <w:ilvl w:val="0"/>
          <w:numId w:val="20"/>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Insumos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82E3B" w:rsidRPr="001B34D0" w:rsidRDefault="00982E3B" w:rsidP="00A92D87">
      <w:pPr>
        <w:suppressAutoHyphens/>
        <w:spacing w:after="0" w:line="240" w:lineRule="auto"/>
        <w:ind w:left="1080"/>
        <w:contextualSpacing/>
        <w:rPr>
          <w:rFonts w:eastAsia="Times New Roman" w:cs="Times New Roman"/>
          <w:lang w:val="es-ES" w:eastAsia="ar-SA"/>
        </w:rPr>
      </w:pPr>
    </w:p>
    <w:p w:rsidR="00982E3B" w:rsidRPr="001B34D0" w:rsidRDefault="00982E3B" w:rsidP="00A92D87">
      <w:pPr>
        <w:numPr>
          <w:ilvl w:val="0"/>
          <w:numId w:val="2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Desde la Secretaria de salud, se viene trabajando en acciones como IAMI, técnicas de lactancia dirigida a madres lactantes, los decretos de prohibición en expendio, distribución y consumo de pólvora y lo de riesgo en el ambiente laboral, por parte de la Secretaria de Gobierno en lo del Decreto 0240 del CECON, donde son medidas de conducción a personas en alto grado de alicoramiento y exaltación; el Decreto 0400, donde se protege a los menores que están en la vía publica después de las 10 de la noche.</w:t>
      </w:r>
    </w:p>
    <w:p w:rsidR="00982E3B" w:rsidRPr="001B34D0" w:rsidRDefault="00982E3B" w:rsidP="00A92D87">
      <w:pPr>
        <w:numPr>
          <w:ilvl w:val="0"/>
          <w:numId w:val="2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2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En término de otras muertes no intencionales en menores de 17 años se presenta una disminución de 3 puntos en la tasa para el año 2014.</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2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2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lastRenderedPageBreak/>
        <w:t>Es importante no descuidar las broncas aspiraciones, tanto en menores como en adultos en estos últimos por el consumo excesivo de alcohol.</w:t>
      </w: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A92D87">
      <w:pPr>
        <w:numPr>
          <w:ilvl w:val="0"/>
          <w:numId w:val="2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1B34D0">
        <w:rPr>
          <w:rFonts w:eastAsia="Calibri" w:cs="Times New Roman"/>
          <w:b/>
          <w:i/>
          <w:iCs/>
        </w:rPr>
        <w:t>DESCRIPCIÓN DEL INDICADOR No. 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579"/>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579"/>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Tasa de muertes por accidentes de tránsito en niños, niñas y adolescentes</w:t>
            </w:r>
          </w:p>
        </w:tc>
      </w:tr>
      <w:tr w:rsidR="00982E3B" w:rsidRPr="001B34D0" w:rsidTr="00000F81">
        <w:trPr>
          <w:trHeight w:val="332"/>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458"/>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982E3B" w:rsidRPr="001B34D0" w:rsidRDefault="00982E3B" w:rsidP="00A92D87">
      <w:pPr>
        <w:suppressAutoHyphens/>
        <w:spacing w:after="0" w:line="240" w:lineRule="auto"/>
        <w:ind w:left="720"/>
        <w:contextualSpacing/>
        <w:rPr>
          <w:rFonts w:eastAsia="Times New Roman" w:cs="Times New Roman"/>
          <w:b/>
          <w:lang w:val="es-ES" w:eastAsia="ar-SA"/>
        </w:rPr>
      </w:pPr>
    </w:p>
    <w:p w:rsidR="00982E3B" w:rsidRPr="001B34D0" w:rsidRDefault="00982E3B" w:rsidP="00A92D87">
      <w:pPr>
        <w:numPr>
          <w:ilvl w:val="0"/>
          <w:numId w:val="21"/>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982E3B" w:rsidRPr="001B34D0" w:rsidRDefault="00982E3B"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982E3B" w:rsidRPr="001B34D0" w:rsidTr="00000F81">
        <w:tc>
          <w:tcPr>
            <w:tcW w:w="219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982E3B" w:rsidRPr="001B34D0" w:rsidTr="00000F81">
        <w:tc>
          <w:tcPr>
            <w:tcW w:w="2196" w:type="dxa"/>
            <w:shd w:val="clear" w:color="auto" w:fill="auto"/>
          </w:tcPr>
          <w:p w:rsidR="00982E3B" w:rsidRPr="001B34D0" w:rsidRDefault="00982E3B" w:rsidP="00A92D87">
            <w:pPr>
              <w:spacing w:after="0" w:line="240" w:lineRule="auto"/>
              <w:rPr>
                <w:rFonts w:eastAsia="Calibri" w:cs="Times New Roman"/>
                <w:lang w:eastAsia="es-CO"/>
              </w:rPr>
            </w:pPr>
            <w:r w:rsidRPr="001B34D0">
              <w:rPr>
                <w:rFonts w:eastAsia="Calibri" w:cs="Times New Roman"/>
                <w:lang w:eastAsia="es-CO"/>
              </w:rPr>
              <w:t>Tasa de muertes por accidentes de tránsito en niños, niñas y adolescentes</w:t>
            </w:r>
          </w:p>
        </w:tc>
        <w:tc>
          <w:tcPr>
            <w:tcW w:w="1765"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2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5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4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2 x 100000 Hbts</w:t>
            </w:r>
          </w:p>
        </w:tc>
      </w:tr>
      <w:tr w:rsidR="00982E3B" w:rsidRPr="001B34D0" w:rsidTr="00000F81">
        <w:tc>
          <w:tcPr>
            <w:tcW w:w="9259" w:type="dxa"/>
            <w:gridSpan w:val="5"/>
            <w:shd w:val="clear" w:color="auto" w:fill="auto"/>
          </w:tcPr>
          <w:p w:rsidR="00982E3B" w:rsidRPr="001B34D0" w:rsidRDefault="00982E3B"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9225DA" w:rsidRDefault="009225DA" w:rsidP="00A92D87">
      <w:pPr>
        <w:spacing w:after="200" w:line="240" w:lineRule="auto"/>
        <w:rPr>
          <w:rFonts w:eastAsia="Calibri" w:cs="Times New Roman"/>
        </w:rPr>
      </w:pPr>
    </w:p>
    <w:p w:rsidR="009225DA" w:rsidRDefault="009225DA">
      <w:pPr>
        <w:rPr>
          <w:rFonts w:eastAsia="Calibri" w:cs="Times New Roman"/>
        </w:rPr>
      </w:pPr>
      <w:r>
        <w:rPr>
          <w:rFonts w:eastAsia="Calibri" w:cs="Times New Roman"/>
        </w:rPr>
        <w:br w:type="page"/>
      </w:r>
    </w:p>
    <w:p w:rsidR="00982E3B" w:rsidRPr="001B34D0" w:rsidRDefault="00982E3B" w:rsidP="00A92D87">
      <w:pPr>
        <w:spacing w:after="200" w:line="240" w:lineRule="auto"/>
        <w:rPr>
          <w:rFonts w:eastAsia="Calibri" w:cs="Times New Roman"/>
        </w:rPr>
      </w:pPr>
    </w:p>
    <w:p w:rsidR="00982E3B" w:rsidRPr="001B34D0" w:rsidRDefault="00982E3B" w:rsidP="00A92D87">
      <w:pPr>
        <w:spacing w:after="200" w:line="240" w:lineRule="auto"/>
        <w:rPr>
          <w:rFonts w:eastAsia="Calibri" w:cs="Times New Roman"/>
          <w:b/>
        </w:rPr>
      </w:pPr>
      <w:r w:rsidRPr="001B34D0">
        <w:rPr>
          <w:rFonts w:eastAsia="Calibri" w:cs="Times New Roman"/>
          <w:b/>
        </w:rPr>
        <w:t xml:space="preserve">Gráfico: </w:t>
      </w:r>
    </w:p>
    <w:p w:rsidR="00982E3B" w:rsidRPr="001B34D0" w:rsidRDefault="00982E3B" w:rsidP="00A92D87">
      <w:pPr>
        <w:spacing w:after="200" w:line="240" w:lineRule="auto"/>
        <w:rPr>
          <w:rFonts w:eastAsia="Calibri" w:cs="Times New Roman"/>
          <w:b/>
        </w:rPr>
      </w:pPr>
      <w:r w:rsidRPr="001B34D0">
        <w:rPr>
          <w:rFonts w:eastAsia="Calibri" w:cs="Times New Roman"/>
          <w:noProof/>
          <w:lang w:val="es-ES" w:eastAsia="es-ES"/>
        </w:rPr>
        <w:drawing>
          <wp:inline distT="0" distB="0" distL="0" distR="0">
            <wp:extent cx="5521960" cy="2133600"/>
            <wp:effectExtent l="0" t="0" r="2540" b="0"/>
            <wp:docPr id="38" name="Grá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82E3B" w:rsidRPr="001B34D0" w:rsidRDefault="00982E3B" w:rsidP="00A92D87">
      <w:pPr>
        <w:numPr>
          <w:ilvl w:val="0"/>
          <w:numId w:val="21"/>
        </w:numPr>
        <w:spacing w:after="0" w:line="240" w:lineRule="auto"/>
        <w:ind w:left="360"/>
        <w:contextualSpacing/>
        <w:jc w:val="both"/>
        <w:rPr>
          <w:rFonts w:eastAsia="Times New Roman" w:cs="Times New Roman"/>
          <w:b/>
          <w:lang w:val="es-ES" w:eastAsia="ar-SA"/>
        </w:rPr>
      </w:pPr>
      <w:r w:rsidRPr="001B34D0">
        <w:rPr>
          <w:rFonts w:eastAsia="Times New Roman" w:cs="Times New Roman"/>
          <w:b/>
          <w:lang w:val="es-ES" w:eastAsia="ar-SA"/>
        </w:rPr>
        <w:t>Situación detectada</w:t>
      </w:r>
    </w:p>
    <w:tbl>
      <w:tblPr>
        <w:tblW w:w="5317" w:type="pct"/>
        <w:tblCellMar>
          <w:left w:w="70" w:type="dxa"/>
          <w:right w:w="70" w:type="dxa"/>
        </w:tblCellMar>
        <w:tblLook w:val="04A0"/>
      </w:tblPr>
      <w:tblGrid>
        <w:gridCol w:w="3575"/>
        <w:gridCol w:w="685"/>
        <w:gridCol w:w="808"/>
        <w:gridCol w:w="685"/>
        <w:gridCol w:w="808"/>
        <w:gridCol w:w="685"/>
        <w:gridCol w:w="808"/>
        <w:gridCol w:w="685"/>
        <w:gridCol w:w="808"/>
      </w:tblGrid>
      <w:tr w:rsidR="00982E3B" w:rsidRPr="001B34D0" w:rsidTr="00000F81">
        <w:trPr>
          <w:trHeight w:val="300"/>
        </w:trPr>
        <w:tc>
          <w:tcPr>
            <w:tcW w:w="18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rPr>
                <w:rFonts w:eastAsia="Times New Roman" w:cs="Arial"/>
                <w:b/>
                <w:lang w:eastAsia="es-CO"/>
              </w:rPr>
            </w:pPr>
            <w:r w:rsidRPr="001B34D0">
              <w:rPr>
                <w:rFonts w:eastAsia="Times New Roman" w:cs="Arial"/>
                <w:b/>
                <w:lang w:eastAsia="es-CO"/>
              </w:rPr>
              <w:t>LESION FATAL</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2011</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TASA</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2012</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TASA</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2013</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TASA</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2014</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0" w:line="240" w:lineRule="auto"/>
              <w:jc w:val="center"/>
              <w:rPr>
                <w:rFonts w:eastAsia="Times New Roman" w:cs="Arial"/>
                <w:b/>
                <w:lang w:eastAsia="es-CO"/>
              </w:rPr>
            </w:pPr>
            <w:r w:rsidRPr="001B34D0">
              <w:rPr>
                <w:rFonts w:eastAsia="Times New Roman" w:cs="Arial"/>
                <w:b/>
                <w:lang w:eastAsia="es-CO"/>
              </w:rPr>
              <w:t>TASA</w:t>
            </w:r>
          </w:p>
        </w:tc>
      </w:tr>
      <w:tr w:rsidR="00982E3B" w:rsidRPr="001B34D0" w:rsidTr="00000F81">
        <w:trPr>
          <w:trHeight w:val="281"/>
        </w:trPr>
        <w:tc>
          <w:tcPr>
            <w:tcW w:w="18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82E3B" w:rsidRPr="001B34D0" w:rsidRDefault="00982E3B" w:rsidP="00A92D87">
            <w:pPr>
              <w:spacing w:after="200" w:line="240" w:lineRule="auto"/>
              <w:rPr>
                <w:rFonts w:eastAsia="Calibri" w:cs="Arial"/>
              </w:rPr>
            </w:pPr>
            <w:r w:rsidRPr="001B34D0">
              <w:rPr>
                <w:rFonts w:eastAsia="Calibri" w:cs="Arial"/>
              </w:rPr>
              <w:t>TRANSITO</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200" w:line="240" w:lineRule="auto"/>
              <w:jc w:val="center"/>
              <w:rPr>
                <w:rFonts w:eastAsia="Calibri" w:cs="Arial"/>
              </w:rPr>
            </w:pPr>
            <w:r w:rsidRPr="001B34D0">
              <w:rPr>
                <w:rFonts w:eastAsia="Calibri" w:cs="Arial"/>
              </w:rPr>
              <w:t>3</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200" w:line="240" w:lineRule="auto"/>
              <w:jc w:val="center"/>
              <w:rPr>
                <w:rFonts w:eastAsia="Calibri" w:cs="Arial"/>
              </w:rPr>
            </w:pPr>
            <w:r w:rsidRPr="001B34D0">
              <w:rPr>
                <w:rFonts w:eastAsia="Calibri" w:cs="Arial"/>
              </w:rPr>
              <w:t>2</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200" w:line="240" w:lineRule="auto"/>
              <w:jc w:val="center"/>
              <w:rPr>
                <w:rFonts w:eastAsia="Calibri" w:cs="Arial"/>
              </w:rPr>
            </w:pPr>
            <w:r w:rsidRPr="001B34D0">
              <w:rPr>
                <w:rFonts w:eastAsia="Calibri" w:cs="Arial"/>
              </w:rPr>
              <w:t>6</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200" w:line="240" w:lineRule="auto"/>
              <w:jc w:val="center"/>
              <w:rPr>
                <w:rFonts w:eastAsia="Calibri" w:cs="Arial"/>
              </w:rPr>
            </w:pPr>
            <w:r w:rsidRPr="001B34D0">
              <w:rPr>
                <w:rFonts w:eastAsia="Calibri" w:cs="Arial"/>
              </w:rPr>
              <w:t>5</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200" w:line="240" w:lineRule="auto"/>
              <w:jc w:val="center"/>
              <w:rPr>
                <w:rFonts w:eastAsia="Calibri" w:cs="Arial"/>
              </w:rPr>
            </w:pPr>
            <w:r w:rsidRPr="001B34D0">
              <w:rPr>
                <w:rFonts w:eastAsia="Calibri" w:cs="Arial"/>
              </w:rPr>
              <w:t>5</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200" w:line="240" w:lineRule="auto"/>
              <w:jc w:val="center"/>
              <w:rPr>
                <w:rFonts w:eastAsia="Calibri" w:cs="Arial"/>
              </w:rPr>
            </w:pPr>
            <w:r w:rsidRPr="001B34D0">
              <w:rPr>
                <w:rFonts w:eastAsia="Calibri" w:cs="Arial"/>
              </w:rPr>
              <w:t>4</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200" w:line="240" w:lineRule="auto"/>
              <w:jc w:val="center"/>
              <w:rPr>
                <w:rFonts w:eastAsia="Calibri" w:cs="Arial"/>
              </w:rPr>
            </w:pPr>
            <w:r w:rsidRPr="001B34D0">
              <w:rPr>
                <w:rFonts w:eastAsia="Calibri" w:cs="Arial"/>
              </w:rPr>
              <w:t>2</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982E3B" w:rsidRPr="001B34D0" w:rsidRDefault="00982E3B" w:rsidP="00A92D87">
            <w:pPr>
              <w:spacing w:after="200" w:line="240" w:lineRule="auto"/>
              <w:jc w:val="center"/>
              <w:rPr>
                <w:rFonts w:eastAsia="Calibri" w:cs="Arial"/>
              </w:rPr>
            </w:pPr>
            <w:r w:rsidRPr="001B34D0">
              <w:rPr>
                <w:rFonts w:eastAsia="Calibri" w:cs="Arial"/>
              </w:rPr>
              <w:t>2</w:t>
            </w:r>
          </w:p>
        </w:tc>
      </w:tr>
    </w:tbl>
    <w:p w:rsidR="009225DA" w:rsidRDefault="009225DA" w:rsidP="00A92D87">
      <w:pPr>
        <w:spacing w:after="200" w:line="240" w:lineRule="auto"/>
        <w:ind w:left="360"/>
        <w:jc w:val="both"/>
        <w:rPr>
          <w:rFonts w:eastAsia="Calibri" w:cs="Times New Roman"/>
        </w:rPr>
      </w:pP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 xml:space="preserve">El 76% de los casos presentados de muertes por accidentes de tránsito son hombres, en el 43% de las muertes están involucradas las motocicletas y el 36% son peatones, se presentan generalmente los fines de semana. </w:t>
      </w:r>
    </w:p>
    <w:p w:rsidR="00982E3B" w:rsidRPr="001B34D0" w:rsidRDefault="00982E3B" w:rsidP="00A92D87">
      <w:pPr>
        <w:numPr>
          <w:ilvl w:val="0"/>
          <w:numId w:val="2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Insumos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82E3B" w:rsidRPr="001B34D0" w:rsidRDefault="00982E3B" w:rsidP="00A92D87">
      <w:pPr>
        <w:suppressAutoHyphens/>
        <w:spacing w:after="0" w:line="240" w:lineRule="auto"/>
        <w:ind w:left="1080"/>
        <w:contextualSpacing/>
        <w:rPr>
          <w:rFonts w:eastAsia="Times New Roman" w:cs="Times New Roman"/>
          <w:lang w:val="es-ES" w:eastAsia="ar-SA"/>
        </w:rPr>
      </w:pPr>
    </w:p>
    <w:p w:rsidR="00982E3B" w:rsidRPr="001B34D0" w:rsidRDefault="00982E3B" w:rsidP="00A92D87">
      <w:pPr>
        <w:numPr>
          <w:ilvl w:val="0"/>
          <w:numId w:val="2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982E3B" w:rsidRPr="001B34D0" w:rsidRDefault="00982E3B" w:rsidP="00A92D87">
      <w:pPr>
        <w:spacing w:after="200" w:line="240" w:lineRule="auto"/>
        <w:ind w:left="360"/>
        <w:jc w:val="both"/>
        <w:rPr>
          <w:rFonts w:eastAsia="Calibri" w:cs="Times New Roman"/>
          <w:b/>
        </w:rPr>
      </w:pPr>
      <w:r w:rsidRPr="001B34D0">
        <w:rPr>
          <w:rFonts w:eastAsia="Calibri" w:cs="Times New Roman"/>
        </w:rPr>
        <w:t>Campañas de prevención y control por parte de la Secretaria de Tránsito y transporte y Policía de carreteras en la parte rural del Municipio.</w:t>
      </w:r>
    </w:p>
    <w:p w:rsidR="00982E3B" w:rsidRPr="001B34D0" w:rsidRDefault="00982E3B" w:rsidP="00A92D87">
      <w:pPr>
        <w:numPr>
          <w:ilvl w:val="0"/>
          <w:numId w:val="2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2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lastRenderedPageBreak/>
        <w:t xml:space="preserve">Resultados al término de la gestión  (2012 -2014)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En término de resultados en menores de 17 años el año 2014, es el que presenta mayor reducción tanto en el número de casos como en tasa por 100.000 habitantes.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2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2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Tener en cuenta los peatones y los motociclistas, ya que son los más afectados en este tipo de muertes.</w:t>
      </w: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A92D87">
      <w:pPr>
        <w:numPr>
          <w:ilvl w:val="0"/>
          <w:numId w:val="21"/>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9225DA" w:rsidRDefault="009225DA" w:rsidP="0090015F">
      <w:pPr>
        <w:pStyle w:val="Ttulo2"/>
        <w:rPr>
          <w:rFonts w:asciiTheme="minorHAnsi" w:hAnsiTheme="minorHAnsi"/>
          <w:color w:val="auto"/>
          <w:sz w:val="22"/>
          <w:szCs w:val="22"/>
        </w:rPr>
      </w:pPr>
      <w:bookmarkStart w:id="114" w:name="_Toc437376059"/>
    </w:p>
    <w:p w:rsidR="00982E3B" w:rsidRPr="009225DA" w:rsidRDefault="0090015F" w:rsidP="0090015F">
      <w:pPr>
        <w:pStyle w:val="Ttulo2"/>
        <w:rPr>
          <w:rFonts w:asciiTheme="minorHAnsi" w:hAnsiTheme="minorHAnsi"/>
          <w:color w:val="auto"/>
          <w:sz w:val="22"/>
          <w:szCs w:val="22"/>
        </w:rPr>
      </w:pPr>
      <w:r w:rsidRPr="009225DA">
        <w:rPr>
          <w:rFonts w:asciiTheme="minorHAnsi" w:hAnsiTheme="minorHAnsi"/>
          <w:color w:val="auto"/>
          <w:sz w:val="22"/>
          <w:szCs w:val="22"/>
        </w:rPr>
        <w:t xml:space="preserve">6.2.2 </w:t>
      </w:r>
      <w:r w:rsidR="00982E3B" w:rsidRPr="009225DA">
        <w:rPr>
          <w:rFonts w:asciiTheme="minorHAnsi" w:hAnsiTheme="minorHAnsi"/>
          <w:color w:val="auto"/>
          <w:sz w:val="22"/>
          <w:szCs w:val="22"/>
        </w:rPr>
        <w:t>CATEGORÍA DE DERECHOS AL DESARROLLO</w:t>
      </w:r>
      <w:bookmarkEnd w:id="114"/>
    </w:p>
    <w:p w:rsidR="00982E3B" w:rsidRPr="001B34D0" w:rsidRDefault="00982E3B" w:rsidP="00A92D87">
      <w:pPr>
        <w:spacing w:line="240" w:lineRule="auto"/>
        <w:jc w:val="both"/>
        <w:rPr>
          <w:b/>
        </w:rPr>
      </w:pPr>
    </w:p>
    <w:p w:rsidR="00982E3B" w:rsidRPr="001B34D0" w:rsidRDefault="00982E3B" w:rsidP="00A92D87">
      <w:pPr>
        <w:spacing w:line="240" w:lineRule="auto"/>
        <w:jc w:val="both"/>
        <w:rPr>
          <w:b/>
        </w:rPr>
      </w:pPr>
      <w:r w:rsidRPr="001B34D0">
        <w:rPr>
          <w:b/>
        </w:rPr>
        <w:t>Nombre del indicador: 62. Niveles de desempeño en las pruebas SABER grado 5°: lenguaje, matemáticas, ciencias naturales y competencias ciudadanas</w:t>
      </w:r>
    </w:p>
    <w:p w:rsidR="00982E3B" w:rsidRPr="001B34D0" w:rsidRDefault="00982E3B" w:rsidP="00A92D87">
      <w:pPr>
        <w:spacing w:line="240" w:lineRule="auto"/>
        <w:jc w:val="both"/>
      </w:pPr>
      <w:r w:rsidRPr="001B34D0">
        <w:t>Los Niveles de Desempeño de la ETC Pasto son superiores a los resultados de los niveles de desempeño de Colombia y Nariño, desde el 2009 hasta el 2014 en el área de lenguaje y matemáticas.</w:t>
      </w:r>
    </w:p>
    <w:p w:rsidR="00982E3B" w:rsidRPr="001B34D0" w:rsidRDefault="00982E3B" w:rsidP="00A92D87">
      <w:pPr>
        <w:spacing w:line="240" w:lineRule="auto"/>
        <w:jc w:val="both"/>
      </w:pPr>
      <w:r w:rsidRPr="001B34D0">
        <w:t xml:space="preserve">En el sector rural los resultados son más bajos comparados con el urbano, debido a la escasa formación de los docentes en estrategias </w:t>
      </w:r>
      <w:r w:rsidR="007E5119" w:rsidRPr="001B34D0">
        <w:t>didácticas</w:t>
      </w:r>
      <w:r w:rsidRPr="001B34D0">
        <w:t xml:space="preserve"> que mejoren las competencias lectoras y escritoras en los estudiantes; además no hay continuidad en los procesos debido al cambio de docentes del sector rural por solicitud de traslado, licencias </w:t>
      </w:r>
      <w:r w:rsidR="007E5119" w:rsidRPr="001B34D0">
        <w:t>médicas</w:t>
      </w:r>
      <w:r w:rsidRPr="001B34D0">
        <w:t xml:space="preserve"> o por estudio, incapacidades o retiros definitivos o </w:t>
      </w:r>
      <w:r w:rsidR="007E5119" w:rsidRPr="001B34D0">
        <w:t>parciales.</w:t>
      </w:r>
    </w:p>
    <w:p w:rsidR="00982E3B" w:rsidRPr="001B34D0" w:rsidRDefault="00982E3B" w:rsidP="00A92D87">
      <w:pPr>
        <w:spacing w:line="240" w:lineRule="auto"/>
        <w:jc w:val="both"/>
      </w:pPr>
      <w:r w:rsidRPr="001B34D0">
        <w:t xml:space="preserve">MEJORO </w:t>
      </w:r>
    </w:p>
    <w:p w:rsidR="00982E3B" w:rsidRPr="001B34D0" w:rsidRDefault="00982E3B" w:rsidP="00A92D87">
      <w:pPr>
        <w:spacing w:line="240" w:lineRule="auto"/>
        <w:jc w:val="both"/>
      </w:pPr>
      <w:r w:rsidRPr="001B34D0">
        <w:t xml:space="preserve">Los resultados de los estudiantes en Pruebas Saber 5° en el área de lenguaje alcanzaron el 57% entre satisfactorio y avanzado  y el 43% en insuficiente y mínimo. Se observa un mejoramiento en los </w:t>
      </w:r>
      <w:r w:rsidR="007E5119" w:rsidRPr="001B34D0">
        <w:t>resultados</w:t>
      </w:r>
      <w:r w:rsidRPr="001B34D0">
        <w:t xml:space="preserve"> de matemáticas al disminuir los niveles de insuficiencia y mínimo en un 8% y ha </w:t>
      </w:r>
      <w:r w:rsidRPr="001B34D0">
        <w:lastRenderedPageBreak/>
        <w:t>mejorado los niveles de satisfactorio y avanzado en un 8%, el mejoramiento se ve reflejado en el incremento del promedio en lenguaje con</w:t>
      </w:r>
      <w:r w:rsidR="007E5119" w:rsidRPr="001B34D0">
        <w:t>, 5</w:t>
      </w:r>
      <w:r w:rsidRPr="001B34D0">
        <w:t xml:space="preserve"> puntos, en matemáticas con 18,5 puntos y </w:t>
      </w:r>
      <w:r w:rsidR="007E5119" w:rsidRPr="001B34D0">
        <w:t>ciencias</w:t>
      </w:r>
      <w:r w:rsidRPr="001B34D0">
        <w:t xml:space="preserve"> naturales con 36 puntos</w:t>
      </w:r>
    </w:p>
    <w:p w:rsidR="00982E3B" w:rsidRPr="001B34D0" w:rsidRDefault="00982E3B" w:rsidP="00A92D87">
      <w:pPr>
        <w:spacing w:line="240" w:lineRule="auto"/>
        <w:jc w:val="both"/>
      </w:pPr>
      <w:r w:rsidRPr="001B34D0">
        <w:t xml:space="preserve">Los resultados de las pruebas en pensamiento ciudadano tienen un desmejoramiento en el promedio de 5 puntos. Los </w:t>
      </w:r>
      <w:r w:rsidR="007E5119" w:rsidRPr="001B34D0">
        <w:t>Establecimientos</w:t>
      </w:r>
      <w:r w:rsidRPr="001B34D0">
        <w:t xml:space="preserve"> educativos se ven afectados al no existir un proceso de suplencia de docentes cuando se presentan incapacidades, licencias o retiros forzosos y se queda por espacios </w:t>
      </w:r>
      <w:r w:rsidR="007E5119" w:rsidRPr="001B34D0">
        <w:t>considerables</w:t>
      </w:r>
      <w:r w:rsidRPr="001B34D0">
        <w:t xml:space="preserve"> de tiempo sin docente afectando el proceso de enseñanza aprendizaje de los estudiantes</w:t>
      </w:r>
    </w:p>
    <w:p w:rsidR="00982E3B" w:rsidRPr="001B34D0" w:rsidRDefault="00982E3B" w:rsidP="00A92D87">
      <w:pPr>
        <w:spacing w:line="240" w:lineRule="auto"/>
        <w:jc w:val="both"/>
      </w:pPr>
      <w:r w:rsidRPr="001B34D0">
        <w:t>Al hacer el comparativo por tipo de establecimientos educativos en lenguaje se observa que el sector urbano en el área de lenguaje los estudiantes se concentran en un 42% en los niveles insuficiente y mínimo frente al 64% del País y alcanzan  a obtener el 59% en niveles satisfactorio y avanzado frente a Colombia que posiciona al 36% de los estudiantes. En los EE rurales Pasto también presenta mejores resultados al ubicarse el 59% en niveles insuficiente y mínimo frente al 73% de la nación, en  niveles satisfactorio y avanzado se concentra el 41% en contraposición al 28% del País, en los Establecimientos no oficiales El Municipio de Pasto se ubican en niveles insuficiente y mínimo el 29% de los estudiantes  y en Colombia el 39 %, en los niveles satisfactorio y avanzado se ubica el 71% en pasto y en Colombia el 61%.</w:t>
      </w:r>
    </w:p>
    <w:p w:rsidR="00982E3B" w:rsidRPr="001B34D0" w:rsidRDefault="00982E3B" w:rsidP="00A92D87">
      <w:pPr>
        <w:spacing w:line="240" w:lineRule="auto"/>
        <w:jc w:val="both"/>
      </w:pPr>
      <w:r w:rsidRPr="001B34D0">
        <w:t xml:space="preserve">En matemáticas los resultados indican que en los EE urbanos en Pasto se ubicaron en niveles insuficiente y mínimo el 56% y el Colombia el 74% en satisfactorio y avanzado el 44% y en el país el 28%. En los EE rurales Pasto concentra al 69% en niveles insuficiente y mínimo y Colombia al 75%, en los niveles satisfactorio y avanzado el 32% el Pasto y 25% en Colombia. En Los EE no oficiales en niveles insuficiente y mínimo se ubica al 41% de los estudiantes y en Colombia al 51%, en los niveles satisfactorio y avanzado se ubica el 59% en pasto y en el país el 49%. En </w:t>
      </w:r>
      <w:r w:rsidR="007E5119" w:rsidRPr="001B34D0">
        <w:t>índice</w:t>
      </w:r>
      <w:r w:rsidRPr="001B34D0">
        <w:t xml:space="preserve"> sintético de calidad educativa en 3° y 5° Pasto ocupa el cuarto </w:t>
      </w:r>
      <w:r w:rsidR="007E5119" w:rsidRPr="001B34D0">
        <w:t>lugar a nivel</w:t>
      </w:r>
      <w:r w:rsidRPr="001B34D0">
        <w:t xml:space="preserve"> nacional.</w:t>
      </w:r>
    </w:p>
    <w:p w:rsidR="00982E3B" w:rsidRPr="001B34D0" w:rsidRDefault="00982E3B" w:rsidP="00A92D87">
      <w:pPr>
        <w:spacing w:line="240" w:lineRule="auto"/>
        <w:jc w:val="both"/>
      </w:pPr>
      <w:r w:rsidRPr="001B34D0">
        <w:t xml:space="preserve">Continuar con el acompañamiento in situ a los establecimientos educativos. </w:t>
      </w:r>
    </w:p>
    <w:p w:rsidR="00982E3B" w:rsidRPr="001B34D0" w:rsidRDefault="00982E3B" w:rsidP="00A92D87">
      <w:pPr>
        <w:spacing w:line="240" w:lineRule="auto"/>
        <w:jc w:val="both"/>
      </w:pPr>
      <w:r w:rsidRPr="001B34D0">
        <w:t>Crear estrategias administrativas que permitan el nombramiento inmediato de docentes en los EE que por ausencia temporal o definitiva se presenten con la finalidad de garantizar el  proceso enseñanza a aprendizaje.</w:t>
      </w:r>
    </w:p>
    <w:p w:rsidR="00982E3B" w:rsidRPr="001B34D0" w:rsidRDefault="00982E3B" w:rsidP="00A92D87">
      <w:pPr>
        <w:spacing w:line="240" w:lineRule="auto"/>
        <w:jc w:val="both"/>
      </w:pPr>
      <w:r w:rsidRPr="001B34D0">
        <w:t>Que los docentes rurales tengan una permanencia mínima en la institución de tres  años para que haya continuidad en el proceso.</w:t>
      </w:r>
    </w:p>
    <w:p w:rsidR="00982E3B" w:rsidRPr="001B34D0" w:rsidRDefault="00982E3B" w:rsidP="00A92D87">
      <w:pPr>
        <w:spacing w:line="240" w:lineRule="auto"/>
        <w:jc w:val="both"/>
      </w:pPr>
      <w:r w:rsidRPr="001B34D0">
        <w:t xml:space="preserve">Fortalecer alianzas estratégicas con universidades e instituciones que permitan el tránsito de los estudiantes a la educación terciaria.   Capacitación a los docentes en </w:t>
      </w:r>
      <w:r w:rsidR="007E5119" w:rsidRPr="001B34D0">
        <w:t>estrategias</w:t>
      </w:r>
      <w:r w:rsidRPr="001B34D0">
        <w:t xml:space="preserve"> pedagógicas de enseñanza con ayuda de las TICS y en competencias básicas de aprendizaje y Derechos Básicos de Aprendizaje</w:t>
      </w:r>
    </w:p>
    <w:p w:rsidR="00982E3B" w:rsidRPr="009225DA" w:rsidRDefault="0090015F" w:rsidP="0090015F">
      <w:pPr>
        <w:pStyle w:val="Ttulo2"/>
        <w:rPr>
          <w:rFonts w:asciiTheme="minorHAnsi" w:hAnsiTheme="minorHAnsi"/>
          <w:color w:val="auto"/>
          <w:sz w:val="22"/>
          <w:szCs w:val="22"/>
        </w:rPr>
      </w:pPr>
      <w:bookmarkStart w:id="115" w:name="_Toc437376060"/>
      <w:r w:rsidRPr="009225DA">
        <w:rPr>
          <w:rFonts w:asciiTheme="minorHAnsi" w:hAnsiTheme="minorHAnsi"/>
          <w:color w:val="auto"/>
          <w:sz w:val="22"/>
          <w:szCs w:val="22"/>
        </w:rPr>
        <w:t xml:space="preserve">6.2.3 </w:t>
      </w:r>
      <w:r w:rsidR="006E6C52" w:rsidRPr="009225DA">
        <w:rPr>
          <w:rFonts w:asciiTheme="minorHAnsi" w:hAnsiTheme="minorHAnsi"/>
          <w:color w:val="auto"/>
          <w:sz w:val="22"/>
          <w:szCs w:val="22"/>
        </w:rPr>
        <w:t xml:space="preserve">CATEGORÍA </w:t>
      </w:r>
      <w:r w:rsidR="00982E3B" w:rsidRPr="009225DA">
        <w:rPr>
          <w:rFonts w:asciiTheme="minorHAnsi" w:hAnsiTheme="minorHAnsi"/>
          <w:color w:val="auto"/>
          <w:sz w:val="22"/>
          <w:szCs w:val="22"/>
        </w:rPr>
        <w:t>DERECHOS  A LA PROTECCIÓN</w:t>
      </w:r>
      <w:bookmarkEnd w:id="115"/>
    </w:p>
    <w:p w:rsidR="00000F81" w:rsidRPr="00000F81" w:rsidRDefault="00000F81" w:rsidP="00A92D87">
      <w:pPr>
        <w:spacing w:line="240" w:lineRule="auto"/>
      </w:pPr>
    </w:p>
    <w:p w:rsidR="00982E3B" w:rsidRPr="001B34D0" w:rsidRDefault="00982E3B" w:rsidP="00A92D87">
      <w:pPr>
        <w:spacing w:line="240" w:lineRule="auto"/>
        <w:jc w:val="both"/>
      </w:pPr>
      <w:r w:rsidRPr="001B34D0">
        <w:t>Código del indicador: 69</w:t>
      </w:r>
    </w:p>
    <w:p w:rsidR="00982E3B" w:rsidRPr="001B34D0" w:rsidRDefault="00982E3B" w:rsidP="00A92D87">
      <w:pPr>
        <w:spacing w:line="240" w:lineRule="auto"/>
        <w:jc w:val="both"/>
      </w:pPr>
      <w:r w:rsidRPr="001B34D0">
        <w:lastRenderedPageBreak/>
        <w:t>Nombre del indicador: Número de niños, niñas y adolescentes en Proceso Administrativo de Restablecimiento de Derechos - PARD</w:t>
      </w:r>
    </w:p>
    <w:p w:rsidR="00982E3B" w:rsidRPr="001B34D0" w:rsidRDefault="00982E3B" w:rsidP="00A92D87">
      <w:pPr>
        <w:spacing w:line="240" w:lineRule="auto"/>
        <w:jc w:val="both"/>
      </w:pPr>
      <w:r w:rsidRPr="001B34D0">
        <w:t>a.</w:t>
      </w:r>
      <w:r w:rsidRPr="001B34D0">
        <w:tab/>
        <w:t>Identifique cual es la fuente de información que respalda el análisis que realizará a continuación (nacional o local), identificando sus fortalezas y debilidades:</w:t>
      </w:r>
    </w:p>
    <w:p w:rsidR="00982E3B" w:rsidRPr="001B34D0" w:rsidRDefault="00982E3B" w:rsidP="00A92D87">
      <w:pPr>
        <w:spacing w:line="240" w:lineRule="auto"/>
        <w:jc w:val="both"/>
      </w:pPr>
      <w:r w:rsidRPr="001B34D0">
        <w:t>o</w:t>
      </w:r>
      <w:r w:rsidRPr="001B34D0">
        <w:tab/>
        <w:t>Fuente Nacional X</w:t>
      </w:r>
    </w:p>
    <w:p w:rsidR="00982E3B" w:rsidRPr="001B34D0" w:rsidRDefault="00982E3B" w:rsidP="00A92D87">
      <w:pPr>
        <w:spacing w:line="240" w:lineRule="auto"/>
        <w:jc w:val="both"/>
      </w:pPr>
      <w:r w:rsidRPr="001B34D0">
        <w:t>o</w:t>
      </w:r>
      <w:r w:rsidRPr="001B34D0">
        <w:tab/>
        <w:t>Fuente Local</w:t>
      </w:r>
    </w:p>
    <w:p w:rsidR="00982E3B" w:rsidRPr="001B34D0" w:rsidRDefault="00982E3B" w:rsidP="00A92D87">
      <w:pPr>
        <w:spacing w:line="240" w:lineRule="auto"/>
        <w:jc w:val="both"/>
      </w:pPr>
      <w:r w:rsidRPr="001B34D0">
        <w:t xml:space="preserve">    Fortalezas:</w:t>
      </w:r>
    </w:p>
    <w:p w:rsidR="00982E3B" w:rsidRPr="001B34D0" w:rsidRDefault="00982E3B" w:rsidP="00A92D87">
      <w:pPr>
        <w:spacing w:line="240" w:lineRule="auto"/>
        <w:jc w:val="both"/>
      </w:pPr>
      <w:r w:rsidRPr="001B34D0">
        <w:t xml:space="preserve">Se cuenta con un sistema de información misional SIM desde el ICBF que permite identificar el </w:t>
      </w:r>
      <w:r w:rsidR="007E5119" w:rsidRPr="001B34D0">
        <w:t>número</w:t>
      </w:r>
      <w:r w:rsidRPr="001B34D0">
        <w:t xml:space="preserve"> de niños, niñas y adolescentes en proceso administrativo - PARD y las medidas adoptadas por la respectiva </w:t>
      </w:r>
      <w:r w:rsidR="007E5119" w:rsidRPr="001B34D0">
        <w:t>Defensoría</w:t>
      </w:r>
      <w:r w:rsidRPr="001B34D0">
        <w:t xml:space="preserve"> de Familia para el restablecimiento de derechos.</w:t>
      </w:r>
    </w:p>
    <w:p w:rsidR="00982E3B" w:rsidRPr="001B34D0" w:rsidRDefault="00982E3B" w:rsidP="00A92D87">
      <w:pPr>
        <w:spacing w:line="240" w:lineRule="auto"/>
        <w:jc w:val="both"/>
      </w:pPr>
      <w:r w:rsidRPr="001B34D0">
        <w:t xml:space="preserve">Esta </w:t>
      </w:r>
      <w:r w:rsidR="007E5119" w:rsidRPr="001B34D0">
        <w:t>información</w:t>
      </w:r>
      <w:r w:rsidRPr="001B34D0">
        <w:t xml:space="preserve"> sirve para alimentar el Sistema Único de </w:t>
      </w:r>
      <w:r w:rsidR="007E5119" w:rsidRPr="001B34D0">
        <w:t>Información</w:t>
      </w:r>
      <w:r w:rsidRPr="001B34D0">
        <w:t xml:space="preserve"> para la niñez SUIN, el que permite consolidar la </w:t>
      </w:r>
      <w:r w:rsidR="007E5119" w:rsidRPr="001B34D0">
        <w:t>estadística</w:t>
      </w:r>
      <w:r w:rsidRPr="001B34D0">
        <w:t xml:space="preserve"> nacional, departamental y municipal de niños, niñas y adolescentes en proceso administrativo de restablecimiento de derechos.</w:t>
      </w:r>
    </w:p>
    <w:p w:rsidR="00982E3B" w:rsidRPr="001B34D0" w:rsidRDefault="00982E3B" w:rsidP="00A92D87">
      <w:pPr>
        <w:spacing w:line="240" w:lineRule="auto"/>
        <w:jc w:val="both"/>
      </w:pPr>
      <w:r w:rsidRPr="001B34D0">
        <w:t>Debilidades:</w:t>
      </w:r>
    </w:p>
    <w:p w:rsidR="00982E3B" w:rsidRPr="001B34D0" w:rsidRDefault="00982E3B" w:rsidP="00A92D87">
      <w:pPr>
        <w:spacing w:line="240" w:lineRule="auto"/>
        <w:jc w:val="both"/>
      </w:pPr>
      <w:r w:rsidRPr="001B34D0">
        <w:t xml:space="preserve">Al Sistema de Información Misional - SIM, solo tiene acceso el ICBF y no los Comisarios de Familia quienes en el territorio por competencia subsidiaria, adelantan procesos administrativos de restablecimiento de derechos. </w:t>
      </w:r>
    </w:p>
    <w:p w:rsidR="00982E3B" w:rsidRPr="001B34D0" w:rsidRDefault="00982E3B" w:rsidP="00A92D87">
      <w:pPr>
        <w:spacing w:line="240" w:lineRule="auto"/>
        <w:jc w:val="both"/>
      </w:pPr>
      <w:r w:rsidRPr="001B34D0">
        <w:t>Durante el periodo a analizar, desde las comisarías de familia se envió la información de los Procesos Administrativos de Restablecimiento de Derechos- PARD atendidos al ICBF, en un instrumento diseñado para tal fin, por cuanto, la comisaria de Familia, no cuentan con un sistema de información propio.</w:t>
      </w:r>
    </w:p>
    <w:p w:rsidR="00982E3B" w:rsidRPr="001B34D0" w:rsidRDefault="00982E3B" w:rsidP="00A92D87">
      <w:pPr>
        <w:spacing w:line="240" w:lineRule="auto"/>
        <w:jc w:val="both"/>
      </w:pPr>
      <w:r w:rsidRPr="001B34D0">
        <w:t xml:space="preserve">La fuente nacional allegada, no permite desagregación por motivo de ingreso al proceso administrativo de restablecimiento de derechos- PARD.  </w:t>
      </w:r>
    </w:p>
    <w:p w:rsidR="00982E3B" w:rsidRPr="001B34D0" w:rsidRDefault="00982E3B" w:rsidP="00A92D87">
      <w:pPr>
        <w:spacing w:line="240" w:lineRule="auto"/>
        <w:jc w:val="both"/>
      </w:pPr>
      <w:r w:rsidRPr="001B34D0">
        <w:t>a.</w:t>
      </w:r>
      <w:r w:rsidRPr="001B34D0">
        <w:tab/>
        <w:t xml:space="preserve">Indique, según los siguientes criterios de valoración, cual es el que mejor interpreta el comportamiento del indicador analizado, para el periodo comprendido entre los años 2011 y 2014. </w:t>
      </w:r>
    </w:p>
    <w:p w:rsidR="00982E3B" w:rsidRPr="001B34D0" w:rsidRDefault="00982E3B" w:rsidP="00A92D87">
      <w:pPr>
        <w:spacing w:line="240" w:lineRule="auto"/>
        <w:jc w:val="both"/>
      </w:pPr>
      <w:r w:rsidRPr="001B34D0">
        <w:t>Tenga en cuenta que debe analizar el periodo completo (2011 al 2014), si no cuenta con información para todos los años, la categoría a señalar es "sin serie Temporal":</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o</w:t>
      </w:r>
      <w:r w:rsidRPr="001B34D0">
        <w:tab/>
        <w:t xml:space="preserve">Mejoró  </w:t>
      </w:r>
    </w:p>
    <w:p w:rsidR="00982E3B" w:rsidRPr="001B34D0" w:rsidRDefault="00982E3B" w:rsidP="00A92D87">
      <w:pPr>
        <w:spacing w:line="240" w:lineRule="auto"/>
        <w:jc w:val="both"/>
      </w:pPr>
      <w:r w:rsidRPr="001B34D0">
        <w:t>o</w:t>
      </w:r>
      <w:r w:rsidRPr="001B34D0">
        <w:tab/>
        <w:t>Desmejoró</w:t>
      </w:r>
    </w:p>
    <w:p w:rsidR="00982E3B" w:rsidRPr="001B34D0" w:rsidRDefault="00982E3B" w:rsidP="00A92D87">
      <w:pPr>
        <w:spacing w:line="240" w:lineRule="auto"/>
        <w:jc w:val="both"/>
      </w:pPr>
      <w:r w:rsidRPr="001B34D0">
        <w:t>o</w:t>
      </w:r>
      <w:r w:rsidRPr="001B34D0">
        <w:tab/>
        <w:t>Estable</w:t>
      </w:r>
    </w:p>
    <w:p w:rsidR="00982E3B" w:rsidRPr="001B34D0" w:rsidRDefault="00982E3B" w:rsidP="00A92D87">
      <w:pPr>
        <w:spacing w:line="240" w:lineRule="auto"/>
        <w:jc w:val="both"/>
      </w:pPr>
      <w:r w:rsidRPr="001B34D0">
        <w:t xml:space="preserve">X   Sin serie temporal </w:t>
      </w:r>
    </w:p>
    <w:p w:rsidR="00982E3B" w:rsidRPr="001B34D0" w:rsidRDefault="00982E3B" w:rsidP="00A92D87">
      <w:pPr>
        <w:spacing w:line="240" w:lineRule="auto"/>
        <w:jc w:val="both"/>
      </w:pPr>
      <w:r w:rsidRPr="001B34D0">
        <w:lastRenderedPageBreak/>
        <w:t>o</w:t>
      </w:r>
      <w:r w:rsidRPr="001B34D0">
        <w:tab/>
        <w:t>Sin datos</w:t>
      </w:r>
    </w:p>
    <w:p w:rsidR="00982E3B" w:rsidRPr="001B34D0" w:rsidRDefault="00982E3B" w:rsidP="00A92D87">
      <w:pPr>
        <w:spacing w:line="240" w:lineRule="auto"/>
        <w:jc w:val="both"/>
      </w:pPr>
      <w:r w:rsidRPr="001B34D0">
        <w:t>b.</w:t>
      </w:r>
      <w:r w:rsidRPr="001B34D0">
        <w:tab/>
        <w:t>Analice la categoría de valoración dada al indicador, identificando los impactos positivos o negativos sobre la población correspondiente al momento del ciclo de vida analizado, desde la situación encontrada al inicio de la administración y la del último año de referencia (2014 o 2015 según aplique)</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c.</w:t>
      </w:r>
      <w:r w:rsidRPr="001B34D0">
        <w:tab/>
        <w:t>Impactos positivos:</w:t>
      </w:r>
    </w:p>
    <w:p w:rsidR="00982E3B" w:rsidRPr="001B34D0" w:rsidRDefault="00982E3B" w:rsidP="00A92D87">
      <w:pPr>
        <w:spacing w:line="240" w:lineRule="auto"/>
        <w:jc w:val="both"/>
      </w:pPr>
      <w:r w:rsidRPr="001B34D0">
        <w:t xml:space="preserve">En los municipios, la creación de la  Comisaría de Familia  permitió realizar  la verificación del estado de cumplimiento de los derechos de los niños, niñas o adolescentes, en los casos de inobservancia, amenaza o vulneración,  logrando la restauración de su dignidad e integridad como sujetos y haciendo efectivo el ejercicio de los derechos que fueron vulnerados, a través de los procesos administrativos. </w:t>
      </w:r>
    </w:p>
    <w:p w:rsidR="00982E3B" w:rsidRPr="001B34D0" w:rsidRDefault="00982E3B" w:rsidP="00A92D87">
      <w:pPr>
        <w:spacing w:line="240" w:lineRule="auto"/>
        <w:jc w:val="both"/>
      </w:pPr>
      <w:r w:rsidRPr="001B34D0">
        <w:t xml:space="preserve">Se empezó a hacer efectivo el principio de corresponsabilidad, consagrado en la ley 1098 de 2006, por parte de las administraciones municipales con la concurrencia de los sectores de salud y educación al vincular a los niños, niñas y adolescentes a sus sistemas, según sus competencias y garantizando el ejercicio de los derechos  fundamentales en sus áreas de atención, articulando el Sistema Nacional de Bienestar Familiar. </w:t>
      </w:r>
    </w:p>
    <w:p w:rsidR="00982E3B" w:rsidRPr="001B34D0" w:rsidRDefault="00982E3B" w:rsidP="00A92D87">
      <w:pPr>
        <w:spacing w:line="240" w:lineRule="auto"/>
        <w:jc w:val="both"/>
      </w:pPr>
      <w:r w:rsidRPr="001B34D0">
        <w:t xml:space="preserve">Igualmente desde las Comisarias de Familia  se logró  la sensibilización y conminación a los padres o a las personas responsables del cuidado del niño, niña o adolescente sobre el cumplimiento de las obligaciones que les corresponden. </w:t>
      </w:r>
    </w:p>
    <w:p w:rsidR="00982E3B" w:rsidRPr="001B34D0" w:rsidRDefault="00982E3B" w:rsidP="00A92D87">
      <w:pPr>
        <w:spacing w:line="240" w:lineRule="auto"/>
        <w:jc w:val="both"/>
      </w:pPr>
      <w:r w:rsidRPr="001B34D0">
        <w:t>Los niños, niñas y adolescentes fueron atendidos en los programas existentes, en busca de generar procesos de atención que permitan prevenir mayores niveles de amenaza, inobservancia y/o vulneración de sus derechos, considerando los  factores de generatividad y vulnerabilidad de su familia o red vincular.</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 xml:space="preserve">Las mencionadas modalidades son: </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1.</w:t>
      </w:r>
      <w:r w:rsidRPr="001B34D0">
        <w:tab/>
        <w:t>Hogar de paso</w:t>
      </w:r>
    </w:p>
    <w:p w:rsidR="00982E3B" w:rsidRPr="001B34D0" w:rsidRDefault="00982E3B" w:rsidP="00A92D87">
      <w:pPr>
        <w:spacing w:line="240" w:lineRule="auto"/>
        <w:jc w:val="both"/>
      </w:pPr>
      <w:r w:rsidRPr="001B34D0">
        <w:t>2.</w:t>
      </w:r>
      <w:r w:rsidRPr="001B34D0">
        <w:tab/>
        <w:t xml:space="preserve">Hogar Sustituto. </w:t>
      </w:r>
    </w:p>
    <w:p w:rsidR="00982E3B" w:rsidRPr="001B34D0" w:rsidRDefault="00982E3B" w:rsidP="00A92D87">
      <w:pPr>
        <w:spacing w:line="240" w:lineRule="auto"/>
        <w:jc w:val="both"/>
      </w:pPr>
      <w:r w:rsidRPr="001B34D0">
        <w:t xml:space="preserve">2.       Hogar Sustituto para Discapacidad. </w:t>
      </w:r>
    </w:p>
    <w:p w:rsidR="00982E3B" w:rsidRPr="001B34D0" w:rsidRDefault="00982E3B" w:rsidP="00A92D87">
      <w:pPr>
        <w:spacing w:line="240" w:lineRule="auto"/>
        <w:jc w:val="both"/>
      </w:pPr>
      <w:r w:rsidRPr="001B34D0">
        <w:t xml:space="preserve">3.       Internado de Atención Especializada. </w:t>
      </w:r>
    </w:p>
    <w:p w:rsidR="00982E3B" w:rsidRPr="001B34D0" w:rsidRDefault="00982E3B" w:rsidP="00A92D87">
      <w:pPr>
        <w:spacing w:line="240" w:lineRule="auto"/>
        <w:jc w:val="both"/>
      </w:pPr>
      <w:r w:rsidRPr="001B34D0">
        <w:t xml:space="preserve">4.       Casa Hogar de Protección. </w:t>
      </w:r>
    </w:p>
    <w:p w:rsidR="00982E3B" w:rsidRPr="001B34D0" w:rsidRDefault="00982E3B" w:rsidP="00A92D87">
      <w:pPr>
        <w:spacing w:line="240" w:lineRule="auto"/>
        <w:jc w:val="both"/>
      </w:pPr>
      <w:r w:rsidRPr="001B34D0">
        <w:t xml:space="preserve">5.       Internado: Diagnóstico y Acogida para IAPAS. </w:t>
      </w:r>
    </w:p>
    <w:p w:rsidR="00982E3B" w:rsidRPr="001B34D0" w:rsidRDefault="00982E3B" w:rsidP="00A92D87">
      <w:pPr>
        <w:spacing w:line="240" w:lineRule="auto"/>
        <w:jc w:val="both"/>
      </w:pPr>
      <w:r w:rsidRPr="001B34D0">
        <w:t xml:space="preserve">6.       Internado: Discapacidad. </w:t>
      </w:r>
    </w:p>
    <w:p w:rsidR="00982E3B" w:rsidRPr="001B34D0" w:rsidRDefault="00982E3B" w:rsidP="00A92D87">
      <w:pPr>
        <w:spacing w:line="240" w:lineRule="auto"/>
        <w:jc w:val="both"/>
      </w:pPr>
      <w:r w:rsidRPr="001B34D0">
        <w:lastRenderedPageBreak/>
        <w:t xml:space="preserve">7.       Internado: Discapacidad Mental Psicosocial. </w:t>
      </w:r>
    </w:p>
    <w:p w:rsidR="00982E3B" w:rsidRPr="001B34D0" w:rsidRDefault="00982E3B" w:rsidP="00A92D87">
      <w:pPr>
        <w:spacing w:line="240" w:lineRule="auto"/>
        <w:jc w:val="both"/>
      </w:pPr>
      <w:r w:rsidRPr="001B34D0">
        <w:t xml:space="preserve">8.       Preparación para la Vida Laboral y Productiva </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Impactos negativos:</w:t>
      </w:r>
    </w:p>
    <w:p w:rsidR="00982E3B" w:rsidRPr="001B34D0" w:rsidRDefault="007E5119" w:rsidP="00A92D87">
      <w:pPr>
        <w:spacing w:line="240" w:lineRule="auto"/>
        <w:jc w:val="both"/>
      </w:pPr>
      <w:r w:rsidRPr="001B34D0">
        <w:t>Débil</w:t>
      </w:r>
      <w:r w:rsidR="00982E3B" w:rsidRPr="001B34D0">
        <w:t xml:space="preserve"> trabajo con la familia de </w:t>
      </w:r>
      <w:r w:rsidRPr="001B34D0">
        <w:t>los niños, niñas</w:t>
      </w:r>
      <w:r w:rsidR="00982E3B" w:rsidRPr="001B34D0">
        <w:t xml:space="preserve"> y adolescentes debido a la falta de equipos interdisciplinarios y recursos financieros en las Comisarias de Familia, requeridos para una </w:t>
      </w:r>
      <w:r w:rsidRPr="001B34D0">
        <w:t>óptima</w:t>
      </w:r>
      <w:r w:rsidR="00982E3B" w:rsidRPr="001B34D0">
        <w:t xml:space="preserve"> atención de la problemática presentada, toda vez que tiene a su cargo la competencia legal de atención de VIOLENCIA INTRAFAMILIAR.</w:t>
      </w:r>
    </w:p>
    <w:p w:rsidR="00982E3B" w:rsidRPr="001B34D0" w:rsidRDefault="00982E3B" w:rsidP="00A92D87">
      <w:pPr>
        <w:spacing w:line="240" w:lineRule="auto"/>
        <w:jc w:val="both"/>
      </w:pPr>
      <w:r w:rsidRPr="001B34D0">
        <w:t>d.</w:t>
      </w:r>
      <w:r w:rsidRPr="001B34D0">
        <w:tab/>
        <w:t xml:space="preserve">Realice un análisis de las razones del comportamiento del indicador (según serie temporal) teniendo en cuenta la fuente que está utilizando (nacional o local). Si la fuente de información ofrece niveles de desagregación (sexo, área, etnia, discapacidad, </w:t>
      </w:r>
      <w:r w:rsidR="007E5119" w:rsidRPr="001B34D0">
        <w:t>etc.</w:t>
      </w:r>
      <w:r w:rsidRPr="001B34D0">
        <w:t xml:space="preserve">,), inclúyalos en el análisis. </w:t>
      </w:r>
    </w:p>
    <w:p w:rsidR="00982E3B" w:rsidRPr="001B34D0" w:rsidRDefault="00982E3B" w:rsidP="00A92D87">
      <w:pPr>
        <w:spacing w:line="240" w:lineRule="auto"/>
        <w:jc w:val="both"/>
      </w:pPr>
      <w:r w:rsidRPr="001B34D0">
        <w:t>Si puede argumentar el comportamiento del indicador según la fuente alterna puede hacerlo en el campo correspondiente:</w:t>
      </w:r>
    </w:p>
    <w:p w:rsidR="00982E3B" w:rsidRPr="001B34D0" w:rsidRDefault="00982E3B" w:rsidP="00A92D87">
      <w:pPr>
        <w:spacing w:line="240" w:lineRule="auto"/>
        <w:jc w:val="both"/>
      </w:pPr>
      <w:r w:rsidRPr="001B34D0">
        <w:t>Fuente Nacional:</w:t>
      </w:r>
    </w:p>
    <w:p w:rsidR="00982E3B" w:rsidRPr="001B34D0" w:rsidRDefault="00982E3B" w:rsidP="00A92D87">
      <w:pPr>
        <w:spacing w:line="240" w:lineRule="auto"/>
        <w:jc w:val="both"/>
      </w:pPr>
      <w:r w:rsidRPr="001B34D0">
        <w:t>Revisada la fuente de información nacional http://www.suin-snbf.gov.co/suin/se verifica que para la vigencia 2012 - 2014 se reporta un descenso cuantitativo de una vigencia de un año a otro lo que permite visualizar el impacto de las acciones adelantadas a nivel territorial.</w:t>
      </w:r>
    </w:p>
    <w:p w:rsidR="00982E3B" w:rsidRPr="001B34D0" w:rsidRDefault="00982E3B" w:rsidP="00A92D87">
      <w:pPr>
        <w:spacing w:line="240" w:lineRule="auto"/>
        <w:jc w:val="both"/>
      </w:pPr>
      <w:r w:rsidRPr="001B34D0">
        <w:t xml:space="preserve">Como fortalezas que permiten la disminución estadística se encuentra: </w:t>
      </w:r>
    </w:p>
    <w:p w:rsidR="00982E3B" w:rsidRPr="001B34D0" w:rsidRDefault="00982E3B" w:rsidP="00A92D87">
      <w:pPr>
        <w:spacing w:line="240" w:lineRule="auto"/>
        <w:jc w:val="both"/>
      </w:pPr>
      <w:r w:rsidRPr="001B34D0">
        <w:t>Capacitación a los comisarios de familia.</w:t>
      </w:r>
    </w:p>
    <w:p w:rsidR="00982E3B" w:rsidRPr="001B34D0" w:rsidRDefault="00982E3B" w:rsidP="00A92D87">
      <w:pPr>
        <w:spacing w:line="240" w:lineRule="auto"/>
        <w:jc w:val="both"/>
      </w:pPr>
      <w:r w:rsidRPr="001B34D0">
        <w:t xml:space="preserve">Ampliación e impacto de los programas de prevención, encaminados a incentivar la cultura del denuncio. </w:t>
      </w:r>
    </w:p>
    <w:p w:rsidR="00982E3B" w:rsidRPr="001B34D0" w:rsidRDefault="00982E3B" w:rsidP="00A92D87">
      <w:pPr>
        <w:spacing w:line="240" w:lineRule="auto"/>
        <w:jc w:val="both"/>
      </w:pPr>
      <w:r w:rsidRPr="001B34D0">
        <w:t xml:space="preserve">Implementación y fortalecimiento de la ruta HAZ PAZ  y de las  rutas de atención y prevención de maltrato infantil, abuso sexual, violencia intrafamiliar y trabajo infantil. </w:t>
      </w:r>
    </w:p>
    <w:p w:rsidR="00982E3B" w:rsidRPr="001B34D0" w:rsidRDefault="00982E3B" w:rsidP="00A92D87">
      <w:pPr>
        <w:spacing w:line="240" w:lineRule="auto"/>
        <w:jc w:val="both"/>
      </w:pPr>
      <w:r w:rsidRPr="001B34D0">
        <w:t>Mayor conocimiento y apropiación de la ley 1098 de 2006 por parte de la comunidad, implementación de la estrategia departamental de prevención de vulneración de derechos de niños, niñas, adolescentes y jóvenes en contextos de conflicto y violencias asociadas</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Se logró la firma de CONVENIO MARCO, entre ICBF y los entes territoriales para la conformación de hogares de paso, medida que permite a las autoridades administrativas, la ubicación de los niños, niñas y adolescentes, en tanto se adoptan medidas de restablecimiento definitivas.</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Planes de acción de las mesas de primera infancia, infancia y adolescencia  con seguimiento  a la garantía de derechos.</w:t>
      </w:r>
    </w:p>
    <w:p w:rsidR="00982E3B" w:rsidRPr="001B34D0" w:rsidRDefault="00982E3B" w:rsidP="00A92D87">
      <w:pPr>
        <w:spacing w:line="240" w:lineRule="auto"/>
        <w:jc w:val="both"/>
      </w:pPr>
      <w:r w:rsidRPr="001B34D0">
        <w:lastRenderedPageBreak/>
        <w:t>Fuente local:</w:t>
      </w:r>
    </w:p>
    <w:p w:rsidR="00982E3B" w:rsidRPr="001B34D0" w:rsidRDefault="00982E3B" w:rsidP="00A92D87">
      <w:pPr>
        <w:spacing w:line="240" w:lineRule="auto"/>
        <w:jc w:val="both"/>
      </w:pPr>
      <w:r w:rsidRPr="001B34D0">
        <w:t xml:space="preserve">No se adjuntan datos de fuentes locales que permitan hacer interpretación. </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e.</w:t>
      </w:r>
      <w:r w:rsidRPr="001B34D0">
        <w:tab/>
        <w:t>Describa las recomendaciones que como gobierno local o departamental, le deja a la próxima administración para mejorar la situación de la población correspondiente al momento del ciclo de vida analizado:</w:t>
      </w:r>
    </w:p>
    <w:p w:rsidR="00982E3B" w:rsidRPr="001B34D0" w:rsidRDefault="00982E3B" w:rsidP="00A92D87">
      <w:pPr>
        <w:spacing w:line="240" w:lineRule="auto"/>
        <w:jc w:val="both"/>
      </w:pPr>
      <w:r w:rsidRPr="001B34D0">
        <w:t xml:space="preserve">Actualización del </w:t>
      </w:r>
      <w:r w:rsidR="007E5119" w:rsidRPr="001B34D0">
        <w:t>diagnóstico</w:t>
      </w:r>
      <w:r w:rsidRPr="001B34D0">
        <w:t xml:space="preserve"> poblacional y la </w:t>
      </w:r>
      <w:r w:rsidR="007E5119" w:rsidRPr="001B34D0">
        <w:t>adecuación</w:t>
      </w:r>
      <w:r w:rsidRPr="001B34D0">
        <w:t xml:space="preserve"> de acciones pertinentes.</w:t>
      </w:r>
    </w:p>
    <w:p w:rsidR="00982E3B" w:rsidRPr="001B34D0" w:rsidRDefault="00982E3B" w:rsidP="00A92D87">
      <w:pPr>
        <w:spacing w:line="240" w:lineRule="auto"/>
        <w:jc w:val="both"/>
      </w:pPr>
      <w:r w:rsidRPr="001B34D0">
        <w:t xml:space="preserve">Reforzar las acciones y programas preventivos. </w:t>
      </w:r>
    </w:p>
    <w:p w:rsidR="00982E3B" w:rsidRPr="001B34D0" w:rsidRDefault="00982E3B" w:rsidP="00A92D87">
      <w:pPr>
        <w:spacing w:line="240" w:lineRule="auto"/>
        <w:jc w:val="both"/>
      </w:pPr>
      <w:r w:rsidRPr="001B34D0">
        <w:t>Garantizar equipos técnicos interdisciplinarios cualificados en las comisarías de familias</w:t>
      </w:r>
    </w:p>
    <w:p w:rsidR="00982E3B" w:rsidRPr="001B34D0" w:rsidRDefault="00982E3B" w:rsidP="00A92D87">
      <w:pPr>
        <w:spacing w:line="240" w:lineRule="auto"/>
        <w:jc w:val="both"/>
      </w:pPr>
      <w:r w:rsidRPr="001B34D0">
        <w:t xml:space="preserve">Asignación de recursos para el fortalecimiento de entornos protectores en el plan de desarrollo. </w:t>
      </w:r>
    </w:p>
    <w:p w:rsidR="00982E3B" w:rsidRPr="001B34D0" w:rsidRDefault="00982E3B" w:rsidP="00A92D87">
      <w:pPr>
        <w:spacing w:line="240" w:lineRule="auto"/>
        <w:jc w:val="both"/>
      </w:pPr>
      <w:r w:rsidRPr="001B34D0">
        <w:t>Asignación de recursos para la financiación de hogares de paso y cofinanciación de cupos en hogares sustitutos e instituciones</w:t>
      </w:r>
    </w:p>
    <w:p w:rsidR="00982E3B" w:rsidRPr="001B34D0" w:rsidRDefault="00982E3B" w:rsidP="00A92D87">
      <w:pPr>
        <w:spacing w:line="240" w:lineRule="auto"/>
        <w:jc w:val="both"/>
      </w:pPr>
      <w:r w:rsidRPr="001B34D0">
        <w:t xml:space="preserve">Adelantar convenios con las universidades y demás instituciones del estado que contribuyan al restablecimiento de los derechos.  De igual manera la vinculación a programas de atención especializada para la PREPARACION PARA LA VIDA LABORAL Y PRODUCTIVA y construcción de proyecto de vida de los adolescentes. </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CÓDIGO DEL INDICADOR: 70</w:t>
      </w:r>
    </w:p>
    <w:p w:rsidR="00982E3B" w:rsidRPr="001B34D0" w:rsidRDefault="00982E3B" w:rsidP="00A92D87">
      <w:pPr>
        <w:spacing w:line="240" w:lineRule="auto"/>
        <w:jc w:val="both"/>
      </w:pPr>
      <w:r w:rsidRPr="001B34D0">
        <w:t>Nombre del indicador: Número de niños, niñas y adolescentes atendidos por el ICBF con Proceso Administrativo de Restablecimiento de Derechos - PARD identificados como víctimas de violencia sexual</w:t>
      </w:r>
    </w:p>
    <w:p w:rsidR="00982E3B" w:rsidRPr="001B34D0" w:rsidRDefault="00982E3B" w:rsidP="00A92D87">
      <w:pPr>
        <w:spacing w:line="240" w:lineRule="auto"/>
        <w:jc w:val="both"/>
      </w:pPr>
      <w:r w:rsidRPr="001B34D0">
        <w:t>b.</w:t>
      </w:r>
      <w:r w:rsidRPr="001B34D0">
        <w:tab/>
        <w:t>Identifique cual es la fuente de información que respalda el análisis que realizará a continuación (nacional o local), identificando sus fortalezas y debilidades:</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o</w:t>
      </w:r>
      <w:r w:rsidRPr="001B34D0">
        <w:tab/>
        <w:t>Fuente Nacional X</w:t>
      </w:r>
    </w:p>
    <w:p w:rsidR="00982E3B" w:rsidRPr="001B34D0" w:rsidRDefault="00982E3B" w:rsidP="00A92D87">
      <w:pPr>
        <w:spacing w:line="240" w:lineRule="auto"/>
        <w:jc w:val="both"/>
      </w:pPr>
      <w:r w:rsidRPr="001B34D0">
        <w:t>o</w:t>
      </w:r>
      <w:r w:rsidRPr="001B34D0">
        <w:tab/>
        <w:t>Fuente Local</w:t>
      </w:r>
    </w:p>
    <w:p w:rsidR="00982E3B" w:rsidRPr="001B34D0" w:rsidRDefault="00982E3B" w:rsidP="00A92D87">
      <w:pPr>
        <w:spacing w:line="240" w:lineRule="auto"/>
        <w:jc w:val="both"/>
      </w:pPr>
      <w:r w:rsidRPr="001B34D0">
        <w:t xml:space="preserve"> Fortalezas:</w:t>
      </w:r>
    </w:p>
    <w:p w:rsidR="00982E3B" w:rsidRPr="001B34D0" w:rsidRDefault="00982E3B" w:rsidP="00A92D87">
      <w:pPr>
        <w:spacing w:line="240" w:lineRule="auto"/>
        <w:jc w:val="both"/>
      </w:pPr>
      <w:r w:rsidRPr="001B34D0">
        <w:t xml:space="preserve">Se cuenta con un sistema de información misional SIM desde el ICBF que permite identificar el </w:t>
      </w:r>
      <w:r w:rsidR="007E5119" w:rsidRPr="001B34D0">
        <w:t>número</w:t>
      </w:r>
      <w:r w:rsidRPr="001B34D0">
        <w:t xml:space="preserve"> de niños, niñas y adolescentes en proceso administrativo – PARD, identificados como </w:t>
      </w:r>
      <w:r w:rsidR="007E5119" w:rsidRPr="001B34D0">
        <w:t>víctimas</w:t>
      </w:r>
      <w:r w:rsidRPr="001B34D0">
        <w:t xml:space="preserve"> de violencia sexual y las medidas adoptadas por las respectivas </w:t>
      </w:r>
      <w:r w:rsidR="007E5119" w:rsidRPr="001B34D0">
        <w:t>Defensorías</w:t>
      </w:r>
      <w:r w:rsidRPr="001B34D0">
        <w:t xml:space="preserve"> de Familia para el restablecimiento de derechos.</w:t>
      </w:r>
    </w:p>
    <w:p w:rsidR="00982E3B" w:rsidRPr="001B34D0" w:rsidRDefault="00982E3B" w:rsidP="00A92D87">
      <w:pPr>
        <w:spacing w:line="240" w:lineRule="auto"/>
        <w:jc w:val="both"/>
      </w:pPr>
      <w:r w:rsidRPr="001B34D0">
        <w:t xml:space="preserve">Esta </w:t>
      </w:r>
      <w:r w:rsidR="007E5119" w:rsidRPr="001B34D0">
        <w:t>información</w:t>
      </w:r>
      <w:r w:rsidRPr="001B34D0">
        <w:t xml:space="preserve"> sirve para alimentar el Sistema Único de </w:t>
      </w:r>
      <w:r w:rsidR="007E5119" w:rsidRPr="001B34D0">
        <w:t>Información</w:t>
      </w:r>
      <w:r w:rsidRPr="001B34D0">
        <w:t xml:space="preserve"> para la niñez SUIN, el que permite consolidar la </w:t>
      </w:r>
      <w:r w:rsidR="007E5119" w:rsidRPr="001B34D0">
        <w:t>estadística</w:t>
      </w:r>
      <w:r w:rsidRPr="001B34D0">
        <w:t xml:space="preserve"> nacional, departamental y municipal de niños, niñas y </w:t>
      </w:r>
      <w:r w:rsidRPr="001B34D0">
        <w:lastRenderedPageBreak/>
        <w:t xml:space="preserve">adolescentes en proceso administrativo de restablecimiento de derechos, reportados como </w:t>
      </w:r>
      <w:r w:rsidR="007E5119" w:rsidRPr="001B34D0">
        <w:t>víctimas</w:t>
      </w:r>
      <w:r w:rsidRPr="001B34D0">
        <w:t xml:space="preserve"> de violencia sexual.</w:t>
      </w:r>
    </w:p>
    <w:p w:rsidR="00982E3B" w:rsidRPr="001B34D0" w:rsidRDefault="00982E3B" w:rsidP="00A92D87">
      <w:pPr>
        <w:spacing w:line="240" w:lineRule="auto"/>
        <w:jc w:val="both"/>
      </w:pPr>
      <w:r w:rsidRPr="001B34D0">
        <w:t>Debilidades:</w:t>
      </w:r>
    </w:p>
    <w:p w:rsidR="00982E3B" w:rsidRPr="001B34D0" w:rsidRDefault="00982E3B" w:rsidP="00A92D87">
      <w:pPr>
        <w:spacing w:line="240" w:lineRule="auto"/>
        <w:jc w:val="both"/>
      </w:pPr>
      <w:r w:rsidRPr="001B34D0">
        <w:t>Al Sistema de Información Misional - SIM, solo tiene acceso el ICBF y no los Comisarios de Familia quienes en el territorio por competencia subsidiaria, adelantan procesos administrativos de restablecimiento de derechos a víctimas de violencia sexual.</w:t>
      </w:r>
    </w:p>
    <w:p w:rsidR="00982E3B" w:rsidRPr="001B34D0" w:rsidRDefault="00982E3B" w:rsidP="00A92D87">
      <w:pPr>
        <w:spacing w:line="240" w:lineRule="auto"/>
        <w:jc w:val="both"/>
      </w:pPr>
      <w:r w:rsidRPr="001B34D0">
        <w:t>Durante el periodo a analizar, desde las comisarías de familia se envió la información de los Procesos Administrativos de Restablecimiento de Derechos- PARD atendidos al ICBF víctimas de violencia sexual , en un instrumento diseñado para tal fin, por cuanto, la comisaria de Familia, no cuentan con un sistema de información propio.</w:t>
      </w:r>
    </w:p>
    <w:p w:rsidR="00982E3B" w:rsidRPr="001B34D0" w:rsidRDefault="00982E3B" w:rsidP="00A92D87">
      <w:pPr>
        <w:spacing w:line="240" w:lineRule="auto"/>
        <w:jc w:val="both"/>
      </w:pPr>
      <w:r w:rsidRPr="001B34D0">
        <w:t>f.</w:t>
      </w:r>
      <w:r w:rsidRPr="001B34D0">
        <w:tab/>
        <w:t xml:space="preserve">Indique, según los siguientes criterios de valoración, cual es el que mejor interpreta el comportamiento del indicador analizado, para  el periodo comprendido entre los años 2011 y 2014. </w:t>
      </w:r>
    </w:p>
    <w:p w:rsidR="00982E3B" w:rsidRPr="001B34D0" w:rsidRDefault="00982E3B" w:rsidP="00A92D87">
      <w:pPr>
        <w:spacing w:line="240" w:lineRule="auto"/>
        <w:jc w:val="both"/>
      </w:pPr>
      <w:r w:rsidRPr="001B34D0">
        <w:t>Tenga en cuenta que debe analizar el periodo completo (2011 al 2014), si no cuenta con información para todos los años, la categoría a señalar es "sin serie Temporal":</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o</w:t>
      </w:r>
      <w:r w:rsidRPr="001B34D0">
        <w:tab/>
        <w:t xml:space="preserve">Mejoró  </w:t>
      </w:r>
    </w:p>
    <w:p w:rsidR="00982E3B" w:rsidRPr="001B34D0" w:rsidRDefault="00982E3B" w:rsidP="00A92D87">
      <w:pPr>
        <w:spacing w:line="240" w:lineRule="auto"/>
        <w:jc w:val="both"/>
      </w:pPr>
      <w:r w:rsidRPr="001B34D0">
        <w:t>o</w:t>
      </w:r>
      <w:r w:rsidRPr="001B34D0">
        <w:tab/>
        <w:t>Desmejoró</w:t>
      </w:r>
    </w:p>
    <w:p w:rsidR="00982E3B" w:rsidRPr="001B34D0" w:rsidRDefault="00982E3B" w:rsidP="00A92D87">
      <w:pPr>
        <w:spacing w:line="240" w:lineRule="auto"/>
        <w:jc w:val="both"/>
      </w:pPr>
      <w:r w:rsidRPr="001B34D0">
        <w:t>o</w:t>
      </w:r>
      <w:r w:rsidRPr="001B34D0">
        <w:tab/>
        <w:t>Estable</w:t>
      </w:r>
    </w:p>
    <w:p w:rsidR="00982E3B" w:rsidRPr="001B34D0" w:rsidRDefault="00982E3B" w:rsidP="00A92D87">
      <w:pPr>
        <w:spacing w:line="240" w:lineRule="auto"/>
        <w:jc w:val="both"/>
      </w:pPr>
      <w:r w:rsidRPr="001B34D0">
        <w:t xml:space="preserve">X   Sin serie temporal </w:t>
      </w:r>
    </w:p>
    <w:p w:rsidR="00982E3B" w:rsidRPr="001B34D0" w:rsidRDefault="00982E3B" w:rsidP="00A92D87">
      <w:pPr>
        <w:spacing w:line="240" w:lineRule="auto"/>
        <w:jc w:val="both"/>
      </w:pPr>
      <w:r w:rsidRPr="001B34D0">
        <w:t>o</w:t>
      </w:r>
      <w:r w:rsidRPr="001B34D0">
        <w:tab/>
        <w:t>Sin datos</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g.</w:t>
      </w:r>
      <w:r w:rsidRPr="001B34D0">
        <w:tab/>
        <w:t>Analice la categoría de valoración dada al indicador, identificando los impactos positivos o negativos sobre la población correspondiente al momento del ciclo de vida analizado, desde la situación encontrada al inicio de la administración y la del último año de referencia (2014 o 2015 según aplique):</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Impactos positivos:</w:t>
      </w:r>
    </w:p>
    <w:p w:rsidR="00982E3B" w:rsidRPr="001B34D0" w:rsidRDefault="00982E3B" w:rsidP="00A92D87">
      <w:pPr>
        <w:spacing w:line="240" w:lineRule="auto"/>
        <w:jc w:val="both"/>
      </w:pPr>
      <w:r w:rsidRPr="001B34D0">
        <w:t>Los niños, niñas, adolescentes y  sus familias, que vivieron experiencias de violencia sexual y a quienes se les aperturó proceso administrativo de restablecimiento de derechos fueron atendidos por la Comisaria de Familia del municipio, pese a la carencia de equipos interdisciplinarios.</w:t>
      </w:r>
    </w:p>
    <w:p w:rsidR="00982E3B" w:rsidRPr="001B34D0" w:rsidRDefault="00982E3B" w:rsidP="00A92D87">
      <w:pPr>
        <w:spacing w:line="240" w:lineRule="auto"/>
        <w:jc w:val="both"/>
      </w:pPr>
      <w:r w:rsidRPr="001B34D0">
        <w:t>El territorio desarrollo acciones de prevención de violencia sexual  dirigidas a los niños, niñas adolescentes y sus familias.</w:t>
      </w:r>
    </w:p>
    <w:p w:rsidR="00982E3B" w:rsidRPr="001B34D0" w:rsidRDefault="00982E3B" w:rsidP="00A92D87">
      <w:pPr>
        <w:spacing w:line="240" w:lineRule="auto"/>
        <w:jc w:val="both"/>
      </w:pPr>
      <w:r w:rsidRPr="001B34D0">
        <w:lastRenderedPageBreak/>
        <w:t>Ejecución de campañas de prevención y sensibilización para generar factores protectores en la familia y en espacios académicos y promover la denuncia ante las autoridades competentes.</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Articulación del Sistema Nacional de Bienestar Familiar para la garantía de derechos de los niños, niñas y adolescentes.</w:t>
      </w:r>
    </w:p>
    <w:p w:rsidR="00982E3B" w:rsidRPr="001B34D0" w:rsidRDefault="00982E3B" w:rsidP="00A92D87">
      <w:pPr>
        <w:spacing w:line="240" w:lineRule="auto"/>
        <w:jc w:val="both"/>
      </w:pPr>
      <w:r w:rsidRPr="001B34D0">
        <w:t>Impactos negativos:</w:t>
      </w:r>
    </w:p>
    <w:p w:rsidR="00982E3B" w:rsidRPr="001B34D0" w:rsidRDefault="00982E3B" w:rsidP="00A92D87">
      <w:pPr>
        <w:spacing w:line="240" w:lineRule="auto"/>
        <w:jc w:val="both"/>
      </w:pPr>
      <w:r w:rsidRPr="001B34D0">
        <w:t xml:space="preserve">Deficiente atención terapéutica para los niños, niñas, adolescentes y familia, requerida para los casos de abuso sexual debido a la falta de recursos que permitan la contratación de profesionales especializados, toda vez que la afectación para las víctimas de abuso sexual generan múltiples y complejas consecuencias como: </w:t>
      </w:r>
    </w:p>
    <w:p w:rsidR="00982E3B" w:rsidRPr="001B34D0" w:rsidRDefault="00982E3B" w:rsidP="00A92D87">
      <w:pPr>
        <w:spacing w:line="240" w:lineRule="auto"/>
        <w:jc w:val="both"/>
      </w:pPr>
      <w:r w:rsidRPr="001B34D0">
        <w:t>Alteraciones físicas, cognitivas, emocionales, comportamentales, sociales, sexuales en los niños, niñas y adolescentes.</w:t>
      </w:r>
    </w:p>
    <w:p w:rsidR="00982E3B" w:rsidRPr="001B34D0" w:rsidRDefault="00982E3B" w:rsidP="00A92D87">
      <w:pPr>
        <w:spacing w:line="240" w:lineRule="auto"/>
        <w:jc w:val="both"/>
      </w:pPr>
      <w:r w:rsidRPr="001B34D0">
        <w:t>Niños, niñas y adolescentes con  vulneración de derechos.</w:t>
      </w:r>
    </w:p>
    <w:p w:rsidR="00982E3B" w:rsidRPr="001B34D0" w:rsidRDefault="00982E3B" w:rsidP="00A92D87">
      <w:pPr>
        <w:spacing w:line="240" w:lineRule="auto"/>
        <w:jc w:val="both"/>
      </w:pPr>
      <w:r w:rsidRPr="001B34D0">
        <w:t>Afectación de la calidad y proyecto de vida.</w:t>
      </w:r>
    </w:p>
    <w:p w:rsidR="00982E3B" w:rsidRPr="001B34D0" w:rsidRDefault="00982E3B" w:rsidP="00A92D87">
      <w:pPr>
        <w:spacing w:line="240" w:lineRule="auto"/>
        <w:jc w:val="both"/>
      </w:pPr>
      <w:r w:rsidRPr="001B34D0">
        <w:t>Conductas suicidas.</w:t>
      </w:r>
    </w:p>
    <w:p w:rsidR="00982E3B" w:rsidRPr="001B34D0" w:rsidRDefault="00982E3B" w:rsidP="00A92D87">
      <w:pPr>
        <w:spacing w:line="240" w:lineRule="auto"/>
        <w:jc w:val="both"/>
      </w:pPr>
      <w:r w:rsidRPr="001B34D0">
        <w:t>Desestructuración familiar.</w:t>
      </w:r>
    </w:p>
    <w:p w:rsidR="00982E3B" w:rsidRPr="001B34D0" w:rsidRDefault="00982E3B" w:rsidP="00A92D87">
      <w:pPr>
        <w:spacing w:line="240" w:lineRule="auto"/>
        <w:jc w:val="both"/>
      </w:pPr>
      <w:r w:rsidRPr="001B34D0">
        <w:t xml:space="preserve">Generación de problemáticas  socio familiares </w:t>
      </w:r>
    </w:p>
    <w:p w:rsidR="00982E3B" w:rsidRPr="001B34D0" w:rsidRDefault="00982E3B" w:rsidP="00A92D87">
      <w:pPr>
        <w:spacing w:line="240" w:lineRule="auto"/>
        <w:jc w:val="both"/>
      </w:pPr>
      <w:r w:rsidRPr="001B34D0">
        <w:t>Entornos protectores no garantes.</w:t>
      </w:r>
    </w:p>
    <w:p w:rsidR="00982E3B" w:rsidRPr="001B34D0" w:rsidRDefault="00982E3B" w:rsidP="00A92D87">
      <w:pPr>
        <w:spacing w:line="240" w:lineRule="auto"/>
        <w:jc w:val="both"/>
      </w:pPr>
      <w:r w:rsidRPr="001B34D0">
        <w:t>Consumo de sustancias psicoactivas</w:t>
      </w:r>
    </w:p>
    <w:p w:rsidR="00982E3B" w:rsidRPr="001B34D0" w:rsidRDefault="00982E3B" w:rsidP="00A92D87">
      <w:pPr>
        <w:spacing w:line="240" w:lineRule="auto"/>
        <w:jc w:val="both"/>
      </w:pPr>
      <w:r w:rsidRPr="001B34D0">
        <w:t>Embarazos en adolescentes.</w:t>
      </w:r>
    </w:p>
    <w:p w:rsidR="00982E3B" w:rsidRPr="001B34D0" w:rsidRDefault="00982E3B" w:rsidP="00A92D87">
      <w:pPr>
        <w:spacing w:line="240" w:lineRule="auto"/>
        <w:jc w:val="both"/>
      </w:pPr>
      <w:r w:rsidRPr="001B34D0">
        <w:t>h.</w:t>
      </w:r>
      <w:r w:rsidRPr="001B34D0">
        <w:tab/>
        <w:t xml:space="preserve">Realice un análisis de las razones del comportamiento del indicador (según serie temporal) teniendo en cuenta la fuente que está utilizando (nacional o local). Si la fuente de información ofrece niveles de desagregación (sexo, área, etnia, discapacidad, etc.), inclúyalos en el análisis. </w:t>
      </w:r>
    </w:p>
    <w:p w:rsidR="00982E3B" w:rsidRPr="001B34D0" w:rsidRDefault="00982E3B" w:rsidP="00A92D87">
      <w:pPr>
        <w:spacing w:line="240" w:lineRule="auto"/>
        <w:jc w:val="both"/>
      </w:pPr>
      <w:r w:rsidRPr="001B34D0">
        <w:t>Si puede argumentar el comportamiento del indicador según la fuente alterna puede hacerlo en el campo correspondiente:</w:t>
      </w:r>
    </w:p>
    <w:p w:rsidR="00982E3B" w:rsidRPr="001B34D0" w:rsidRDefault="00982E3B" w:rsidP="00A92D87">
      <w:pPr>
        <w:spacing w:line="240" w:lineRule="auto"/>
        <w:jc w:val="both"/>
      </w:pPr>
      <w:r w:rsidRPr="001B34D0">
        <w:t>Fuente Nacional:</w:t>
      </w:r>
    </w:p>
    <w:p w:rsidR="00982E3B" w:rsidRPr="001B34D0" w:rsidRDefault="00982E3B" w:rsidP="00A92D87">
      <w:pPr>
        <w:spacing w:line="240" w:lineRule="auto"/>
        <w:jc w:val="both"/>
      </w:pPr>
      <w:r w:rsidRPr="001B34D0">
        <w:t>Revisada la fuente de información nacional,  se verifica para la vigencia 2011-2014 se reportan procesos administrativos de restablecimiento de derechos de niños niñas y adolescentes víctimas de violencia sexual, un descenso cuantitativo de un año a otro. Lo cual se atribuye a acciones como:</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w:t>
      </w:r>
      <w:r w:rsidRPr="001B34D0">
        <w:tab/>
        <w:t xml:space="preserve">Se desarrollaron campañas preventivas </w:t>
      </w:r>
      <w:r w:rsidR="007E5119" w:rsidRPr="001B34D0">
        <w:t>y programas encaminados</w:t>
      </w:r>
      <w:r w:rsidRPr="001B34D0">
        <w:t xml:space="preserve"> a la sensibilización de las familias para ser garantes de derechos   y protectores.</w:t>
      </w:r>
    </w:p>
    <w:p w:rsidR="00982E3B" w:rsidRPr="001B34D0" w:rsidRDefault="00982E3B" w:rsidP="00A92D87">
      <w:pPr>
        <w:spacing w:line="240" w:lineRule="auto"/>
        <w:jc w:val="both"/>
      </w:pPr>
      <w:r w:rsidRPr="001B34D0">
        <w:lastRenderedPageBreak/>
        <w:t>•</w:t>
      </w:r>
      <w:r w:rsidRPr="001B34D0">
        <w:tab/>
        <w:t>Mayor sensibilización de la comunidad en general que incentiva la denuncia.</w:t>
      </w:r>
    </w:p>
    <w:p w:rsidR="00982E3B" w:rsidRPr="001B34D0" w:rsidRDefault="00982E3B" w:rsidP="00A92D87">
      <w:pPr>
        <w:spacing w:line="240" w:lineRule="auto"/>
        <w:jc w:val="both"/>
      </w:pPr>
      <w:r w:rsidRPr="001B34D0">
        <w:t>•</w:t>
      </w:r>
      <w:r w:rsidRPr="001B34D0">
        <w:tab/>
        <w:t>Implementación y fortalecimiento de la ruta haz paz.</w:t>
      </w:r>
    </w:p>
    <w:p w:rsidR="00982E3B" w:rsidRPr="001B34D0" w:rsidRDefault="00982E3B" w:rsidP="00A92D87">
      <w:pPr>
        <w:spacing w:line="240" w:lineRule="auto"/>
        <w:jc w:val="both"/>
      </w:pPr>
      <w:r w:rsidRPr="001B34D0">
        <w:t>•</w:t>
      </w:r>
      <w:r w:rsidRPr="001B34D0">
        <w:tab/>
        <w:t>Implementación y fortalecimiento de las rutas de atención y prevención  de maltrato infantil, abuso sexual, violencia intrafamiliar y trabajo infantil.</w:t>
      </w:r>
    </w:p>
    <w:p w:rsidR="00982E3B" w:rsidRPr="001B34D0" w:rsidRDefault="00982E3B" w:rsidP="00A92D87">
      <w:pPr>
        <w:spacing w:line="240" w:lineRule="auto"/>
        <w:jc w:val="both"/>
      </w:pPr>
      <w:r w:rsidRPr="001B34D0">
        <w:t>•</w:t>
      </w:r>
      <w:r w:rsidRPr="001B34D0">
        <w:tab/>
        <w:t>Mayor conocimiento y apropiación de la ley 1098 de 2006.</w:t>
      </w:r>
    </w:p>
    <w:p w:rsidR="00982E3B" w:rsidRPr="001B34D0" w:rsidRDefault="00982E3B" w:rsidP="00A92D87">
      <w:pPr>
        <w:spacing w:line="240" w:lineRule="auto"/>
        <w:jc w:val="both"/>
      </w:pPr>
      <w:r w:rsidRPr="001B34D0">
        <w:t xml:space="preserve"> •</w:t>
      </w:r>
      <w:r w:rsidRPr="001B34D0">
        <w:tab/>
        <w:t>Mayor concientización  y  apropiación  de factores protectores en la familia y la comunidad  frente al abuso sexual</w:t>
      </w:r>
    </w:p>
    <w:p w:rsidR="00982E3B" w:rsidRPr="001B34D0" w:rsidRDefault="00982E3B" w:rsidP="00A92D87">
      <w:pPr>
        <w:spacing w:line="240" w:lineRule="auto"/>
        <w:jc w:val="both"/>
      </w:pPr>
      <w:r w:rsidRPr="001B34D0">
        <w:t>•</w:t>
      </w:r>
      <w:r w:rsidRPr="001B34D0">
        <w:tab/>
        <w:t>Mesa de primera infancia, infancia y adolescencia con planes operativos encaminados a la prevención y atención de violencia sexual.</w:t>
      </w:r>
    </w:p>
    <w:p w:rsidR="00982E3B" w:rsidRPr="001B34D0" w:rsidRDefault="00982E3B" w:rsidP="00A92D87">
      <w:pPr>
        <w:spacing w:line="240" w:lineRule="auto"/>
        <w:jc w:val="both"/>
      </w:pPr>
      <w:r w:rsidRPr="001B34D0">
        <w:t>•</w:t>
      </w:r>
      <w:r w:rsidRPr="001B34D0">
        <w:tab/>
        <w:t>Red del buen trato  desarrollando acciones de prevención y atención.</w:t>
      </w:r>
    </w:p>
    <w:p w:rsidR="00982E3B" w:rsidRPr="001B34D0" w:rsidRDefault="00982E3B" w:rsidP="00A92D87">
      <w:pPr>
        <w:spacing w:line="240" w:lineRule="auto"/>
        <w:jc w:val="both"/>
      </w:pPr>
      <w:r w:rsidRPr="001B34D0">
        <w:t>•</w:t>
      </w:r>
      <w:r w:rsidRPr="001B34D0">
        <w:tab/>
        <w:t>Articulación del sistema nacional de bienestar familiar para la garantía de derechos de los niños, niñas y adolescentes.</w:t>
      </w:r>
    </w:p>
    <w:p w:rsidR="00982E3B" w:rsidRPr="001B34D0" w:rsidRDefault="00982E3B" w:rsidP="00A92D87">
      <w:pPr>
        <w:spacing w:line="240" w:lineRule="auto"/>
        <w:jc w:val="both"/>
      </w:pPr>
      <w:r w:rsidRPr="001B34D0">
        <w:t>•</w:t>
      </w:r>
      <w:r w:rsidRPr="001B34D0">
        <w:tab/>
        <w:t>Aumento de penas para los victimarios de niños, niñas y adolescentes.</w:t>
      </w:r>
    </w:p>
    <w:p w:rsidR="00982E3B" w:rsidRPr="001B34D0" w:rsidRDefault="00982E3B" w:rsidP="00A92D87">
      <w:pPr>
        <w:spacing w:line="240" w:lineRule="auto"/>
        <w:jc w:val="both"/>
      </w:pPr>
      <w:r w:rsidRPr="001B34D0">
        <w:t>Entre las razones que explica la disminución estadística se encuentra el fortalecimiento de los centros de atención de víctimas de violencia sexual, con la corresponsabilidad de la Fiscalía General de la Nación para atender con un  Caivas no solo en la ciudad de Pasto, sino también  en Tumaco.</w:t>
      </w:r>
    </w:p>
    <w:p w:rsidR="00982E3B" w:rsidRPr="001B34D0" w:rsidRDefault="00982E3B" w:rsidP="00A92D87">
      <w:pPr>
        <w:spacing w:line="240" w:lineRule="auto"/>
        <w:jc w:val="both"/>
      </w:pPr>
      <w:r w:rsidRPr="001B34D0">
        <w:t>Se utilizaron las modalidades de atención que dispone el ICBF tales como intervención terapéutica, intervención de apoyo, hogar sustituto.</w:t>
      </w:r>
    </w:p>
    <w:p w:rsidR="00982E3B" w:rsidRPr="001B34D0" w:rsidRDefault="00982E3B" w:rsidP="00A92D87">
      <w:pPr>
        <w:spacing w:line="240" w:lineRule="auto"/>
        <w:jc w:val="both"/>
      </w:pPr>
      <w:r w:rsidRPr="001B34D0">
        <w:t xml:space="preserve">Coordinación y participación conjunta con otras entidades en los Comités Interinstitucionales Consultivos para la prevención de la violencia sexual y atención integral de los niños, niñas y adolescentes </w:t>
      </w:r>
      <w:r w:rsidR="007E5119" w:rsidRPr="001B34D0">
        <w:t>víctimas</w:t>
      </w:r>
      <w:r w:rsidRPr="001B34D0">
        <w:t xml:space="preserve"> de abuso sexual.</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Vigencia 2.012</w:t>
      </w:r>
    </w:p>
    <w:p w:rsidR="00982E3B" w:rsidRPr="001B34D0" w:rsidRDefault="00982E3B" w:rsidP="00A92D87">
      <w:pPr>
        <w:spacing w:line="240" w:lineRule="auto"/>
        <w:jc w:val="both"/>
      </w:pPr>
      <w:r w:rsidRPr="001B34D0">
        <w:t>1.</w:t>
      </w:r>
      <w:r w:rsidRPr="001B34D0">
        <w:tab/>
        <w:t>El IDSN brindó asistencia técnica a los 64 municipios logrando implementar la estrategia ICDP  en el 97% de los municipios, dirigido a actores del SGSSS de nivel municipal.</w:t>
      </w:r>
    </w:p>
    <w:p w:rsidR="00982E3B" w:rsidRPr="001B34D0" w:rsidRDefault="00982E3B" w:rsidP="00A92D87">
      <w:pPr>
        <w:spacing w:line="240" w:lineRule="auto"/>
        <w:jc w:val="both"/>
      </w:pPr>
      <w:r w:rsidRPr="001B34D0">
        <w:t>2.</w:t>
      </w:r>
      <w:r w:rsidRPr="001B34D0">
        <w:tab/>
        <w:t>Taller Departamental "Modelo de Atención Integral a Víctimas de Violencia Sexual". Se capacitó a 31 Directores Locales de Salud, 42 Comisarios de Familia, 45 profesionales de salud de las ESEs, IPSs, 6 EPS y 3 universidades formadoras del recurso humano.</w:t>
      </w:r>
    </w:p>
    <w:p w:rsidR="00982E3B" w:rsidRPr="001B34D0" w:rsidRDefault="00982E3B" w:rsidP="00A92D87">
      <w:pPr>
        <w:spacing w:line="240" w:lineRule="auto"/>
        <w:jc w:val="both"/>
      </w:pPr>
      <w:r w:rsidRPr="001B34D0">
        <w:t>3.</w:t>
      </w:r>
      <w:r w:rsidRPr="001B34D0">
        <w:tab/>
        <w:t>Se realizaron talleres en Tumaco, La Unión, Ipiales y Túquerres en Modelo de Atención Integral a Víctimas de Violencia Sexual.</w:t>
      </w:r>
    </w:p>
    <w:p w:rsidR="00982E3B" w:rsidRPr="001B34D0" w:rsidRDefault="00982E3B" w:rsidP="00A92D87">
      <w:pPr>
        <w:spacing w:line="240" w:lineRule="auto"/>
        <w:jc w:val="both"/>
      </w:pPr>
      <w:r w:rsidRPr="001B34D0">
        <w:t>4.</w:t>
      </w:r>
      <w:r w:rsidRPr="001B34D0">
        <w:tab/>
        <w:t>Implementación del modelo de atención en salud a víctimas de violencia sexual en el departamento de Nariño.</w:t>
      </w:r>
    </w:p>
    <w:p w:rsidR="00982E3B" w:rsidRPr="001B34D0" w:rsidRDefault="00982E3B" w:rsidP="00A92D87">
      <w:pPr>
        <w:spacing w:line="240" w:lineRule="auto"/>
        <w:jc w:val="both"/>
      </w:pPr>
      <w:r w:rsidRPr="001B34D0">
        <w:lastRenderedPageBreak/>
        <w:t>Vigencia 2.013</w:t>
      </w:r>
    </w:p>
    <w:p w:rsidR="00982E3B" w:rsidRPr="001B34D0" w:rsidRDefault="00982E3B" w:rsidP="00A92D87">
      <w:pPr>
        <w:spacing w:line="240" w:lineRule="auto"/>
        <w:jc w:val="both"/>
      </w:pPr>
      <w:r w:rsidRPr="001B34D0">
        <w:t>1.</w:t>
      </w:r>
      <w:r w:rsidRPr="001B34D0">
        <w:tab/>
        <w:t>Talleres de fortalecimiento intersectorial y de Redes de apoyo en derechos sexuales y reproductivos priorizando municipios de mayor incidencia de los eventos de violencia.  IDSN –SSR. Se realizaron talleres con líderes y docentes de los municipios de Ricaurte, Tuquerres, Ipiales y Policarpa.</w:t>
      </w:r>
    </w:p>
    <w:p w:rsidR="00982E3B" w:rsidRPr="001B34D0" w:rsidRDefault="00982E3B" w:rsidP="00A92D87">
      <w:pPr>
        <w:spacing w:line="240" w:lineRule="auto"/>
        <w:jc w:val="both"/>
      </w:pPr>
      <w:r w:rsidRPr="001B34D0">
        <w:t>2.</w:t>
      </w:r>
      <w:r w:rsidRPr="001B34D0">
        <w:tab/>
        <w:t>Realización de un Foro Departamental en el marco del día de la No violencia contra las mujeres.</w:t>
      </w:r>
    </w:p>
    <w:p w:rsidR="00982E3B" w:rsidRPr="001B34D0" w:rsidRDefault="00982E3B" w:rsidP="00A92D87">
      <w:pPr>
        <w:spacing w:line="240" w:lineRule="auto"/>
        <w:jc w:val="both"/>
      </w:pPr>
      <w:r w:rsidRPr="001B34D0">
        <w:t>3.</w:t>
      </w:r>
      <w:r w:rsidRPr="001B34D0">
        <w:tab/>
        <w:t>Creación de una Macro Ruta en las funciones y acciones que se requieren para hacer prevención y atención de la violencia sexual desde los tres sectores y las diferentes instituciones, liderado por IDSN, Sector Justicia, Protección, Educación, Salud, Ministerio Público, donde se plantearon las acciones que se deben llevar a cabo teniendo en cuenta el contexto del departamento de Nariño y los municipios en los cuales solo cuentan con sector salud, inspección de policía y comisaria de familia.</w:t>
      </w:r>
    </w:p>
    <w:p w:rsidR="00982E3B" w:rsidRPr="001B34D0" w:rsidRDefault="00982E3B" w:rsidP="00A92D87">
      <w:pPr>
        <w:spacing w:line="240" w:lineRule="auto"/>
        <w:jc w:val="both"/>
      </w:pPr>
      <w:r w:rsidRPr="001B34D0">
        <w:t>4.</w:t>
      </w:r>
      <w:r w:rsidRPr="001B34D0">
        <w:tab/>
        <w:t>Se llevó a cabo el plan de medios de la semana de la No Violencia hacia las mujeres con la participación de los representantes de las instituciones del Comités Interinstitucional Consultivo para la Prevención de la violencia Sexual y Atención Integral de los NNA víctimas de Violencia Sexual.</w:t>
      </w:r>
    </w:p>
    <w:p w:rsidR="00982E3B" w:rsidRPr="001B34D0" w:rsidRDefault="00982E3B" w:rsidP="00A92D87">
      <w:pPr>
        <w:spacing w:line="240" w:lineRule="auto"/>
        <w:jc w:val="both"/>
      </w:pPr>
      <w:r w:rsidRPr="001B34D0">
        <w:t>Vigencia 2.014</w:t>
      </w:r>
    </w:p>
    <w:p w:rsidR="00982E3B" w:rsidRPr="001B34D0" w:rsidRDefault="00982E3B" w:rsidP="00A92D87">
      <w:pPr>
        <w:spacing w:line="240" w:lineRule="auto"/>
        <w:jc w:val="both"/>
      </w:pPr>
      <w:r w:rsidRPr="001B34D0">
        <w:t>1.</w:t>
      </w:r>
      <w:r w:rsidRPr="001B34D0">
        <w:tab/>
        <w:t>Validación de la Ruta Departamental de Atención Integral a Víctimas de Violencia Intrafamiliar, donde se contempla el tema de Violencia Sexual y Formulación del Plan de Acción Vigencia 2.014.</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Meta 1. Definir e implementar a nivel departamental estrategias que permitan realizar acciones de promoción y prevención de la violencia sexual en los 64 municipios del departamento</w:t>
      </w:r>
    </w:p>
    <w:p w:rsidR="00982E3B" w:rsidRPr="001B34D0" w:rsidRDefault="00982E3B" w:rsidP="00A92D87">
      <w:pPr>
        <w:spacing w:line="240" w:lineRule="auto"/>
        <w:jc w:val="both"/>
      </w:pPr>
      <w:r w:rsidRPr="001B34D0">
        <w:t>Meta 2. Capacitación y asistencia técnica a los sectores salud, justicia, protección y educación en el modelo de promoción y prevención de la violencia y atención a víctimas de violencia sexual de acuerdo a la macro ruta realizada en el 2014 en  los 64 municipios del departamento</w:t>
      </w:r>
    </w:p>
    <w:p w:rsidR="00982E3B" w:rsidRPr="001B34D0" w:rsidRDefault="00982E3B" w:rsidP="00A92D87">
      <w:pPr>
        <w:spacing w:line="240" w:lineRule="auto"/>
        <w:jc w:val="both"/>
      </w:pPr>
      <w:r w:rsidRPr="001B34D0">
        <w:t>Meta 3. Fortalecer la ruta de atención para Interrupción Voluntaria del Embarazo en los 64 municipios del departamento, coordinado con EPS.</w:t>
      </w:r>
    </w:p>
    <w:p w:rsidR="00982E3B" w:rsidRPr="001B34D0" w:rsidRDefault="00982E3B" w:rsidP="00A92D87">
      <w:pPr>
        <w:spacing w:line="240" w:lineRule="auto"/>
        <w:jc w:val="both"/>
      </w:pPr>
      <w:r w:rsidRPr="001B34D0">
        <w:t>Meta 4. 64 municipios con Asistencia Técnica a Comités Consultivos Municipales para la prevención de la Violencia sexual y la atención de las VVS.</w:t>
      </w:r>
    </w:p>
    <w:p w:rsidR="00982E3B" w:rsidRPr="001B34D0" w:rsidRDefault="00982E3B" w:rsidP="00A92D87">
      <w:pPr>
        <w:spacing w:line="240" w:lineRule="auto"/>
        <w:jc w:val="both"/>
      </w:pPr>
      <w:r w:rsidRPr="001B34D0">
        <w:t>Meta 5. Concertar la ruta de atención a víctimas de violencia basada en género en el marco del conflicto armado e incluirla en las macro rutas ya diseñadas en 2013.</w:t>
      </w:r>
    </w:p>
    <w:p w:rsidR="00982E3B" w:rsidRPr="001B34D0" w:rsidRDefault="00982E3B" w:rsidP="00A92D87">
      <w:pPr>
        <w:spacing w:line="240" w:lineRule="auto"/>
        <w:jc w:val="both"/>
      </w:pPr>
      <w:r w:rsidRPr="001B34D0">
        <w:t>Meta 6. Fortalecer el sistema de información de víctimas de violencia sexual y hacer cruce con las bases de datos entre los diferentes sectores con el fin de promover la garantía en la atención integral de los 64 municipios del departamento de Nariño.</w:t>
      </w:r>
    </w:p>
    <w:p w:rsidR="00982E3B" w:rsidRPr="001B34D0" w:rsidRDefault="00982E3B" w:rsidP="00A92D87">
      <w:pPr>
        <w:spacing w:line="240" w:lineRule="auto"/>
        <w:jc w:val="both"/>
      </w:pPr>
      <w:r w:rsidRPr="001B34D0">
        <w:lastRenderedPageBreak/>
        <w:t xml:space="preserve">Dentro de las debilidades, se verifica que  los 64 Municipios que corresponden a la Regional Nariño, solo en 2 Municipios hay Centros de atención para víctimas de abuso sexual CAIVAS (Tumaco y Pasto),  quienes cuentan con los equipos defensorías y coadyuvancia interinstitucional de la Fiscalía General de la Nación  para atender los asuntos derivados de la atención de los niños víctimas de abuso sexual en  proceso administrativo de restablecimiento de derechos, en los municipios restantes donde hay ICBF se atiende en los centros zonales y en los municipios donde no hay ICBF se atiende por competencia subsidiaria  a través de las Comisarias de familia que en su gran numero carecen de equipo completos para actuar. </w:t>
      </w:r>
    </w:p>
    <w:p w:rsidR="00982E3B" w:rsidRPr="001B34D0" w:rsidRDefault="00982E3B" w:rsidP="00A92D87">
      <w:pPr>
        <w:spacing w:line="240" w:lineRule="auto"/>
        <w:jc w:val="both"/>
      </w:pPr>
      <w:r w:rsidRPr="001B34D0">
        <w:t>Fuente local:</w:t>
      </w:r>
    </w:p>
    <w:p w:rsidR="00982E3B" w:rsidRPr="001B34D0" w:rsidRDefault="00982E3B" w:rsidP="00A92D87">
      <w:pPr>
        <w:spacing w:line="240" w:lineRule="auto"/>
        <w:jc w:val="both"/>
      </w:pPr>
      <w:r w:rsidRPr="001B34D0">
        <w:t>No se remiten datos locales que permitan hacer pronunciamiento interpretativo.</w:t>
      </w:r>
    </w:p>
    <w:p w:rsidR="00982E3B" w:rsidRPr="001B34D0" w:rsidRDefault="00982E3B" w:rsidP="00A92D87">
      <w:pPr>
        <w:spacing w:line="240" w:lineRule="auto"/>
        <w:jc w:val="both"/>
      </w:pPr>
      <w:r w:rsidRPr="001B34D0">
        <w:t>i.</w:t>
      </w:r>
      <w:r w:rsidRPr="001B34D0">
        <w:tab/>
        <w:t>Si encuentra diferencia entre la información de la fuente nacional y la información de la fuente local para este indicador que analiza, realice un análisis desde su experiencia, sobre las razones que pueden existir para ello. Si no hay diferencia o la información soporte no permite este análisis indique que no aplica registrando N/A:</w:t>
      </w:r>
    </w:p>
    <w:p w:rsidR="00982E3B" w:rsidRPr="001B34D0" w:rsidRDefault="00982E3B" w:rsidP="00A92D87">
      <w:pPr>
        <w:spacing w:line="240" w:lineRule="auto"/>
        <w:jc w:val="both"/>
      </w:pPr>
      <w:r w:rsidRPr="001B34D0">
        <w:t xml:space="preserve">No se adjuntan datos de fuentes locales que permitan hacer interpretación. </w:t>
      </w:r>
    </w:p>
    <w:p w:rsidR="00982E3B" w:rsidRPr="001B34D0" w:rsidRDefault="00982E3B" w:rsidP="00A92D87">
      <w:pPr>
        <w:spacing w:line="240" w:lineRule="auto"/>
        <w:jc w:val="both"/>
      </w:pPr>
      <w:r w:rsidRPr="001B34D0">
        <w:t>Describa las recomendaciones que como gobierno local o departamental, le deja a la próxima administración para mejorar la situación de la población correspondiente al momento del ciclo de vida analizado:</w:t>
      </w:r>
    </w:p>
    <w:p w:rsidR="00982E3B" w:rsidRPr="001B34D0" w:rsidRDefault="00982E3B" w:rsidP="00A92D87">
      <w:pPr>
        <w:spacing w:line="240" w:lineRule="auto"/>
        <w:jc w:val="both"/>
      </w:pPr>
      <w:r w:rsidRPr="001B34D0">
        <w:t xml:space="preserve">Actualización del </w:t>
      </w:r>
      <w:r w:rsidR="007E5119" w:rsidRPr="001B34D0">
        <w:t>diagnóstico</w:t>
      </w:r>
      <w:r w:rsidRPr="001B34D0">
        <w:t xml:space="preserve"> poblacional y la </w:t>
      </w:r>
      <w:r w:rsidR="007E5119" w:rsidRPr="001B34D0">
        <w:t>adecuación</w:t>
      </w:r>
      <w:r w:rsidRPr="001B34D0">
        <w:t xml:space="preserve"> de acciones pertinentes.</w:t>
      </w:r>
    </w:p>
    <w:p w:rsidR="00982E3B" w:rsidRPr="001B34D0" w:rsidRDefault="00982E3B" w:rsidP="00A92D87">
      <w:pPr>
        <w:spacing w:line="240" w:lineRule="auto"/>
        <w:jc w:val="both"/>
      </w:pPr>
      <w:r w:rsidRPr="001B34D0">
        <w:t xml:space="preserve">Reforzar las acciones y programas preventivos. </w:t>
      </w:r>
    </w:p>
    <w:p w:rsidR="00982E3B" w:rsidRPr="001B34D0" w:rsidRDefault="00982E3B" w:rsidP="00A92D87">
      <w:pPr>
        <w:spacing w:line="240" w:lineRule="auto"/>
        <w:jc w:val="both"/>
      </w:pPr>
      <w:r w:rsidRPr="001B34D0">
        <w:t xml:space="preserve">Garantizar equipos técnicos interdisciplinarios cualificados en las comisarías de familias, con la respectiva asignación de recursos para </w:t>
      </w:r>
      <w:r w:rsidR="007E5119" w:rsidRPr="001B34D0">
        <w:t>contratación</w:t>
      </w:r>
      <w:r w:rsidRPr="001B34D0">
        <w:t xml:space="preserve"> </w:t>
      </w:r>
      <w:r w:rsidR="007E5119" w:rsidRPr="001B34D0">
        <w:t>terapéutica</w:t>
      </w:r>
      <w:r w:rsidRPr="001B34D0">
        <w:t xml:space="preserve"> en los municipios con mayor incidencia de violencia sexual. </w:t>
      </w:r>
    </w:p>
    <w:p w:rsidR="00982E3B" w:rsidRPr="001B34D0" w:rsidRDefault="00982E3B" w:rsidP="00A92D87">
      <w:pPr>
        <w:spacing w:line="240" w:lineRule="auto"/>
        <w:jc w:val="both"/>
      </w:pPr>
      <w:r w:rsidRPr="001B34D0">
        <w:t xml:space="preserve">Asignación de recursos para el fortalecimiento de entornos protectores en el plan de desarrollo. </w:t>
      </w:r>
    </w:p>
    <w:p w:rsidR="00982E3B" w:rsidRPr="001B34D0" w:rsidRDefault="00982E3B" w:rsidP="00A92D87">
      <w:pPr>
        <w:spacing w:line="240" w:lineRule="auto"/>
        <w:jc w:val="both"/>
      </w:pPr>
      <w:r w:rsidRPr="001B34D0">
        <w:t>Asignación de recursos para la financiación de hogares de paso y cofinanciación de cupos en hogares sustitutos e instituciones</w:t>
      </w:r>
    </w:p>
    <w:p w:rsidR="00982E3B" w:rsidRPr="001B34D0" w:rsidRDefault="00982E3B" w:rsidP="00A92D87">
      <w:pPr>
        <w:spacing w:line="240" w:lineRule="auto"/>
        <w:jc w:val="both"/>
      </w:pPr>
      <w:r w:rsidRPr="001B34D0">
        <w:t xml:space="preserve">Adelantar convenios con las universidades y demás instituciones del estado que contribuyan al restablecimiento de los derechos.  De igual manera la vinculación a programas de atención especializada para la PREPARACION PARA LA VIDA LABORAL Y PRODUCTIVA y construcción de proyecto de vida de los adolescentes. </w:t>
      </w:r>
    </w:p>
    <w:p w:rsidR="00982E3B" w:rsidRPr="001B34D0" w:rsidRDefault="00982E3B" w:rsidP="00A92D87">
      <w:pPr>
        <w:spacing w:line="240" w:lineRule="auto"/>
        <w:jc w:val="both"/>
      </w:pPr>
      <w:r w:rsidRPr="001B34D0">
        <w:t xml:space="preserve">     Adecuar espacios físicos para brindar atención terapéutica idónea. </w:t>
      </w:r>
    </w:p>
    <w:p w:rsidR="00982E3B" w:rsidRPr="001B34D0" w:rsidRDefault="00982E3B" w:rsidP="00A92D87">
      <w:pPr>
        <w:spacing w:line="240" w:lineRule="auto"/>
        <w:jc w:val="both"/>
      </w:pPr>
    </w:p>
    <w:p w:rsidR="00982E3B" w:rsidRPr="001B34D0" w:rsidRDefault="00982E3B" w:rsidP="00A92D87">
      <w:pPr>
        <w:spacing w:line="240" w:lineRule="auto"/>
        <w:jc w:val="both"/>
        <w:rPr>
          <w:b/>
        </w:rPr>
      </w:pPr>
      <w:r w:rsidRPr="001B34D0">
        <w:rPr>
          <w:b/>
        </w:rPr>
        <w:t>Código del indicador: 71</w:t>
      </w:r>
    </w:p>
    <w:p w:rsidR="00982E3B" w:rsidRPr="001B34D0" w:rsidRDefault="00982E3B" w:rsidP="00A92D87">
      <w:pPr>
        <w:spacing w:line="240" w:lineRule="auto"/>
        <w:jc w:val="both"/>
      </w:pPr>
      <w:r w:rsidRPr="001B34D0">
        <w:t>Nombre del indicador: Número niñas, niños y adolescentes en situación de vida en calle que ingresan al proceso administrativo de restablecimiento de derechos-PARD</w:t>
      </w:r>
    </w:p>
    <w:p w:rsidR="00982E3B" w:rsidRPr="001B34D0" w:rsidRDefault="00982E3B" w:rsidP="00A92D87">
      <w:pPr>
        <w:spacing w:line="240" w:lineRule="auto"/>
        <w:jc w:val="both"/>
      </w:pPr>
      <w:r w:rsidRPr="001B34D0">
        <w:lastRenderedPageBreak/>
        <w:t>c.</w:t>
      </w:r>
      <w:r w:rsidRPr="001B34D0">
        <w:tab/>
        <w:t>Identifique cual es la fuente de información que respalda el análisis que realizará a continuación (nacional o local), identificando sus fortalezas y debilidades:</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o</w:t>
      </w:r>
      <w:r w:rsidRPr="001B34D0">
        <w:tab/>
        <w:t>Fuente nacional X</w:t>
      </w:r>
    </w:p>
    <w:p w:rsidR="00982E3B" w:rsidRPr="001B34D0" w:rsidRDefault="00982E3B" w:rsidP="00A92D87">
      <w:pPr>
        <w:spacing w:line="240" w:lineRule="auto"/>
        <w:jc w:val="both"/>
      </w:pPr>
      <w:r w:rsidRPr="001B34D0">
        <w:t>o</w:t>
      </w:r>
      <w:r w:rsidRPr="001B34D0">
        <w:tab/>
        <w:t>Fuente local</w:t>
      </w:r>
    </w:p>
    <w:p w:rsidR="00982E3B" w:rsidRPr="001B34D0" w:rsidRDefault="00982E3B" w:rsidP="00A92D87">
      <w:pPr>
        <w:spacing w:line="240" w:lineRule="auto"/>
        <w:jc w:val="both"/>
      </w:pPr>
      <w:r w:rsidRPr="001B34D0">
        <w:t xml:space="preserve"> Fortalezas:</w:t>
      </w:r>
    </w:p>
    <w:p w:rsidR="00982E3B" w:rsidRPr="001B34D0" w:rsidRDefault="00982E3B" w:rsidP="00A92D87">
      <w:pPr>
        <w:spacing w:line="240" w:lineRule="auto"/>
        <w:jc w:val="both"/>
      </w:pPr>
      <w:r w:rsidRPr="001B34D0">
        <w:t xml:space="preserve">Se cuenta con un sistema de información misional SIM desde el ICBF que permite identificar el numero de niños, niñas y adolescentes en proceso administrativo – PARD, en situación de vida en calle y las medidas adoptadas por las respectivas </w:t>
      </w:r>
      <w:r w:rsidR="007E5119" w:rsidRPr="001B34D0">
        <w:t>Defensorías</w:t>
      </w:r>
      <w:r w:rsidRPr="001B34D0">
        <w:t xml:space="preserve"> de Familia para el restablecimiento de derechos.</w:t>
      </w:r>
    </w:p>
    <w:p w:rsidR="00982E3B" w:rsidRPr="001B34D0" w:rsidRDefault="00982E3B" w:rsidP="00A92D87">
      <w:pPr>
        <w:spacing w:line="240" w:lineRule="auto"/>
        <w:jc w:val="both"/>
      </w:pPr>
      <w:r w:rsidRPr="001B34D0">
        <w:t xml:space="preserve">Esta </w:t>
      </w:r>
      <w:r w:rsidR="007E5119" w:rsidRPr="001B34D0">
        <w:t>información</w:t>
      </w:r>
      <w:r w:rsidRPr="001B34D0">
        <w:t xml:space="preserve"> sirve para alimentar el Sistema Único de </w:t>
      </w:r>
      <w:r w:rsidR="007E5119" w:rsidRPr="001B34D0">
        <w:t>Información</w:t>
      </w:r>
      <w:r w:rsidRPr="001B34D0">
        <w:t xml:space="preserve"> para la niñez SUIN, el que permite consolidar la </w:t>
      </w:r>
      <w:r w:rsidR="007E5119" w:rsidRPr="001B34D0">
        <w:t>estadística</w:t>
      </w:r>
      <w:r w:rsidRPr="001B34D0">
        <w:t xml:space="preserve"> nacional, departamental y municipal de niños, niñas y adolescentes en proceso administrativo de restablecimiento de derechos, reportados en situación de vida en calle.</w:t>
      </w:r>
    </w:p>
    <w:p w:rsidR="00982E3B" w:rsidRPr="001B34D0" w:rsidRDefault="00982E3B" w:rsidP="00A92D87">
      <w:pPr>
        <w:spacing w:line="240" w:lineRule="auto"/>
        <w:jc w:val="both"/>
      </w:pPr>
      <w:r w:rsidRPr="001B34D0">
        <w:t>Debilidades:</w:t>
      </w:r>
    </w:p>
    <w:p w:rsidR="00982E3B" w:rsidRPr="001B34D0" w:rsidRDefault="00982E3B" w:rsidP="00A92D87">
      <w:pPr>
        <w:spacing w:line="240" w:lineRule="auto"/>
        <w:jc w:val="both"/>
      </w:pPr>
      <w:r w:rsidRPr="001B34D0">
        <w:t>Al Sistema de Información Misional - SIM, solo tiene acceso el ICBF y no los Comisarios de Familia quienes en el territorio por competencia subsidiaria, adelantan procesos administrativos de restablecimiento de derechos a  niños, niñas y adolescentes en situación de vida en calle.</w:t>
      </w:r>
    </w:p>
    <w:p w:rsidR="00982E3B" w:rsidRPr="001B34D0" w:rsidRDefault="00982E3B" w:rsidP="00A92D87">
      <w:pPr>
        <w:spacing w:line="240" w:lineRule="auto"/>
        <w:jc w:val="both"/>
      </w:pPr>
      <w:r w:rsidRPr="001B34D0">
        <w:t>Durante el periodo a analizar, desde las comisarías de familia se envió la información de los Procesos Administrativos de Restablecimiento de Derechos- PARD de niños, niñas y adolescentes en la situación de vida en calle, en un instrumento diseñado para tal fin, por cuanto, la comisaria de Familia, no cuentan con un sistema de información propio.</w:t>
      </w:r>
    </w:p>
    <w:p w:rsidR="00982E3B" w:rsidRPr="001B34D0" w:rsidRDefault="00982E3B" w:rsidP="00A92D87">
      <w:pPr>
        <w:spacing w:line="240" w:lineRule="auto"/>
        <w:jc w:val="both"/>
      </w:pPr>
      <w:r w:rsidRPr="001B34D0">
        <w:t xml:space="preserve">Indique, según los siguientes criterios de valoración, cual es el que mejor interpreta el comportamiento del indicador analizado, para  el periodo comprendido entre los años 2011 y 2014. </w:t>
      </w:r>
    </w:p>
    <w:p w:rsidR="00982E3B" w:rsidRPr="001B34D0" w:rsidRDefault="00982E3B" w:rsidP="00A92D87">
      <w:pPr>
        <w:spacing w:line="240" w:lineRule="auto"/>
        <w:jc w:val="both"/>
      </w:pPr>
      <w:r w:rsidRPr="001B34D0">
        <w:t>Tenga en cuenta que debe analizar el periodo completo (2011 al 2014), si no cuenta con información para todos los años, la categoría a señalar es "sin serie Temporal":</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o</w:t>
      </w:r>
      <w:r w:rsidRPr="001B34D0">
        <w:tab/>
        <w:t xml:space="preserve">Mejoró  </w:t>
      </w:r>
    </w:p>
    <w:p w:rsidR="00982E3B" w:rsidRPr="001B34D0" w:rsidRDefault="00982E3B" w:rsidP="00A92D87">
      <w:pPr>
        <w:spacing w:line="240" w:lineRule="auto"/>
        <w:jc w:val="both"/>
      </w:pPr>
      <w:r w:rsidRPr="001B34D0">
        <w:t>o</w:t>
      </w:r>
      <w:r w:rsidRPr="001B34D0">
        <w:tab/>
        <w:t>Desmejoró</w:t>
      </w:r>
    </w:p>
    <w:p w:rsidR="00982E3B" w:rsidRPr="001B34D0" w:rsidRDefault="00982E3B" w:rsidP="00A92D87">
      <w:pPr>
        <w:spacing w:line="240" w:lineRule="auto"/>
        <w:jc w:val="both"/>
      </w:pPr>
      <w:r w:rsidRPr="001B34D0">
        <w:t>o</w:t>
      </w:r>
      <w:r w:rsidRPr="001B34D0">
        <w:tab/>
        <w:t>Estable</w:t>
      </w:r>
    </w:p>
    <w:p w:rsidR="00982E3B" w:rsidRPr="001B34D0" w:rsidRDefault="00982E3B" w:rsidP="00A92D87">
      <w:pPr>
        <w:spacing w:line="240" w:lineRule="auto"/>
        <w:jc w:val="both"/>
      </w:pPr>
      <w:r w:rsidRPr="001B34D0">
        <w:t xml:space="preserve">X   Sin serie temporal </w:t>
      </w:r>
    </w:p>
    <w:p w:rsidR="00982E3B" w:rsidRPr="001B34D0" w:rsidRDefault="00982E3B" w:rsidP="00A92D87">
      <w:pPr>
        <w:spacing w:line="240" w:lineRule="auto"/>
        <w:jc w:val="both"/>
      </w:pPr>
      <w:r w:rsidRPr="001B34D0">
        <w:t>o</w:t>
      </w:r>
      <w:r w:rsidRPr="001B34D0">
        <w:tab/>
        <w:t xml:space="preserve">Sin datoS      </w:t>
      </w:r>
    </w:p>
    <w:p w:rsidR="00982E3B" w:rsidRPr="001B34D0" w:rsidRDefault="00982E3B" w:rsidP="00A92D87">
      <w:pPr>
        <w:spacing w:line="240" w:lineRule="auto"/>
        <w:jc w:val="both"/>
      </w:pPr>
    </w:p>
    <w:p w:rsidR="00982E3B" w:rsidRPr="001B34D0" w:rsidRDefault="00982E3B" w:rsidP="00A92D87">
      <w:pPr>
        <w:spacing w:line="240" w:lineRule="auto"/>
        <w:jc w:val="both"/>
      </w:pPr>
      <w:r w:rsidRPr="001B34D0">
        <w:t>Impactos positivos:</w:t>
      </w:r>
    </w:p>
    <w:p w:rsidR="00982E3B" w:rsidRPr="001B34D0" w:rsidRDefault="00982E3B" w:rsidP="00A92D87">
      <w:pPr>
        <w:spacing w:line="240" w:lineRule="auto"/>
        <w:jc w:val="both"/>
      </w:pPr>
      <w:r w:rsidRPr="001B34D0">
        <w:t>Niños, niñas y adolescentes con medidas de protección garantizadas  y ubicados en una modalidades de atención por la autoridad competente ( Comisaria de Familia) y  con proceso administrativo de restablecimiento de derechos en tiempos establecidos.</w:t>
      </w:r>
    </w:p>
    <w:p w:rsidR="00982E3B" w:rsidRPr="001B34D0" w:rsidRDefault="00982E3B" w:rsidP="00A92D87">
      <w:pPr>
        <w:spacing w:line="240" w:lineRule="auto"/>
        <w:jc w:val="both"/>
      </w:pPr>
      <w:r w:rsidRPr="001B34D0">
        <w:t>Niños, niñas y adolescentes en situación de vida en calle  y a quienes se les aperturó proceso administrativo  accedieron a servicios sociales, espacios y realidades que ofrece  el territorio, garantizando que se supere su situación de exclusión y marginalidad.</w:t>
      </w:r>
    </w:p>
    <w:p w:rsidR="00982E3B" w:rsidRPr="001B34D0" w:rsidRDefault="00982E3B" w:rsidP="00A92D87">
      <w:pPr>
        <w:spacing w:line="240" w:lineRule="auto"/>
        <w:jc w:val="both"/>
      </w:pPr>
      <w:r w:rsidRPr="001B34D0">
        <w:t xml:space="preserve">Niños, niñas adolescentes con oportunidades para definir un proyecto de vida alternativo. </w:t>
      </w:r>
    </w:p>
    <w:p w:rsidR="00982E3B" w:rsidRPr="001B34D0" w:rsidRDefault="00982E3B" w:rsidP="00A92D87">
      <w:pPr>
        <w:spacing w:line="240" w:lineRule="auto"/>
        <w:jc w:val="both"/>
      </w:pPr>
      <w:r w:rsidRPr="001B34D0">
        <w:t xml:space="preserve">Articulación del Sistema Nacional de </w:t>
      </w:r>
      <w:r w:rsidR="007E5119" w:rsidRPr="001B34D0">
        <w:t>Bienestar</w:t>
      </w:r>
      <w:r w:rsidRPr="001B34D0">
        <w:t xml:space="preserve"> </w:t>
      </w:r>
      <w:r w:rsidR="007E5119" w:rsidRPr="001B34D0">
        <w:t>Familiar para</w:t>
      </w:r>
      <w:r w:rsidRPr="001B34D0">
        <w:t xml:space="preserve"> la atención en salud, educación, recreación, cultura y formación para la vida.</w:t>
      </w:r>
    </w:p>
    <w:p w:rsidR="00982E3B" w:rsidRPr="001B34D0" w:rsidRDefault="00982E3B" w:rsidP="00A92D87">
      <w:pPr>
        <w:spacing w:line="240" w:lineRule="auto"/>
        <w:jc w:val="both"/>
      </w:pPr>
      <w:r w:rsidRPr="001B34D0">
        <w:t xml:space="preserve">Niños, niñas y adolescentes en situación de vida en calle  con valoración del estado de salud mental y coordinación red de servicios. </w:t>
      </w:r>
    </w:p>
    <w:p w:rsidR="00982E3B" w:rsidRPr="001B34D0" w:rsidRDefault="00982E3B" w:rsidP="00A92D87">
      <w:pPr>
        <w:spacing w:line="240" w:lineRule="auto"/>
        <w:jc w:val="both"/>
      </w:pPr>
      <w:r w:rsidRPr="001B34D0">
        <w:t xml:space="preserve">Niños, niñas y adolescentes en situación de vida en calle con </w:t>
      </w:r>
      <w:r w:rsidR="007E5119" w:rsidRPr="001B34D0">
        <w:t>garantía</w:t>
      </w:r>
      <w:r w:rsidRPr="001B34D0">
        <w:t xml:space="preserve"> del derecho a la identidad.</w:t>
      </w:r>
    </w:p>
    <w:p w:rsidR="00982E3B" w:rsidRPr="001B34D0" w:rsidRDefault="00982E3B" w:rsidP="00A92D87">
      <w:pPr>
        <w:spacing w:line="240" w:lineRule="auto"/>
        <w:jc w:val="both"/>
      </w:pPr>
      <w:r w:rsidRPr="001B34D0">
        <w:t>Niños, niñas y adolescentes en situación de vida en calle con procesos formativos en jornadas alternas de educación.</w:t>
      </w:r>
    </w:p>
    <w:p w:rsidR="00982E3B" w:rsidRPr="001B34D0" w:rsidRDefault="00982E3B" w:rsidP="00A92D87">
      <w:pPr>
        <w:spacing w:line="240" w:lineRule="auto"/>
        <w:jc w:val="both"/>
      </w:pPr>
      <w:r w:rsidRPr="001B34D0">
        <w:t>Niños, niñas y adolescentes en situación de vida en calle orientados y vinculados en programas de salud sexual y reproductiva.</w:t>
      </w:r>
    </w:p>
    <w:p w:rsidR="00982E3B" w:rsidRPr="001B34D0" w:rsidRDefault="00982E3B" w:rsidP="00A92D87">
      <w:pPr>
        <w:spacing w:line="240" w:lineRule="auto"/>
        <w:jc w:val="both"/>
      </w:pPr>
      <w:r w:rsidRPr="001B34D0">
        <w:t xml:space="preserve">Niños, niñas y adolescentes en situación de vida en calle </w:t>
      </w:r>
      <w:r w:rsidR="007E5119" w:rsidRPr="001B34D0">
        <w:t>con talleres</w:t>
      </w:r>
      <w:r w:rsidRPr="001B34D0">
        <w:t xml:space="preserve"> para prevenir y detectar el maltrato, abuso sexual, explotación sexual y comercial y </w:t>
      </w:r>
      <w:r w:rsidR="007E5119" w:rsidRPr="001B34D0">
        <w:t>otras</w:t>
      </w:r>
      <w:r w:rsidRPr="001B34D0">
        <w:t xml:space="preserve"> </w:t>
      </w:r>
      <w:r w:rsidR="007E5119" w:rsidRPr="001B34D0">
        <w:t>vulneraciones</w:t>
      </w:r>
      <w:r w:rsidRPr="001B34D0">
        <w:t xml:space="preserve"> a sus derechos.</w:t>
      </w:r>
    </w:p>
    <w:p w:rsidR="00982E3B" w:rsidRPr="001B34D0" w:rsidRDefault="00982E3B" w:rsidP="00A92D87">
      <w:pPr>
        <w:spacing w:line="240" w:lineRule="auto"/>
        <w:jc w:val="both"/>
      </w:pPr>
      <w:r w:rsidRPr="001B34D0">
        <w:t>Impactos negativos:</w:t>
      </w:r>
    </w:p>
    <w:p w:rsidR="00982E3B" w:rsidRPr="001B34D0" w:rsidRDefault="00982E3B" w:rsidP="00A92D87">
      <w:pPr>
        <w:spacing w:line="240" w:lineRule="auto"/>
        <w:jc w:val="both"/>
      </w:pPr>
      <w:r w:rsidRPr="001B34D0">
        <w:t xml:space="preserve">Niños, niñas y adolescentes sin tratamiento adecuado a su problemática por negligencia de la familia, familias sin oportunidades laborales, débil red de apoyo para la atención de los casos presentados. </w:t>
      </w:r>
    </w:p>
    <w:p w:rsidR="00982E3B" w:rsidRPr="001B34D0" w:rsidRDefault="00982E3B" w:rsidP="00A92D87">
      <w:pPr>
        <w:spacing w:line="240" w:lineRule="auto"/>
        <w:jc w:val="both"/>
      </w:pPr>
      <w:r w:rsidRPr="001B34D0">
        <w:t>No existe un centro de emergencia y/o un espacio de permanencia  para la atención.</w:t>
      </w:r>
    </w:p>
    <w:p w:rsidR="00982E3B" w:rsidRPr="001B34D0" w:rsidRDefault="00982E3B" w:rsidP="00A92D87">
      <w:pPr>
        <w:spacing w:line="240" w:lineRule="auto"/>
        <w:jc w:val="both"/>
      </w:pPr>
      <w:r w:rsidRPr="001B34D0">
        <w:t xml:space="preserve">Deficiencia </w:t>
      </w:r>
      <w:r w:rsidR="007E5119" w:rsidRPr="001B34D0">
        <w:t>de espacios artísticos</w:t>
      </w:r>
      <w:r w:rsidRPr="001B34D0">
        <w:t xml:space="preserve">, deportivos, </w:t>
      </w:r>
      <w:r w:rsidR="007E5119" w:rsidRPr="001B34D0">
        <w:t>lúdicos destinados</w:t>
      </w:r>
      <w:r w:rsidRPr="001B34D0">
        <w:t xml:space="preserve"> para la atención de los niños, niñas y adolescentes en situación de vida en calle.</w:t>
      </w:r>
    </w:p>
    <w:p w:rsidR="00982E3B" w:rsidRPr="001B34D0" w:rsidRDefault="00982E3B" w:rsidP="00A92D87">
      <w:pPr>
        <w:spacing w:line="240" w:lineRule="auto"/>
        <w:jc w:val="both"/>
      </w:pPr>
      <w:r w:rsidRPr="001B34D0">
        <w:t xml:space="preserve">Débil oferta institucional para la atención </w:t>
      </w:r>
      <w:r w:rsidR="007E5119" w:rsidRPr="001B34D0">
        <w:t>especializada</w:t>
      </w:r>
      <w:r w:rsidRPr="001B34D0">
        <w:t xml:space="preserve"> frente al consumo de sustancias sicoactivas.</w:t>
      </w:r>
    </w:p>
    <w:p w:rsidR="00982E3B" w:rsidRPr="001B34D0" w:rsidRDefault="007E5119" w:rsidP="00A92D87">
      <w:pPr>
        <w:spacing w:line="240" w:lineRule="auto"/>
        <w:jc w:val="both"/>
      </w:pPr>
      <w:r w:rsidRPr="001B34D0">
        <w:t>Débil</w:t>
      </w:r>
      <w:r w:rsidR="00982E3B" w:rsidRPr="001B34D0">
        <w:t xml:space="preserve"> </w:t>
      </w:r>
      <w:r w:rsidRPr="001B34D0">
        <w:t>oferta de</w:t>
      </w:r>
      <w:r w:rsidR="00982E3B" w:rsidRPr="001B34D0">
        <w:t xml:space="preserve"> formación certificada en oficios o carrera tecnológicas y capacitación </w:t>
      </w:r>
      <w:r w:rsidRPr="001B34D0">
        <w:t>pre laboral</w:t>
      </w:r>
      <w:r w:rsidR="00982E3B" w:rsidRPr="001B34D0">
        <w:t xml:space="preserve"> con el SENA para adolescentes en situación de vida en calle.</w:t>
      </w:r>
    </w:p>
    <w:p w:rsidR="00982E3B" w:rsidRPr="001B34D0" w:rsidRDefault="007E5119" w:rsidP="00A92D87">
      <w:pPr>
        <w:spacing w:line="240" w:lineRule="auto"/>
        <w:jc w:val="both"/>
      </w:pPr>
      <w:r w:rsidRPr="001B34D0">
        <w:t>Deficiente trabajo</w:t>
      </w:r>
      <w:r w:rsidR="00982E3B" w:rsidRPr="001B34D0">
        <w:t xml:space="preserve"> de </w:t>
      </w:r>
      <w:r w:rsidRPr="001B34D0">
        <w:t>intervención</w:t>
      </w:r>
      <w:r w:rsidR="00982E3B" w:rsidRPr="001B34D0">
        <w:t xml:space="preserve"> con familias.</w:t>
      </w:r>
    </w:p>
    <w:p w:rsidR="00982E3B" w:rsidRPr="001B34D0" w:rsidRDefault="00982E3B" w:rsidP="00A92D87">
      <w:pPr>
        <w:spacing w:line="240" w:lineRule="auto"/>
        <w:jc w:val="both"/>
      </w:pPr>
      <w:r w:rsidRPr="001B34D0">
        <w:lastRenderedPageBreak/>
        <w:t xml:space="preserve">Realice un análisis de las razones del comportamiento del indicador (según serie temporal) teniendo en cuenta la fuente que está utilizando (nacional o local). Si la fuente de información ofrece niveles de desagregación (sexo, área, etnia, discapacidad, </w:t>
      </w:r>
      <w:r w:rsidR="007E5119" w:rsidRPr="001B34D0">
        <w:t>etc.</w:t>
      </w:r>
      <w:r w:rsidRPr="001B34D0">
        <w:t xml:space="preserve">,), inclúyalos en el análisis. </w:t>
      </w:r>
    </w:p>
    <w:p w:rsidR="00982E3B" w:rsidRPr="001B34D0" w:rsidRDefault="00982E3B" w:rsidP="00A92D87">
      <w:pPr>
        <w:spacing w:line="240" w:lineRule="auto"/>
        <w:jc w:val="both"/>
      </w:pPr>
      <w:r w:rsidRPr="001B34D0">
        <w:t>Si puede argumentar el comportamiento del indicador según la fuente alterna puede hacerlo en el campo correspondiente:</w:t>
      </w:r>
    </w:p>
    <w:p w:rsidR="00982E3B" w:rsidRPr="001B34D0" w:rsidRDefault="00982E3B" w:rsidP="00A92D87">
      <w:pPr>
        <w:spacing w:line="240" w:lineRule="auto"/>
        <w:jc w:val="both"/>
      </w:pPr>
      <w:r w:rsidRPr="001B34D0">
        <w:t>Fuente nacional:</w:t>
      </w:r>
    </w:p>
    <w:p w:rsidR="00982E3B" w:rsidRPr="001B34D0" w:rsidRDefault="00982E3B" w:rsidP="00A92D87">
      <w:pPr>
        <w:spacing w:line="240" w:lineRule="auto"/>
        <w:jc w:val="both"/>
      </w:pPr>
      <w:r w:rsidRPr="001B34D0">
        <w:t xml:space="preserve">Revisada la fuente de información Nacional,  se verifica un ascenso cuantitativo de la situación de un año a otro para  el departamento de Nariño. </w:t>
      </w:r>
    </w:p>
    <w:p w:rsidR="00982E3B" w:rsidRPr="001B34D0" w:rsidRDefault="00982E3B" w:rsidP="00A92D87">
      <w:pPr>
        <w:spacing w:line="240" w:lineRule="auto"/>
        <w:jc w:val="both"/>
      </w:pPr>
      <w:r w:rsidRPr="001B34D0">
        <w:t xml:space="preserve">Como fortalezas se encuentra la motivación  a la denuncia de los flagelos como la vida en calle y la  sensibilización de las familias para vincular a los niños, niñas y adolescentes a programas de atención y a  jornadas alternas de formación.  </w:t>
      </w:r>
    </w:p>
    <w:p w:rsidR="00982E3B" w:rsidRPr="001B34D0" w:rsidRDefault="00982E3B" w:rsidP="00A92D87">
      <w:pPr>
        <w:spacing w:line="240" w:lineRule="auto"/>
        <w:jc w:val="both"/>
      </w:pPr>
      <w:r w:rsidRPr="001B34D0">
        <w:t xml:space="preserve">Dentro de las debilidades, se verifica que de los 64 Municipios que corresponden al departamento de Nariño, solo en 9 de ellos, se atiende por las defensorías de familia con  equipos interdisciplinarios,  los asuntos derivados de la atención de los adolescentes en  proceso administrativo de restablecimiento de derechos con situación de la vida en calle, en los municipios restantes se atiende por competencia subsidiaria  a través de las Comisarias de familia que en su gran numero carecen de equipo completos para actuar. </w:t>
      </w:r>
    </w:p>
    <w:p w:rsidR="00982E3B" w:rsidRPr="001B34D0" w:rsidRDefault="00982E3B" w:rsidP="00A92D87">
      <w:pPr>
        <w:spacing w:line="240" w:lineRule="auto"/>
        <w:jc w:val="both"/>
      </w:pPr>
      <w:r w:rsidRPr="001B34D0">
        <w:t xml:space="preserve"> Fuente local:</w:t>
      </w:r>
    </w:p>
    <w:p w:rsidR="00982E3B" w:rsidRPr="001B34D0" w:rsidRDefault="00982E3B" w:rsidP="00A92D87">
      <w:pPr>
        <w:spacing w:line="240" w:lineRule="auto"/>
        <w:jc w:val="both"/>
      </w:pPr>
      <w:r w:rsidRPr="001B34D0">
        <w:t>No se remiten datos locales que permitan hacer pronunciamiento interpretativo.</w:t>
      </w:r>
    </w:p>
    <w:p w:rsidR="00982E3B" w:rsidRPr="001B34D0" w:rsidRDefault="00982E3B" w:rsidP="00A92D87">
      <w:pPr>
        <w:spacing w:line="240" w:lineRule="auto"/>
        <w:jc w:val="both"/>
      </w:pPr>
      <w:r w:rsidRPr="001B34D0">
        <w:t>j.</w:t>
      </w:r>
      <w:r w:rsidRPr="001B34D0">
        <w:tab/>
        <w:t>Si encuentra diferencia entre la información de la fuente nacional y la información de la fuente local para este indicador que analiza, realice un análisis desde su experiencia, sobre las razones que pueden existir para ello. Si no hay diferencia o la información soporte no permite este análisis indique que no aplica registrando N/A:</w:t>
      </w:r>
    </w:p>
    <w:p w:rsidR="00982E3B" w:rsidRPr="001B34D0" w:rsidRDefault="00982E3B" w:rsidP="00A92D87">
      <w:pPr>
        <w:spacing w:line="240" w:lineRule="auto"/>
        <w:jc w:val="both"/>
      </w:pPr>
      <w:r w:rsidRPr="001B34D0">
        <w:t xml:space="preserve">No se adjuntan datos de fuentes locales que permitan hacer interpretación. </w:t>
      </w:r>
    </w:p>
    <w:p w:rsidR="00982E3B" w:rsidRPr="001B34D0" w:rsidRDefault="00982E3B" w:rsidP="00A92D87">
      <w:pPr>
        <w:spacing w:line="240" w:lineRule="auto"/>
        <w:jc w:val="both"/>
      </w:pPr>
      <w:r w:rsidRPr="001B34D0">
        <w:t>Describa las recomendaciones que como gobierno local o departamental, le deja a la próxima administración para mejorar la situación de la población correspondiente al momento del ciclo de vida analizado:</w:t>
      </w:r>
    </w:p>
    <w:p w:rsidR="00982E3B" w:rsidRPr="001B34D0" w:rsidRDefault="00982E3B" w:rsidP="00A92D87">
      <w:pPr>
        <w:spacing w:line="240" w:lineRule="auto"/>
        <w:jc w:val="both"/>
      </w:pPr>
      <w:r w:rsidRPr="001B34D0">
        <w:t xml:space="preserve">Actualización del </w:t>
      </w:r>
      <w:r w:rsidR="007E5119" w:rsidRPr="001B34D0">
        <w:t>diagnóstico</w:t>
      </w:r>
      <w:r w:rsidRPr="001B34D0">
        <w:t xml:space="preserve"> poblacional y la </w:t>
      </w:r>
      <w:r w:rsidR="007E5119" w:rsidRPr="001B34D0">
        <w:t>adecuación</w:t>
      </w:r>
      <w:r w:rsidRPr="001B34D0">
        <w:t xml:space="preserve"> de acciones pertinentes.</w:t>
      </w:r>
    </w:p>
    <w:p w:rsidR="00982E3B" w:rsidRPr="001B34D0" w:rsidRDefault="00982E3B" w:rsidP="00A92D87">
      <w:pPr>
        <w:spacing w:line="240" w:lineRule="auto"/>
        <w:jc w:val="both"/>
      </w:pPr>
      <w:r w:rsidRPr="001B34D0">
        <w:t>Reforzar las acciones y programas preventivos para la atención de esta problemática.</w:t>
      </w:r>
    </w:p>
    <w:p w:rsidR="00982E3B" w:rsidRPr="001B34D0" w:rsidRDefault="00982E3B" w:rsidP="00A92D87">
      <w:pPr>
        <w:spacing w:line="240" w:lineRule="auto"/>
        <w:jc w:val="both"/>
      </w:pPr>
      <w:r w:rsidRPr="001B34D0">
        <w:t xml:space="preserve">Garantizar </w:t>
      </w:r>
      <w:r w:rsidR="007E5119" w:rsidRPr="001B34D0">
        <w:t>equipos interdisciplinarios</w:t>
      </w:r>
      <w:r w:rsidRPr="001B34D0">
        <w:t xml:space="preserve"> cualificados en las comisarías de familias, con la respectiva asignación de recursos para </w:t>
      </w:r>
      <w:r w:rsidR="007E5119" w:rsidRPr="001B34D0">
        <w:t>contratación</w:t>
      </w:r>
      <w:r w:rsidRPr="001B34D0">
        <w:t xml:space="preserve"> </w:t>
      </w:r>
      <w:r w:rsidR="007E5119" w:rsidRPr="001B34D0">
        <w:t>terapéutica</w:t>
      </w:r>
      <w:r w:rsidRPr="001B34D0">
        <w:t xml:space="preserve"> en los municipios con mayor incidencia de niños, niñas y adolescentes en situación de vida en calle. </w:t>
      </w:r>
    </w:p>
    <w:p w:rsidR="00982E3B" w:rsidRPr="001B34D0" w:rsidRDefault="00982E3B" w:rsidP="00A92D87">
      <w:pPr>
        <w:spacing w:line="240" w:lineRule="auto"/>
        <w:jc w:val="both"/>
      </w:pPr>
      <w:r w:rsidRPr="001B34D0">
        <w:t xml:space="preserve">Asignación de recursos para el fortalecimiento de entornos protectores en el plan de desarrollo. </w:t>
      </w:r>
    </w:p>
    <w:p w:rsidR="00982E3B" w:rsidRPr="001B34D0" w:rsidRDefault="00982E3B" w:rsidP="00A92D87">
      <w:pPr>
        <w:spacing w:line="240" w:lineRule="auto"/>
        <w:jc w:val="both"/>
      </w:pPr>
      <w:r w:rsidRPr="001B34D0">
        <w:t>Asignación de recursos para la financiación de hogares de paso y cofinanciación de cupos en otras modalidades de atención.</w:t>
      </w:r>
    </w:p>
    <w:p w:rsidR="00982E3B" w:rsidRPr="001B34D0" w:rsidRDefault="00982E3B" w:rsidP="00A92D87">
      <w:pPr>
        <w:spacing w:line="240" w:lineRule="auto"/>
        <w:jc w:val="both"/>
      </w:pPr>
      <w:r w:rsidRPr="001B34D0">
        <w:lastRenderedPageBreak/>
        <w:t xml:space="preserve">Adelantar convenios con las universidades y demás instituciones del estado que contribuyan al restablecimiento de los derechos.  De igual manera la vinculación a programas de atención especializada para la PREPARACION PARA LA VIDA LABORAL Y PRODUCTIVA y construcción de proyecto de vida de los adolescentes. </w:t>
      </w:r>
    </w:p>
    <w:p w:rsidR="00982E3B" w:rsidRPr="001B34D0" w:rsidRDefault="00982E3B" w:rsidP="00A92D87">
      <w:pPr>
        <w:spacing w:line="240" w:lineRule="auto"/>
        <w:jc w:val="both"/>
      </w:pPr>
      <w:r w:rsidRPr="001B34D0">
        <w:t xml:space="preserve"> Crear alternativas de </w:t>
      </w:r>
      <w:r w:rsidR="007E5119" w:rsidRPr="001B34D0">
        <w:t>formación</w:t>
      </w:r>
      <w:r w:rsidRPr="001B34D0">
        <w:t xml:space="preserve"> en jornadas </w:t>
      </w:r>
      <w:r w:rsidR="007E5119" w:rsidRPr="001B34D0">
        <w:t>alternas para</w:t>
      </w:r>
      <w:r w:rsidRPr="001B34D0">
        <w:t xml:space="preserve"> los niños, niñas y   adolescentes en situación de vida en calle.</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1B34D0">
        <w:rPr>
          <w:rFonts w:eastAsia="Calibri" w:cs="Times New Roman"/>
          <w:b/>
          <w:i/>
          <w:iCs/>
        </w:rPr>
        <w:t>DESCRIPCIÓN DEL INDICADOR No. 78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361"/>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409"/>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Tasa de violencia contra niños, niñas  y adolescentes</w:t>
            </w:r>
          </w:p>
        </w:tc>
      </w:tr>
      <w:tr w:rsidR="00982E3B" w:rsidRPr="001B34D0" w:rsidTr="00000F81">
        <w:trPr>
          <w:trHeight w:val="332"/>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458"/>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982E3B" w:rsidRPr="001B34D0" w:rsidRDefault="00982E3B" w:rsidP="00A92D87">
      <w:pPr>
        <w:suppressAutoHyphens/>
        <w:spacing w:after="0" w:line="240" w:lineRule="auto"/>
        <w:ind w:left="720"/>
        <w:contextualSpacing/>
        <w:rPr>
          <w:rFonts w:eastAsia="Times New Roman" w:cs="Times New Roman"/>
          <w:b/>
          <w:lang w:val="es-ES" w:eastAsia="ar-SA"/>
        </w:rPr>
      </w:pPr>
    </w:p>
    <w:p w:rsidR="00982E3B" w:rsidRPr="001B34D0" w:rsidRDefault="00982E3B" w:rsidP="00A92D87">
      <w:pPr>
        <w:numPr>
          <w:ilvl w:val="0"/>
          <w:numId w:val="47"/>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982E3B" w:rsidRPr="001B34D0" w:rsidRDefault="00982E3B"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982E3B" w:rsidRPr="001B34D0" w:rsidTr="00000F81">
        <w:tc>
          <w:tcPr>
            <w:tcW w:w="219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982E3B" w:rsidRPr="001B34D0" w:rsidTr="00000F81">
        <w:tc>
          <w:tcPr>
            <w:tcW w:w="2196" w:type="dxa"/>
            <w:shd w:val="clear" w:color="auto" w:fill="auto"/>
          </w:tcPr>
          <w:p w:rsidR="00982E3B" w:rsidRPr="001B34D0" w:rsidRDefault="00982E3B" w:rsidP="00A92D87">
            <w:pPr>
              <w:spacing w:after="0" w:line="240" w:lineRule="auto"/>
              <w:rPr>
                <w:rFonts w:eastAsia="Calibri" w:cs="Times New Roman"/>
                <w:lang w:eastAsia="es-CO"/>
              </w:rPr>
            </w:pPr>
            <w:r w:rsidRPr="001B34D0">
              <w:rPr>
                <w:rFonts w:eastAsia="Calibri" w:cs="Times New Roman"/>
                <w:lang w:eastAsia="es-CO"/>
              </w:rPr>
              <w:t>Tasa de violencia contra niños, niñas  y adolescentes</w:t>
            </w:r>
          </w:p>
        </w:tc>
        <w:tc>
          <w:tcPr>
            <w:tcW w:w="1765"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1632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1869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1784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1317 x 100000 Hbts</w:t>
            </w:r>
          </w:p>
        </w:tc>
      </w:tr>
      <w:tr w:rsidR="00982E3B" w:rsidRPr="001B34D0" w:rsidTr="00000F81">
        <w:tc>
          <w:tcPr>
            <w:tcW w:w="9259" w:type="dxa"/>
            <w:gridSpan w:val="5"/>
            <w:shd w:val="clear" w:color="auto" w:fill="auto"/>
          </w:tcPr>
          <w:p w:rsidR="00982E3B" w:rsidRPr="001B34D0" w:rsidRDefault="00982E3B"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982E3B" w:rsidRPr="001B34D0" w:rsidRDefault="00982E3B" w:rsidP="00A92D87">
      <w:pPr>
        <w:spacing w:after="200" w:line="240" w:lineRule="auto"/>
        <w:rPr>
          <w:rFonts w:eastAsia="Calibri" w:cs="Times New Roman"/>
        </w:rPr>
      </w:pPr>
    </w:p>
    <w:p w:rsidR="00982E3B" w:rsidRPr="001B34D0" w:rsidRDefault="00982E3B" w:rsidP="00A92D87">
      <w:pPr>
        <w:spacing w:after="200" w:line="240" w:lineRule="auto"/>
        <w:rPr>
          <w:rFonts w:eastAsia="Calibri" w:cs="Times New Roman"/>
          <w:b/>
        </w:rPr>
      </w:pPr>
      <w:r w:rsidRPr="001B34D0">
        <w:rPr>
          <w:rFonts w:eastAsia="Calibri" w:cs="Times New Roman"/>
          <w:b/>
        </w:rPr>
        <w:t xml:space="preserve">Gráfico: </w:t>
      </w:r>
    </w:p>
    <w:p w:rsidR="00982E3B" w:rsidRPr="001B34D0" w:rsidRDefault="00982E3B" w:rsidP="00A92D87">
      <w:pPr>
        <w:spacing w:after="200" w:line="240" w:lineRule="auto"/>
        <w:rPr>
          <w:rFonts w:eastAsia="Calibri" w:cs="Times New Roman"/>
          <w:b/>
        </w:rPr>
      </w:pPr>
      <w:r w:rsidRPr="001B34D0">
        <w:rPr>
          <w:rFonts w:eastAsia="Calibri" w:cs="Times New Roman"/>
          <w:noProof/>
          <w:lang w:val="es-ES" w:eastAsia="es-ES"/>
        </w:rPr>
        <w:lastRenderedPageBreak/>
        <w:drawing>
          <wp:inline distT="0" distB="0" distL="0" distR="0">
            <wp:extent cx="5629275" cy="2475865"/>
            <wp:effectExtent l="0" t="0" r="9525" b="635"/>
            <wp:docPr id="39"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82E3B" w:rsidRPr="001B34D0" w:rsidRDefault="00982E3B" w:rsidP="00A92D87">
      <w:pPr>
        <w:numPr>
          <w:ilvl w:val="0"/>
          <w:numId w:val="4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Situación detectada </w:t>
      </w: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 xml:space="preserve">Para este indicador se tuvo en cuenta la sumatoria de los casos de violencia interpersonal y violencia intrafamiliar, para el año 2014 se presenta una reducción de 467 puntos sobre la tasa con respecto al año 2013. </w:t>
      </w:r>
    </w:p>
    <w:p w:rsidR="00982E3B" w:rsidRPr="001B34D0" w:rsidRDefault="00982E3B" w:rsidP="00A92D87">
      <w:pPr>
        <w:numPr>
          <w:ilvl w:val="0"/>
          <w:numId w:val="4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Insumos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82E3B" w:rsidRPr="001B34D0" w:rsidRDefault="00982E3B" w:rsidP="00A92D87">
      <w:pPr>
        <w:suppressAutoHyphens/>
        <w:spacing w:after="0" w:line="240" w:lineRule="auto"/>
        <w:ind w:left="1080"/>
        <w:contextualSpacing/>
        <w:rPr>
          <w:rFonts w:eastAsia="Times New Roman" w:cs="Times New Roman"/>
          <w:lang w:val="es-ES" w:eastAsia="ar-SA"/>
        </w:rPr>
      </w:pPr>
    </w:p>
    <w:p w:rsidR="00982E3B" w:rsidRPr="001B34D0" w:rsidRDefault="00982E3B" w:rsidP="00A92D87">
      <w:pPr>
        <w:numPr>
          <w:ilvl w:val="0"/>
          <w:numId w:val="4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982E3B" w:rsidRPr="001B34D0" w:rsidRDefault="00982E3B" w:rsidP="00A92D87">
      <w:pPr>
        <w:spacing w:after="200" w:line="240" w:lineRule="auto"/>
        <w:ind w:left="360"/>
        <w:jc w:val="both"/>
        <w:rPr>
          <w:rFonts w:eastAsia="Calibri" w:cs="Times New Roman"/>
          <w:b/>
        </w:rPr>
      </w:pPr>
      <w:r w:rsidRPr="001B34D0">
        <w:rPr>
          <w:rFonts w:eastAsia="Calibri" w:cs="Times New Roman"/>
        </w:rPr>
        <w:t>El Observatorio del Delito, hace parte de la Red de atención al buen trato, donde hacen parte instituciones a nivel local y nacional que tienen que ver con las problemáticas de violencia intrafamiliar, sexual, contra la mujer y maltrato infantil.</w:t>
      </w:r>
    </w:p>
    <w:p w:rsidR="00982E3B" w:rsidRPr="001B34D0" w:rsidRDefault="00982E3B" w:rsidP="00A92D87">
      <w:pPr>
        <w:numPr>
          <w:ilvl w:val="0"/>
          <w:numId w:val="4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4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Resultados al término de la gestión  (2012 -2014)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 xml:space="preserve">El maltrato infantil en la familia lo podemos distinguir así: los adultos ejercen sobre los niños, negligencias que se expresan en desprotección y/o abandono, el maltrato físico que es toda forma de castigo corporal, se refiere a cualquier lesión, fracturas, quemaduras y daño físico ocasionado por algún adulto y el maltrato psicológico. Puede ser el resultado o incidentes </w:t>
      </w:r>
      <w:r w:rsidRPr="001B34D0">
        <w:rPr>
          <w:rFonts w:eastAsia="Times New Roman" w:cs="Times New Roman"/>
          <w:lang w:val="es-ES" w:eastAsia="ar-SA"/>
        </w:rPr>
        <w:lastRenderedPageBreak/>
        <w:t xml:space="preserve">aislados o una situación crónica  de abuso. Los signos de abuso fiscos de un niño puede presentar secuelas y trastornos psicológicos, ya sean pasajeros o  permanentes.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4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El sistema de vigilancia de violencia interpersonal en familia, violencia sexual y maltrato infantil, se viene observando desde el año 2005, pero la línea base comienza realmente en el año 2007, donde todas las instituciones se vinculan al sistema; para este análisis el promedio se lo toma para los diez años monitoreados entre el año 2005 hasta el año 2014.</w:t>
      </w: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Permite una descripción más exacta del problema.</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4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Investigaciones sobre criminalidad indican que gran parte de la violencia existente en la sociedad, tiene su origen en la violencia intrafamiliar y de más violencias que se gestan en el seno de la familia (violencia de género, maltrato infantil), las cuales influyen de forma directa o indirecta en la vinculación de los niños, niñas y adolescentes al delito, entendiendo que es allí donde se adquieren los primeros esquemas y modelos en los cuales se estructura las relaciones sociales de una persona.</w:t>
      </w: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A92D87">
      <w:pPr>
        <w:numPr>
          <w:ilvl w:val="0"/>
          <w:numId w:val="4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982E3B" w:rsidRPr="001B34D0" w:rsidRDefault="00982E3B" w:rsidP="00A92D87">
      <w:pPr>
        <w:spacing w:line="240" w:lineRule="auto"/>
        <w:jc w:val="both"/>
      </w:pPr>
    </w:p>
    <w:p w:rsidR="00982E3B" w:rsidRPr="001B34D0" w:rsidRDefault="00982E3B" w:rsidP="00A92D87">
      <w:pPr>
        <w:pBdr>
          <w:top w:val="single" w:sz="4" w:space="10" w:color="4F81BD"/>
          <w:bottom w:val="single" w:sz="4" w:space="10" w:color="4F81BD"/>
        </w:pBdr>
        <w:spacing w:before="360" w:after="0" w:line="240" w:lineRule="auto"/>
        <w:ind w:left="864" w:right="864"/>
        <w:jc w:val="center"/>
        <w:rPr>
          <w:rFonts w:eastAsia="Calibri" w:cs="Times New Roman"/>
          <w:b/>
          <w:iCs/>
        </w:rPr>
      </w:pPr>
      <w:r w:rsidRPr="001B34D0">
        <w:rPr>
          <w:rFonts w:eastAsia="Calibri" w:cs="Times New Roman"/>
          <w:b/>
          <w:i/>
          <w:iCs/>
        </w:rPr>
        <w:t>DESCRIPCIÓN DEL INDICADOR No. 80</w:t>
      </w:r>
      <w:r w:rsidRPr="001B34D0">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trHeight w:val="294"/>
          <w:jc w:val="center"/>
        </w:trPr>
        <w:tc>
          <w:tcPr>
            <w:tcW w:w="8828" w:type="dxa"/>
            <w:shd w:val="clear" w:color="auto" w:fill="FFFFFF"/>
          </w:tcPr>
          <w:p w:rsidR="00982E3B" w:rsidRPr="001B34D0" w:rsidRDefault="00982E3B" w:rsidP="00A92D87">
            <w:pPr>
              <w:spacing w:after="0" w:line="240" w:lineRule="auto"/>
              <w:rPr>
                <w:rFonts w:eastAsia="Calibri" w:cs="Times New Roman"/>
                <w:b/>
                <w:bCs/>
              </w:rPr>
            </w:pPr>
            <w:r w:rsidRPr="001B34D0">
              <w:rPr>
                <w:rFonts w:eastAsia="Calibri" w:cs="Times New Roman"/>
                <w:b/>
                <w:bCs/>
              </w:rPr>
              <w:t>MUNICIPIO:  PASTO</w:t>
            </w:r>
          </w:p>
        </w:tc>
      </w:tr>
      <w:tr w:rsidR="00982E3B" w:rsidRPr="001B34D0" w:rsidTr="00000F81">
        <w:trPr>
          <w:trHeight w:val="579"/>
          <w:jc w:val="center"/>
        </w:trPr>
        <w:tc>
          <w:tcPr>
            <w:tcW w:w="8828" w:type="dxa"/>
            <w:shd w:val="clear" w:color="auto" w:fill="DAEEF3"/>
          </w:tcPr>
          <w:p w:rsidR="00982E3B" w:rsidRPr="001B34D0" w:rsidRDefault="00982E3B" w:rsidP="00A92D87">
            <w:pPr>
              <w:spacing w:after="0" w:line="240" w:lineRule="auto"/>
              <w:rPr>
                <w:rFonts w:eastAsia="Calibri" w:cs="Times New Roman"/>
                <w:b/>
                <w:bCs/>
              </w:rPr>
            </w:pPr>
            <w:r w:rsidRPr="001B34D0">
              <w:rPr>
                <w:rFonts w:eastAsia="Calibri" w:cs="Times New Roman"/>
                <w:b/>
                <w:bCs/>
              </w:rPr>
              <w:t>Nombre del indicador: Tasa de violencia interpersonal contra niños, niñas  y adolescentes</w:t>
            </w:r>
          </w:p>
        </w:tc>
      </w:tr>
      <w:tr w:rsidR="00982E3B" w:rsidRPr="001B34D0" w:rsidTr="00000F81">
        <w:trPr>
          <w:trHeight w:val="332"/>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 xml:space="preserve">Fuente Nacional: </w:t>
            </w:r>
          </w:p>
          <w:p w:rsidR="00982E3B" w:rsidRPr="001B34D0" w:rsidRDefault="00982E3B"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982E3B" w:rsidRPr="001B34D0" w:rsidTr="00000F81">
        <w:trPr>
          <w:trHeight w:val="458"/>
          <w:jc w:val="center"/>
        </w:trPr>
        <w:tc>
          <w:tcPr>
            <w:tcW w:w="8828" w:type="dxa"/>
            <w:shd w:val="clear" w:color="auto" w:fill="DAEEF3"/>
          </w:tcPr>
          <w:p w:rsidR="00982E3B" w:rsidRPr="001B34D0" w:rsidRDefault="00982E3B" w:rsidP="00A92D87">
            <w:pPr>
              <w:spacing w:after="0" w:line="240" w:lineRule="auto"/>
              <w:rPr>
                <w:rFonts w:eastAsia="Calibri" w:cs="Times New Roman"/>
                <w:bCs/>
              </w:rPr>
            </w:pPr>
            <w:r w:rsidRPr="001B34D0">
              <w:rPr>
                <w:rFonts w:eastAsia="Calibri" w:cs="Times New Roman"/>
                <w:b/>
                <w:bCs/>
              </w:rPr>
              <w:t xml:space="preserve">Categoría de derechos: </w:t>
            </w:r>
          </w:p>
        </w:tc>
      </w:tr>
      <w:tr w:rsidR="00982E3B" w:rsidRPr="001B34D0" w:rsidTr="00000F81">
        <w:trPr>
          <w:trHeight w:val="458"/>
          <w:jc w:val="center"/>
        </w:trPr>
        <w:tc>
          <w:tcPr>
            <w:tcW w:w="8828" w:type="dxa"/>
            <w:shd w:val="clear" w:color="auto" w:fill="auto"/>
          </w:tcPr>
          <w:p w:rsidR="00982E3B" w:rsidRPr="001B34D0" w:rsidRDefault="00982E3B"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982E3B" w:rsidRPr="001B34D0" w:rsidRDefault="00982E3B" w:rsidP="00A92D87">
      <w:pPr>
        <w:suppressAutoHyphens/>
        <w:spacing w:after="0" w:line="240" w:lineRule="auto"/>
        <w:ind w:left="720"/>
        <w:contextualSpacing/>
        <w:rPr>
          <w:rFonts w:eastAsia="Times New Roman" w:cs="Times New Roman"/>
          <w:b/>
          <w:lang w:val="es-ES" w:eastAsia="ar-SA"/>
        </w:rPr>
      </w:pPr>
    </w:p>
    <w:p w:rsidR="00982E3B" w:rsidRPr="001B34D0" w:rsidRDefault="00982E3B" w:rsidP="00A92D87">
      <w:pPr>
        <w:numPr>
          <w:ilvl w:val="0"/>
          <w:numId w:val="48"/>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982E3B" w:rsidRPr="001B34D0" w:rsidRDefault="00982E3B" w:rsidP="00A92D87">
      <w:pPr>
        <w:suppressAutoHyphens/>
        <w:spacing w:after="0" w:line="240" w:lineRule="auto"/>
        <w:ind w:left="1080"/>
        <w:contextualSpacing/>
        <w:rPr>
          <w:rFonts w:eastAsia="Times New Roman" w:cs="Times New Roman"/>
          <w:b/>
          <w:lang w:val="es-ES" w:eastAsia="ar-S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1724"/>
        <w:gridCol w:w="1725"/>
        <w:gridCol w:w="1725"/>
        <w:gridCol w:w="1725"/>
      </w:tblGrid>
      <w:tr w:rsidR="00982E3B" w:rsidRPr="001B34D0" w:rsidTr="00000F81">
        <w:tc>
          <w:tcPr>
            <w:tcW w:w="219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982E3B" w:rsidRPr="001B34D0" w:rsidRDefault="00982E3B"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982E3B" w:rsidRPr="001B34D0" w:rsidTr="00000F81">
        <w:tc>
          <w:tcPr>
            <w:tcW w:w="2196" w:type="dxa"/>
            <w:shd w:val="clear" w:color="auto" w:fill="auto"/>
          </w:tcPr>
          <w:p w:rsidR="00982E3B" w:rsidRPr="001B34D0" w:rsidRDefault="00982E3B" w:rsidP="00A92D87">
            <w:pPr>
              <w:spacing w:after="0" w:line="240" w:lineRule="auto"/>
              <w:rPr>
                <w:rFonts w:eastAsia="Calibri" w:cs="Times New Roman"/>
                <w:lang w:eastAsia="es-CO"/>
              </w:rPr>
            </w:pPr>
            <w:r w:rsidRPr="001B34D0">
              <w:rPr>
                <w:rFonts w:eastAsia="Calibri" w:cs="Times New Roman"/>
                <w:lang w:eastAsia="es-CO"/>
              </w:rPr>
              <w:lastRenderedPageBreak/>
              <w:t>Tasa de violencia interpersonal contra niños, niñas  y adolescentes</w:t>
            </w:r>
          </w:p>
        </w:tc>
        <w:tc>
          <w:tcPr>
            <w:tcW w:w="1765"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748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251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320 x 100000 Hbts</w:t>
            </w:r>
          </w:p>
        </w:tc>
        <w:tc>
          <w:tcPr>
            <w:tcW w:w="1766" w:type="dxa"/>
            <w:shd w:val="clear" w:color="auto" w:fill="auto"/>
          </w:tcPr>
          <w:p w:rsidR="00982E3B" w:rsidRPr="001B34D0" w:rsidRDefault="00982E3B" w:rsidP="00A92D87">
            <w:pPr>
              <w:spacing w:after="0" w:line="240" w:lineRule="auto"/>
              <w:jc w:val="center"/>
              <w:rPr>
                <w:rFonts w:eastAsia="Calibri" w:cs="Times New Roman"/>
                <w:lang w:eastAsia="es-CO"/>
              </w:rPr>
            </w:pPr>
          </w:p>
          <w:p w:rsidR="00982E3B" w:rsidRPr="001B34D0" w:rsidRDefault="00982E3B" w:rsidP="00A92D87">
            <w:pPr>
              <w:spacing w:after="0" w:line="240" w:lineRule="auto"/>
              <w:jc w:val="center"/>
              <w:rPr>
                <w:rFonts w:eastAsia="Calibri" w:cs="Times New Roman"/>
                <w:lang w:eastAsia="es-CO"/>
              </w:rPr>
            </w:pPr>
            <w:r w:rsidRPr="001B34D0">
              <w:rPr>
                <w:rFonts w:eastAsia="Calibri" w:cs="Times New Roman"/>
                <w:lang w:eastAsia="es-CO"/>
              </w:rPr>
              <w:t>227 x 100000 Hbts</w:t>
            </w:r>
          </w:p>
        </w:tc>
      </w:tr>
      <w:tr w:rsidR="00982E3B" w:rsidRPr="001B34D0" w:rsidTr="00000F81">
        <w:tc>
          <w:tcPr>
            <w:tcW w:w="9259" w:type="dxa"/>
            <w:gridSpan w:val="5"/>
            <w:shd w:val="clear" w:color="auto" w:fill="auto"/>
          </w:tcPr>
          <w:p w:rsidR="00982E3B" w:rsidRPr="001B34D0" w:rsidRDefault="00982E3B"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982E3B" w:rsidRPr="001B34D0" w:rsidRDefault="00982E3B" w:rsidP="00A92D87">
      <w:pPr>
        <w:spacing w:after="200" w:line="240" w:lineRule="auto"/>
        <w:rPr>
          <w:rFonts w:eastAsia="Calibri" w:cs="Times New Roman"/>
        </w:rPr>
      </w:pPr>
    </w:p>
    <w:p w:rsidR="00982E3B" w:rsidRPr="001B34D0" w:rsidRDefault="00982E3B" w:rsidP="00A92D87">
      <w:pPr>
        <w:spacing w:after="200" w:line="240" w:lineRule="auto"/>
        <w:rPr>
          <w:rFonts w:eastAsia="Calibri" w:cs="Times New Roman"/>
          <w:b/>
        </w:rPr>
      </w:pPr>
      <w:r w:rsidRPr="001B34D0">
        <w:rPr>
          <w:rFonts w:eastAsia="Calibri" w:cs="Times New Roman"/>
          <w:b/>
        </w:rPr>
        <w:t xml:space="preserve">Gráfico: </w:t>
      </w:r>
    </w:p>
    <w:p w:rsidR="00982E3B" w:rsidRPr="001B34D0" w:rsidRDefault="00982E3B" w:rsidP="00A92D87">
      <w:pPr>
        <w:spacing w:after="200" w:line="240" w:lineRule="auto"/>
        <w:rPr>
          <w:rFonts w:eastAsia="Calibri" w:cs="Times New Roman"/>
          <w:b/>
        </w:rPr>
      </w:pPr>
      <w:r w:rsidRPr="001B34D0">
        <w:rPr>
          <w:rFonts w:eastAsia="Calibri" w:cs="Times New Roman"/>
          <w:noProof/>
          <w:lang w:val="es-ES" w:eastAsia="es-ES"/>
        </w:rPr>
        <w:drawing>
          <wp:inline distT="0" distB="0" distL="0" distR="0">
            <wp:extent cx="5523865" cy="2455545"/>
            <wp:effectExtent l="0" t="0" r="635" b="1905"/>
            <wp:docPr id="40" name="Grá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82E3B" w:rsidRPr="001B34D0" w:rsidRDefault="00982E3B" w:rsidP="00A92D87">
      <w:pPr>
        <w:spacing w:after="200" w:line="240" w:lineRule="auto"/>
        <w:rPr>
          <w:rFonts w:eastAsia="Calibri" w:cs="Times New Roman"/>
          <w:b/>
        </w:rPr>
      </w:pPr>
    </w:p>
    <w:p w:rsidR="00982E3B" w:rsidRPr="001B34D0" w:rsidRDefault="00982E3B" w:rsidP="00A92D87">
      <w:pPr>
        <w:numPr>
          <w:ilvl w:val="0"/>
          <w:numId w:val="4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La violencia interpersonal es un fenómeno que se presenta con mayor frecuencia en la zona urbana, especialmente el espacio o vía publica los fines de semana en horas de la noche  y madrugada. De igual manera, se evidencia el fenómeno en actividades de tomando licor y en actividades deportivas y/o relacionadas con el disfrute del tiempo libre.</w:t>
      </w: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El contexto del hecho las lesiones en su mayoría se presentan por riñas y robos; las cuales han sido provocadas en su mayoría por cortes y golpes; donde los lesionados estaban bajo efectos del alcohol. La violencia interpersonal es un fenómeno de la juventud, ocurre principalmente en hombres. En relación al presunto agresor la variable Desconocido y Amigo y/o conocido.</w:t>
      </w:r>
    </w:p>
    <w:p w:rsidR="00982E3B" w:rsidRPr="001B34D0" w:rsidRDefault="00982E3B" w:rsidP="00A92D87">
      <w:pPr>
        <w:numPr>
          <w:ilvl w:val="0"/>
          <w:numId w:val="4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Insumos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982E3B" w:rsidRPr="001B34D0" w:rsidRDefault="00982E3B" w:rsidP="00A92D87">
      <w:pPr>
        <w:suppressAutoHyphens/>
        <w:spacing w:after="0" w:line="240" w:lineRule="auto"/>
        <w:ind w:left="1080"/>
        <w:contextualSpacing/>
        <w:rPr>
          <w:rFonts w:eastAsia="Times New Roman" w:cs="Times New Roman"/>
          <w:lang w:val="es-ES" w:eastAsia="ar-SA"/>
        </w:rPr>
      </w:pPr>
    </w:p>
    <w:p w:rsidR="00982E3B" w:rsidRPr="001B34D0" w:rsidRDefault="00982E3B" w:rsidP="00A92D87">
      <w:pPr>
        <w:numPr>
          <w:ilvl w:val="0"/>
          <w:numId w:val="4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lastRenderedPageBreak/>
        <w:t>Programas, Proyectos y Acciones para mejorar la situación del indicador (2012 -2015)</w:t>
      </w:r>
    </w:p>
    <w:p w:rsidR="00982E3B" w:rsidRPr="001B34D0" w:rsidRDefault="00982E3B" w:rsidP="00A92D87">
      <w:pPr>
        <w:spacing w:after="200" w:line="240" w:lineRule="auto"/>
        <w:ind w:left="360"/>
        <w:jc w:val="both"/>
        <w:rPr>
          <w:rFonts w:eastAsia="Calibri" w:cs="Times New Roman"/>
          <w:b/>
          <w:u w:val="words"/>
        </w:rPr>
      </w:pPr>
      <w:r w:rsidRPr="001B34D0">
        <w:rPr>
          <w:rFonts w:eastAsia="Calibri" w:cs="Times New Roman"/>
        </w:rPr>
        <w:t>El Observatorio del Delito, realiza mesas temáticas de seguridad con las instituciones que tienen que ver con este tema como Policía Nacional, el grupo operativo de Pasto</w:t>
      </w:r>
      <w:r w:rsidRPr="001B34D0">
        <w:rPr>
          <w:rFonts w:eastAsia="Calibri" w:cs="Times New Roman"/>
          <w:u w:val="words"/>
        </w:rPr>
        <w:t xml:space="preserve"> </w:t>
      </w:r>
      <w:r w:rsidRPr="001B34D0">
        <w:rPr>
          <w:rFonts w:eastAsia="Calibri" w:cs="Times New Roman"/>
        </w:rPr>
        <w:t>Seguro, subsecretaria de convivencia, con el fin de realizar un análisis de la situación en el Municipio y dirigir los operativos conjuntos de prevención y control.  La Policía metropolitana con su estrategia de cuadrantes ha logrado disminuir los indicies de violencia, todo este trabajo acompañado de la intervención por parte de la Administración Municipal.</w:t>
      </w:r>
    </w:p>
    <w:p w:rsidR="00982E3B" w:rsidRPr="001B34D0" w:rsidRDefault="00982E3B" w:rsidP="00A92D87">
      <w:pPr>
        <w:numPr>
          <w:ilvl w:val="0"/>
          <w:numId w:val="4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4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Resultados al término de la gestión  (2012 -2014): </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Gran parte de las lesiones se presentaron en las extremidades superiores y en el cráneo, con cortes y laceraciones. Las comunas más afectadas por este tipo de violencia son la comuna uno, la comuna cinco y las comunas diez. En cuanto a la zona rural los corregimientos involucrados en este tipo de violencia son los corregimientos de Catambuco, Buesaquillo y Obonuco.  Este tipo de lesiones por violencia involucran lesiones que pueden requerir atención hospitalaria, daños a la salud mental, discapacidad y muerte.</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4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Impacto </w:t>
      </w: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El sistema de vigilancia de lesiones de causa externa no fatal, al cual hace parte las lesiones por violencia interpersonal e, se viene observando desde el año 2005, involucrando a todas las instituciones de salud públicas y privadas con servicio de urgencias, donde el reporte es permanente y la mayoría de las instituciones tienen incluida la ficha de notificación en la historia clínica sistematizada, lo cual garantiza la permanencia del sistema.</w:t>
      </w:r>
    </w:p>
    <w:p w:rsidR="00982E3B" w:rsidRPr="001B34D0" w:rsidRDefault="00982E3B" w:rsidP="00A92D87">
      <w:pPr>
        <w:spacing w:after="200" w:line="240" w:lineRule="auto"/>
        <w:ind w:left="360"/>
        <w:jc w:val="both"/>
        <w:rPr>
          <w:rFonts w:eastAsia="Calibri" w:cs="Times New Roman"/>
        </w:rPr>
      </w:pPr>
      <w:r w:rsidRPr="001B34D0">
        <w:rPr>
          <w:rFonts w:eastAsia="Calibri" w:cs="Times New Roman"/>
        </w:rPr>
        <w:t>Permite una descripción más exacta del problema.</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982E3B" w:rsidRPr="001B34D0" w:rsidRDefault="00982E3B"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p>
    <w:p w:rsidR="00982E3B" w:rsidRPr="001B34D0" w:rsidRDefault="00982E3B" w:rsidP="00A92D87">
      <w:pPr>
        <w:numPr>
          <w:ilvl w:val="0"/>
          <w:numId w:val="4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 xml:space="preserve">Generar impacto en las estrategias para la prevención del consumo de alcohol, sobre todo en menores de edad, ya que este factor es el desencadenante o generador de riñas por las cuales son atendidos la mayoría de los lesionados. </w:t>
      </w:r>
    </w:p>
    <w:p w:rsidR="00982E3B" w:rsidRPr="001B34D0" w:rsidRDefault="00982E3B" w:rsidP="00A92D87">
      <w:pPr>
        <w:suppressAutoHyphens/>
        <w:spacing w:after="0" w:line="240" w:lineRule="auto"/>
        <w:ind w:left="360"/>
        <w:contextualSpacing/>
        <w:jc w:val="both"/>
        <w:rPr>
          <w:rFonts w:eastAsia="Times New Roman" w:cs="Times New Roman"/>
          <w:b/>
          <w:lang w:val="es-ES" w:eastAsia="ar-SA"/>
        </w:rPr>
      </w:pPr>
    </w:p>
    <w:p w:rsidR="00982E3B" w:rsidRPr="001B34D0" w:rsidRDefault="00982E3B" w:rsidP="00A92D87">
      <w:pPr>
        <w:numPr>
          <w:ilvl w:val="0"/>
          <w:numId w:val="4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982E3B" w:rsidRPr="001B34D0" w:rsidRDefault="00982E3B"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982E3B" w:rsidRPr="001B34D0" w:rsidRDefault="00982E3B" w:rsidP="00A92D87">
      <w:pPr>
        <w:spacing w:line="240" w:lineRule="auto"/>
        <w:jc w:val="both"/>
      </w:pPr>
    </w:p>
    <w:p w:rsidR="00982E3B" w:rsidRPr="001B34D0" w:rsidRDefault="00982E3B" w:rsidP="00A92D87">
      <w:pPr>
        <w:spacing w:line="240" w:lineRule="auto"/>
        <w:jc w:val="both"/>
      </w:pPr>
    </w:p>
    <w:p w:rsidR="00982E3B" w:rsidRPr="001B34D0" w:rsidRDefault="00982E3B"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82</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982E3B" w:rsidRPr="001B34D0" w:rsidRDefault="00982E3B" w:rsidP="00A92D87">
            <w:r w:rsidRPr="001B34D0">
              <w:t>MUNICIPIO:  PASTO</w:t>
            </w:r>
          </w:p>
        </w:tc>
      </w:tr>
      <w:tr w:rsidR="00982E3B" w:rsidRPr="001B34D0" w:rsidTr="00000F81">
        <w:trPr>
          <w:cnfStyle w:val="000000100000"/>
          <w:trHeight w:val="579"/>
          <w:jc w:val="center"/>
        </w:trPr>
        <w:tc>
          <w:tcPr>
            <w:cnfStyle w:val="001000000000"/>
            <w:tcW w:w="8828" w:type="dxa"/>
          </w:tcPr>
          <w:p w:rsidR="00982E3B" w:rsidRPr="001B34D0" w:rsidRDefault="00982E3B" w:rsidP="00A92D87">
            <w:r w:rsidRPr="001B34D0">
              <w:t>Nombre del indicador: Porcentaje de niñas, niños y adolescentes víctimas del conflicto armado</w:t>
            </w:r>
          </w:p>
        </w:tc>
      </w:tr>
      <w:tr w:rsidR="00982E3B" w:rsidRPr="001B34D0" w:rsidTr="00000F81">
        <w:trPr>
          <w:trHeight w:val="332"/>
          <w:jc w:val="center"/>
        </w:trPr>
        <w:tc>
          <w:tcPr>
            <w:cnfStyle w:val="001000000000"/>
            <w:tcW w:w="8828" w:type="dxa"/>
          </w:tcPr>
          <w:p w:rsidR="00982E3B" w:rsidRPr="001B34D0" w:rsidRDefault="00982E3B" w:rsidP="00A92D87">
            <w:r w:rsidRPr="001B34D0">
              <w:t xml:space="preserve">Fuente Nacional: </w:t>
            </w:r>
          </w:p>
          <w:p w:rsidR="00982E3B" w:rsidRPr="001B34D0" w:rsidRDefault="00982E3B" w:rsidP="00A92D87">
            <w:r w:rsidRPr="001B34D0">
              <w:t>Otra Fuente: UNIDAD DE VICTIMAS Y RED NACIONAL DE INFORMACION</w:t>
            </w:r>
          </w:p>
        </w:tc>
      </w:tr>
      <w:tr w:rsidR="00982E3B" w:rsidRPr="001B34D0" w:rsidTr="00000F81">
        <w:trPr>
          <w:cnfStyle w:val="000000100000"/>
          <w:trHeight w:val="458"/>
          <w:jc w:val="center"/>
        </w:trPr>
        <w:tc>
          <w:tcPr>
            <w:cnfStyle w:val="001000000000"/>
            <w:tcW w:w="8828" w:type="dxa"/>
          </w:tcPr>
          <w:p w:rsidR="00982E3B" w:rsidRPr="001B34D0" w:rsidRDefault="00982E3B" w:rsidP="00A92D87">
            <w:r w:rsidRPr="001B34D0">
              <w:t>Categoría de derechos: DERECHO A LA PROTECCION</w:t>
            </w:r>
          </w:p>
        </w:tc>
      </w:tr>
      <w:tr w:rsidR="00982E3B" w:rsidRPr="001B34D0" w:rsidTr="00000F81">
        <w:trPr>
          <w:trHeight w:val="458"/>
          <w:jc w:val="center"/>
        </w:trPr>
        <w:tc>
          <w:tcPr>
            <w:cnfStyle w:val="001000000000"/>
            <w:tcW w:w="8828" w:type="dxa"/>
          </w:tcPr>
          <w:p w:rsidR="00982E3B" w:rsidRPr="001B34D0" w:rsidRDefault="00982E3B" w:rsidP="00A92D87">
            <w:r w:rsidRPr="001B34D0">
              <w:t>Metodología: Análisis de la información a partir de la cadena de resultados</w:t>
            </w:r>
          </w:p>
        </w:tc>
      </w:tr>
    </w:tbl>
    <w:p w:rsidR="00982E3B" w:rsidRPr="001B34D0" w:rsidRDefault="00982E3B"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982E3B" w:rsidRPr="001B34D0" w:rsidRDefault="00982E3B"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982E3B" w:rsidRPr="001B34D0" w:rsidTr="00000F81">
        <w:tc>
          <w:tcPr>
            <w:tcW w:w="2196" w:type="dxa"/>
          </w:tcPr>
          <w:p w:rsidR="00982E3B" w:rsidRPr="001B34D0" w:rsidRDefault="00982E3B" w:rsidP="00A92D87">
            <w:pPr>
              <w:jc w:val="center"/>
              <w:rPr>
                <w:b/>
              </w:rPr>
            </w:pPr>
            <w:r w:rsidRPr="001B34D0">
              <w:rPr>
                <w:b/>
              </w:rPr>
              <w:t>Indicador</w:t>
            </w:r>
          </w:p>
        </w:tc>
        <w:tc>
          <w:tcPr>
            <w:tcW w:w="1765" w:type="dxa"/>
          </w:tcPr>
          <w:p w:rsidR="00982E3B" w:rsidRPr="001B34D0" w:rsidRDefault="00982E3B" w:rsidP="00A92D87">
            <w:pPr>
              <w:jc w:val="center"/>
              <w:rPr>
                <w:b/>
              </w:rPr>
            </w:pPr>
            <w:r w:rsidRPr="001B34D0">
              <w:rPr>
                <w:b/>
              </w:rPr>
              <w:t>2011</w:t>
            </w:r>
          </w:p>
        </w:tc>
        <w:tc>
          <w:tcPr>
            <w:tcW w:w="1766" w:type="dxa"/>
          </w:tcPr>
          <w:p w:rsidR="00982E3B" w:rsidRPr="001B34D0" w:rsidRDefault="00982E3B" w:rsidP="00A92D87">
            <w:pPr>
              <w:jc w:val="center"/>
              <w:rPr>
                <w:b/>
              </w:rPr>
            </w:pPr>
            <w:r w:rsidRPr="001B34D0">
              <w:rPr>
                <w:b/>
              </w:rPr>
              <w:t>2012</w:t>
            </w:r>
          </w:p>
        </w:tc>
        <w:tc>
          <w:tcPr>
            <w:tcW w:w="1766" w:type="dxa"/>
          </w:tcPr>
          <w:p w:rsidR="00982E3B" w:rsidRPr="001B34D0" w:rsidRDefault="00982E3B" w:rsidP="00A92D87">
            <w:pPr>
              <w:jc w:val="center"/>
              <w:rPr>
                <w:b/>
              </w:rPr>
            </w:pPr>
            <w:r w:rsidRPr="001B34D0">
              <w:rPr>
                <w:b/>
              </w:rPr>
              <w:t>2013</w:t>
            </w:r>
          </w:p>
        </w:tc>
        <w:tc>
          <w:tcPr>
            <w:tcW w:w="1766" w:type="dxa"/>
          </w:tcPr>
          <w:p w:rsidR="00982E3B" w:rsidRPr="001B34D0" w:rsidRDefault="00982E3B" w:rsidP="00A92D87">
            <w:pPr>
              <w:jc w:val="center"/>
              <w:rPr>
                <w:b/>
              </w:rPr>
            </w:pPr>
            <w:r w:rsidRPr="001B34D0">
              <w:rPr>
                <w:b/>
              </w:rPr>
              <w:t>2014</w:t>
            </w:r>
          </w:p>
        </w:tc>
      </w:tr>
      <w:tr w:rsidR="00982E3B" w:rsidRPr="001B34D0" w:rsidTr="00000F81">
        <w:tc>
          <w:tcPr>
            <w:tcW w:w="2196" w:type="dxa"/>
          </w:tcPr>
          <w:p w:rsidR="00982E3B" w:rsidRPr="001B34D0" w:rsidRDefault="00982E3B" w:rsidP="00A92D87">
            <w:r w:rsidRPr="001B34D0">
              <w:t>Porcentaje de niñas, niños y adolescentes víctimas del conflicto armado</w:t>
            </w:r>
          </w:p>
        </w:tc>
        <w:tc>
          <w:tcPr>
            <w:tcW w:w="1765" w:type="dxa"/>
          </w:tcPr>
          <w:p w:rsidR="00982E3B" w:rsidRPr="001B34D0" w:rsidRDefault="00982E3B" w:rsidP="00A92D87">
            <w:pPr>
              <w:jc w:val="center"/>
            </w:pPr>
          </w:p>
        </w:tc>
        <w:tc>
          <w:tcPr>
            <w:tcW w:w="1766" w:type="dxa"/>
          </w:tcPr>
          <w:p w:rsidR="00982E3B" w:rsidRPr="001B34D0" w:rsidRDefault="00982E3B" w:rsidP="00A92D87">
            <w:pPr>
              <w:jc w:val="center"/>
            </w:pPr>
          </w:p>
          <w:p w:rsidR="00982E3B" w:rsidRPr="001B34D0" w:rsidRDefault="00982E3B" w:rsidP="00A92D87">
            <w:pPr>
              <w:jc w:val="center"/>
            </w:pPr>
            <w:r w:rsidRPr="001B34D0">
              <w:t>0.18</w:t>
            </w:r>
          </w:p>
        </w:tc>
        <w:tc>
          <w:tcPr>
            <w:tcW w:w="1766" w:type="dxa"/>
          </w:tcPr>
          <w:p w:rsidR="00982E3B" w:rsidRPr="001B34D0" w:rsidRDefault="00982E3B" w:rsidP="00A92D87">
            <w:pPr>
              <w:jc w:val="center"/>
            </w:pPr>
          </w:p>
          <w:p w:rsidR="00982E3B" w:rsidRPr="001B34D0" w:rsidRDefault="00982E3B" w:rsidP="00A92D87">
            <w:pPr>
              <w:jc w:val="center"/>
            </w:pPr>
            <w:r w:rsidRPr="001B34D0">
              <w:t>0.133</w:t>
            </w:r>
          </w:p>
        </w:tc>
        <w:tc>
          <w:tcPr>
            <w:tcW w:w="1766" w:type="dxa"/>
          </w:tcPr>
          <w:p w:rsidR="00982E3B" w:rsidRPr="001B34D0" w:rsidRDefault="00982E3B" w:rsidP="00A92D87">
            <w:pPr>
              <w:jc w:val="center"/>
            </w:pPr>
          </w:p>
          <w:p w:rsidR="00982E3B" w:rsidRPr="001B34D0" w:rsidRDefault="00982E3B" w:rsidP="00A92D87">
            <w:pPr>
              <w:jc w:val="center"/>
            </w:pPr>
            <w:r w:rsidRPr="001B34D0">
              <w:t>0.09</w:t>
            </w:r>
          </w:p>
        </w:tc>
      </w:tr>
      <w:tr w:rsidR="00982E3B" w:rsidRPr="001B34D0" w:rsidTr="00000F81">
        <w:tc>
          <w:tcPr>
            <w:tcW w:w="9259" w:type="dxa"/>
            <w:gridSpan w:val="5"/>
          </w:tcPr>
          <w:p w:rsidR="00982E3B" w:rsidRPr="001B34D0" w:rsidRDefault="00982E3B" w:rsidP="00A92D87">
            <w:pPr>
              <w:rPr>
                <w:b/>
              </w:rPr>
            </w:pPr>
            <w:r w:rsidRPr="001B34D0">
              <w:rPr>
                <w:b/>
              </w:rPr>
              <w:t>Fuente y año:  UNIDAD DE VICTIMAS</w:t>
            </w:r>
          </w:p>
        </w:tc>
      </w:tr>
    </w:tbl>
    <w:p w:rsidR="00982E3B" w:rsidRPr="001B34D0" w:rsidRDefault="00982E3B" w:rsidP="00A92D87">
      <w:pPr>
        <w:spacing w:line="240" w:lineRule="auto"/>
      </w:pPr>
    </w:p>
    <w:p w:rsidR="00982E3B" w:rsidRPr="001B34D0" w:rsidRDefault="00982E3B" w:rsidP="00A92D87">
      <w:pPr>
        <w:spacing w:line="240" w:lineRule="auto"/>
        <w:rPr>
          <w:b/>
        </w:rPr>
      </w:pPr>
      <w:r w:rsidRPr="001B34D0">
        <w:rPr>
          <w:b/>
        </w:rPr>
        <w:t xml:space="preserve">Gráfico: </w:t>
      </w:r>
    </w:p>
    <w:tbl>
      <w:tblPr>
        <w:tblW w:w="9617" w:type="dxa"/>
        <w:tblInd w:w="-639" w:type="dxa"/>
        <w:tblCellMar>
          <w:left w:w="70" w:type="dxa"/>
          <w:right w:w="70" w:type="dxa"/>
        </w:tblCellMar>
        <w:tblLook w:val="04A0"/>
      </w:tblPr>
      <w:tblGrid>
        <w:gridCol w:w="1578"/>
        <w:gridCol w:w="823"/>
        <w:gridCol w:w="1591"/>
        <w:gridCol w:w="1823"/>
        <w:gridCol w:w="1506"/>
        <w:gridCol w:w="1148"/>
        <w:gridCol w:w="1148"/>
      </w:tblGrid>
      <w:tr w:rsidR="00982E3B" w:rsidRPr="001B34D0" w:rsidTr="00000F81">
        <w:trPr>
          <w:trHeight w:val="615"/>
        </w:trPr>
        <w:tc>
          <w:tcPr>
            <w:tcW w:w="1578"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PERIODO</w:t>
            </w:r>
          </w:p>
        </w:tc>
        <w:tc>
          <w:tcPr>
            <w:tcW w:w="823"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591"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823"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506"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578"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2012</w:t>
            </w:r>
          </w:p>
        </w:tc>
        <w:tc>
          <w:tcPr>
            <w:tcW w:w="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591"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80</w:t>
            </w:r>
          </w:p>
        </w:tc>
        <w:tc>
          <w:tcPr>
            <w:tcW w:w="1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38.306</w:t>
            </w:r>
          </w:p>
        </w:tc>
        <w:tc>
          <w:tcPr>
            <w:tcW w:w="1506"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0,21</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591"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82</w:t>
            </w:r>
          </w:p>
        </w:tc>
        <w:tc>
          <w:tcPr>
            <w:tcW w:w="1823"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41.853</w:t>
            </w:r>
          </w:p>
        </w:tc>
        <w:tc>
          <w:tcPr>
            <w:tcW w:w="1506"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0,2</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jc w:val="right"/>
              <w:rPr>
                <w:rFonts w:eastAsia="Times New Roman" w:cs="Times New Roman"/>
                <w:color w:val="000000"/>
                <w:lang w:eastAsia="es-CO"/>
              </w:rPr>
            </w:pPr>
            <w:r w:rsidRPr="001B34D0">
              <w:rPr>
                <w:rFonts w:eastAsia="Times New Roman" w:cs="Times New Roman"/>
                <w:color w:val="000000"/>
                <w:lang w:eastAsia="es-CO"/>
              </w:rPr>
              <w:t>0,18</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591"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w:t>
            </w:r>
          </w:p>
        </w:tc>
        <w:tc>
          <w:tcPr>
            <w:tcW w:w="1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45.576</w:t>
            </w:r>
          </w:p>
        </w:tc>
        <w:tc>
          <w:tcPr>
            <w:tcW w:w="1506"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0,13</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578"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2013</w:t>
            </w:r>
          </w:p>
        </w:tc>
        <w:tc>
          <w:tcPr>
            <w:tcW w:w="823"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591"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67</w:t>
            </w:r>
          </w:p>
        </w:tc>
        <w:tc>
          <w:tcPr>
            <w:tcW w:w="1823"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38.027</w:t>
            </w:r>
          </w:p>
        </w:tc>
        <w:tc>
          <w:tcPr>
            <w:tcW w:w="1506"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0,18</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591"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40</w:t>
            </w:r>
          </w:p>
        </w:tc>
        <w:tc>
          <w:tcPr>
            <w:tcW w:w="1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41.390</w:t>
            </w:r>
          </w:p>
        </w:tc>
        <w:tc>
          <w:tcPr>
            <w:tcW w:w="1506"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0,1</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jc w:val="right"/>
              <w:rPr>
                <w:rFonts w:eastAsia="Times New Roman" w:cs="Times New Roman"/>
                <w:color w:val="000000"/>
                <w:lang w:eastAsia="es-CO"/>
              </w:rPr>
            </w:pPr>
            <w:r w:rsidRPr="001B34D0">
              <w:rPr>
                <w:rFonts w:eastAsia="Times New Roman" w:cs="Times New Roman"/>
                <w:color w:val="000000"/>
                <w:lang w:eastAsia="es-CO"/>
              </w:rPr>
              <w:t>0,133</w:t>
            </w:r>
          </w:p>
        </w:tc>
        <w:tc>
          <w:tcPr>
            <w:tcW w:w="1148" w:type="dxa"/>
            <w:tcBorders>
              <w:top w:val="nil"/>
              <w:left w:val="nil"/>
              <w:bottom w:val="nil"/>
              <w:right w:val="nil"/>
            </w:tcBorders>
            <w:shd w:val="clear" w:color="000000" w:fill="FFFF00"/>
            <w:noWrap/>
            <w:vAlign w:val="bottom"/>
            <w:hideMark/>
          </w:tcPr>
          <w:p w:rsidR="00982E3B" w:rsidRPr="001B34D0" w:rsidRDefault="00982E3B" w:rsidP="00A92D87">
            <w:pPr>
              <w:spacing w:after="0" w:line="240" w:lineRule="auto"/>
              <w:jc w:val="right"/>
              <w:rPr>
                <w:rFonts w:eastAsia="Times New Roman" w:cs="Times New Roman"/>
                <w:color w:val="000000"/>
                <w:lang w:eastAsia="es-CO"/>
              </w:rPr>
            </w:pPr>
            <w:r w:rsidRPr="001B34D0">
              <w:rPr>
                <w:rFonts w:eastAsia="Times New Roman" w:cs="Times New Roman"/>
                <w:color w:val="000000"/>
                <w:lang w:eastAsia="es-CO"/>
              </w:rPr>
              <w:t>0,134</w:t>
            </w:r>
          </w:p>
        </w:tc>
      </w:tr>
      <w:tr w:rsidR="00982E3B" w:rsidRPr="001B34D0"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591"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54</w:t>
            </w:r>
          </w:p>
        </w:tc>
        <w:tc>
          <w:tcPr>
            <w:tcW w:w="1823"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45.462</w:t>
            </w:r>
          </w:p>
        </w:tc>
        <w:tc>
          <w:tcPr>
            <w:tcW w:w="1506"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0,12</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578"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2014</w:t>
            </w:r>
          </w:p>
        </w:tc>
        <w:tc>
          <w:tcPr>
            <w:tcW w:w="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591"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39</w:t>
            </w:r>
          </w:p>
        </w:tc>
        <w:tc>
          <w:tcPr>
            <w:tcW w:w="1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37.793</w:t>
            </w:r>
          </w:p>
        </w:tc>
        <w:tc>
          <w:tcPr>
            <w:tcW w:w="1506"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0,1</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591"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36</w:t>
            </w:r>
          </w:p>
        </w:tc>
        <w:tc>
          <w:tcPr>
            <w:tcW w:w="1823"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40.935</w:t>
            </w:r>
          </w:p>
        </w:tc>
        <w:tc>
          <w:tcPr>
            <w:tcW w:w="1506"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0,09</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jc w:val="right"/>
              <w:rPr>
                <w:rFonts w:eastAsia="Times New Roman" w:cs="Times New Roman"/>
                <w:color w:val="000000"/>
                <w:lang w:eastAsia="es-CO"/>
              </w:rPr>
            </w:pPr>
            <w:r w:rsidRPr="001B34D0">
              <w:rPr>
                <w:rFonts w:eastAsia="Times New Roman" w:cs="Times New Roman"/>
                <w:color w:val="000000"/>
                <w:lang w:eastAsia="es-CO"/>
              </w:rPr>
              <w:t>0,09</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591"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35</w:t>
            </w:r>
          </w:p>
        </w:tc>
        <w:tc>
          <w:tcPr>
            <w:tcW w:w="1823"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45.218</w:t>
            </w:r>
          </w:p>
        </w:tc>
        <w:tc>
          <w:tcPr>
            <w:tcW w:w="1506"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0,08</w:t>
            </w: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bl>
    <w:p w:rsidR="00982E3B" w:rsidRPr="001B34D0" w:rsidRDefault="00982E3B" w:rsidP="00A92D87">
      <w:pPr>
        <w:spacing w:line="240" w:lineRule="auto"/>
        <w:rPr>
          <w:b/>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Dentro del conflicto armado Colombiano, el 0.134% de los casos que se presentan afectan a niñas, niños y adolescentes.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jc w:val="both"/>
        <w:rPr>
          <w:rFonts w:eastAsia="Times New Roman" w:cs="Arial"/>
          <w:lang w:eastAsia="es-CO"/>
        </w:rPr>
      </w:pPr>
      <w:r w:rsidRPr="001B34D0">
        <w:rPr>
          <w:rFonts w:eastAsia="Times New Roman" w:cs="Arial"/>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982E3B" w:rsidRPr="001B34D0" w:rsidRDefault="00982E3B" w:rsidP="00A92D87">
      <w:pPr>
        <w:spacing w:after="0" w:line="240" w:lineRule="auto"/>
        <w:jc w:val="both"/>
        <w:rPr>
          <w:rFonts w:eastAsia="Times New Roman" w:cs="Arial"/>
          <w:lang w:eastAsia="es-CO"/>
        </w:rPr>
      </w:pPr>
    </w:p>
    <w:p w:rsidR="00982E3B" w:rsidRPr="001B34D0" w:rsidRDefault="00982E3B" w:rsidP="00A92D87">
      <w:pPr>
        <w:spacing w:after="0" w:line="240" w:lineRule="auto"/>
        <w:jc w:val="both"/>
        <w:rPr>
          <w:rFonts w:cs="Arial"/>
          <w:bCs/>
        </w:rPr>
      </w:pPr>
      <w:r w:rsidRPr="001B34D0">
        <w:rPr>
          <w:rFonts w:cs="Arial"/>
        </w:rPr>
        <w:t xml:space="preserve">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w:t>
      </w:r>
      <w:r w:rsidRPr="001B34D0">
        <w:rPr>
          <w:rFonts w:cs="Arial"/>
          <w:bCs/>
        </w:rPr>
        <w:t>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982E3B" w:rsidRPr="001B34D0" w:rsidRDefault="00982E3B" w:rsidP="00A92D87">
      <w:pPr>
        <w:spacing w:after="0" w:line="240" w:lineRule="auto"/>
        <w:jc w:val="both"/>
        <w:rPr>
          <w:rFonts w:cs="Arial"/>
        </w:rPr>
      </w:pPr>
    </w:p>
    <w:p w:rsidR="00982E3B" w:rsidRPr="001B34D0" w:rsidRDefault="00982E3B" w:rsidP="00A92D87">
      <w:pPr>
        <w:spacing w:after="0" w:line="240" w:lineRule="auto"/>
        <w:jc w:val="both"/>
        <w:rPr>
          <w:rFonts w:eastAsia="Calibri" w:cs="Arial"/>
        </w:rPr>
      </w:pPr>
      <w:r w:rsidRPr="001B34D0">
        <w:rPr>
          <w:rFonts w:cs="Arial"/>
        </w:rPr>
        <w:t xml:space="preserve">Es por ello que  </w:t>
      </w:r>
      <w:r w:rsidRPr="001B34D0">
        <w:rPr>
          <w:rFonts w:eastAsia="Calibri" w:cs="Arial"/>
        </w:rPr>
        <w:t xml:space="preserve">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982E3B" w:rsidRPr="001B34D0" w:rsidRDefault="00982E3B" w:rsidP="00A92D87">
      <w:pPr>
        <w:spacing w:after="0" w:line="240" w:lineRule="auto"/>
        <w:contextualSpacing/>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982E3B" w:rsidRPr="001B34D0" w:rsidRDefault="00982E3B" w:rsidP="00A92D87">
      <w:pPr>
        <w:spacing w:line="240" w:lineRule="auto"/>
        <w:jc w:val="both"/>
        <w:rPr>
          <w:b/>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lastRenderedPageBreak/>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rPr>
          <w:rFonts w:eastAsia="Times New Roman" w:cs="Times New Roman"/>
          <w:lang w:eastAsia="es-CO"/>
        </w:rPr>
      </w:pPr>
      <w:r w:rsidRPr="001B34D0">
        <w:t>Programa</w:t>
      </w:r>
      <w:r w:rsidRPr="001B34D0">
        <w:rPr>
          <w:b/>
        </w:rPr>
        <w:t xml:space="preserve">: </w:t>
      </w:r>
      <w:r w:rsidRPr="001B34D0">
        <w:t>Articulo 74; Programa Atención a Víctimas de la Violencia del Conflicto Armado</w:t>
      </w:r>
      <w:r w:rsidRPr="001B34D0">
        <w:rPr>
          <w:rFonts w:eastAsia="Times New Roman" w:cs="Times New Roman"/>
          <w:b/>
          <w:lang w:eastAsia="es-CO"/>
        </w:rPr>
        <w:t xml:space="preserve"> </w:t>
      </w:r>
      <w:r w:rsidRPr="001B34D0">
        <w:rPr>
          <w:rFonts w:eastAsia="Times New Roman" w:cs="Times New Roman"/>
          <w:lang w:eastAsia="es-CO"/>
        </w:rPr>
        <w:t xml:space="preserve">del Plan de Desarrollo Municipal de Pasto.   </w:t>
      </w:r>
    </w:p>
    <w:p w:rsidR="00982E3B" w:rsidRPr="001B34D0" w:rsidRDefault="00982E3B" w:rsidP="00A92D87">
      <w:pPr>
        <w:spacing w:after="0" w:line="240" w:lineRule="auto"/>
        <w:rPr>
          <w:rFonts w:eastAsia="Times New Roman" w:cs="Times New Roman"/>
          <w:lang w:eastAsia="es-CO"/>
        </w:rPr>
      </w:pPr>
    </w:p>
    <w:p w:rsidR="00982E3B" w:rsidRPr="001B34D0" w:rsidRDefault="00982E3B" w:rsidP="00A92D87">
      <w:pPr>
        <w:spacing w:after="0" w:line="240" w:lineRule="auto"/>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982E3B" w:rsidRPr="001B34D0" w:rsidRDefault="00982E3B" w:rsidP="00A92D87">
      <w:pPr>
        <w:spacing w:after="0" w:line="240" w:lineRule="auto"/>
        <w:jc w:val="both"/>
        <w:rPr>
          <w:rFonts w:eastAsia="Times New Roman" w:cs="Times New Roman"/>
          <w:lang w:eastAsia="es-CO"/>
        </w:rPr>
      </w:pPr>
    </w:p>
    <w:p w:rsidR="00982E3B" w:rsidRPr="001B34D0" w:rsidRDefault="00982E3B" w:rsidP="00A92D87">
      <w:pPr>
        <w:spacing w:after="0" w:line="240" w:lineRule="auto"/>
        <w:jc w:val="both"/>
        <w:rPr>
          <w:rFonts w:cs="Arial"/>
        </w:rPr>
      </w:pPr>
      <w:r w:rsidRPr="001B34D0">
        <w:rPr>
          <w:rFonts w:eastAsia="Times New Roman" w:cs="Times New Roman"/>
          <w:lang w:eastAsia="es-CO"/>
        </w:rPr>
        <w:t xml:space="preserve">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w:t>
      </w:r>
      <w:r w:rsidRPr="001B34D0">
        <w:rPr>
          <w:rFonts w:cs="Arial"/>
        </w:rPr>
        <w:t xml:space="preserve">cuando una persona acude a este Municipio por primera vez, es atendida por una funcionaria profesional en el área de psicología, la cual orienta  a la población en una primera fase denominada </w:t>
      </w:r>
      <w:r w:rsidRPr="001B34D0">
        <w:rPr>
          <w:rFonts w:cs="Arial"/>
          <w:i/>
        </w:rPr>
        <w:t>“etapa de crisis”</w:t>
      </w:r>
      <w:r w:rsidRPr="001B34D0">
        <w:rPr>
          <w:rFonts w:cs="Arial"/>
        </w:rPr>
        <w:t>,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82E3B" w:rsidRPr="001B34D0" w:rsidRDefault="00982E3B" w:rsidP="00A92D87">
      <w:pPr>
        <w:spacing w:after="0" w:line="240" w:lineRule="auto"/>
        <w:jc w:val="both"/>
        <w:rPr>
          <w:rFonts w:cs="Arial"/>
        </w:rPr>
      </w:pPr>
    </w:p>
    <w:p w:rsidR="00982E3B" w:rsidRPr="001B34D0" w:rsidRDefault="00982E3B" w:rsidP="00A92D87">
      <w:pPr>
        <w:spacing w:after="0" w:line="240" w:lineRule="auto"/>
        <w:jc w:val="both"/>
        <w:rPr>
          <w:rFonts w:eastAsia="Arial Unicode MS" w:cs="Arial"/>
        </w:rPr>
      </w:pPr>
      <w:r w:rsidRPr="001B34D0">
        <w:rPr>
          <w:rFonts w:cs="Arial"/>
        </w:rPr>
        <w:t xml:space="preserve">La Alcaldía de Pasto interviene brindando una </w:t>
      </w:r>
      <w:r w:rsidRPr="001B34D0">
        <w:rPr>
          <w:rFonts w:cs="Arial"/>
          <w:b/>
        </w:rPr>
        <w:t>AYUDA HUMANITARIA INMEDIATA</w:t>
      </w:r>
      <w:r w:rsidRPr="001B34D0">
        <w:rPr>
          <w:rFonts w:cs="Arial"/>
        </w:rPr>
        <w:t>, la cual es entregada al núcleo familiar, en los términos preceptuados en el</w:t>
      </w:r>
      <w:r w:rsidRPr="001B34D0">
        <w:rPr>
          <w:rFonts w:eastAsia="Arial Unicode MS" w:cs="Arial"/>
        </w:rPr>
        <w:t xml:space="preserve"> artículo 108 del </w:t>
      </w:r>
      <w:r w:rsidRPr="001B34D0">
        <w:rPr>
          <w:rFonts w:cs="Arial"/>
        </w:rPr>
        <w:t>D</w:t>
      </w:r>
      <w:r w:rsidRPr="001B34D0">
        <w:rPr>
          <w:rFonts w:eastAsia="Arial Unicode MS" w:cs="Arial"/>
        </w:rPr>
        <w:t xml:space="preserve">ecreto 4800 de 2011, el cual textualmente  preceptúa: </w:t>
      </w:r>
    </w:p>
    <w:p w:rsidR="00982E3B" w:rsidRPr="001B34D0" w:rsidRDefault="00982E3B" w:rsidP="00A92D87">
      <w:pPr>
        <w:numPr>
          <w:ilvl w:val="0"/>
          <w:numId w:val="31"/>
        </w:numPr>
        <w:autoSpaceDE w:val="0"/>
        <w:autoSpaceDN w:val="0"/>
        <w:adjustRightInd w:val="0"/>
        <w:spacing w:after="0" w:line="240" w:lineRule="auto"/>
        <w:rPr>
          <w:rFonts w:cs="Arial"/>
          <w:color w:val="000000"/>
        </w:rPr>
      </w:pPr>
    </w:p>
    <w:p w:rsidR="00982E3B" w:rsidRPr="001B34D0" w:rsidRDefault="00982E3B" w:rsidP="00A92D87">
      <w:pPr>
        <w:autoSpaceDE w:val="0"/>
        <w:autoSpaceDN w:val="0"/>
        <w:adjustRightInd w:val="0"/>
        <w:spacing w:after="0" w:line="240" w:lineRule="auto"/>
        <w:jc w:val="both"/>
        <w:rPr>
          <w:rFonts w:cs="Arial"/>
          <w:u w:val="single"/>
        </w:rPr>
      </w:pPr>
      <w:r w:rsidRPr="001B34D0">
        <w:rPr>
          <w:rFonts w:cs="Arial"/>
        </w:rPr>
        <w:t>“</w:t>
      </w:r>
      <w:r w:rsidRPr="001B34D0">
        <w:rPr>
          <w:rFonts w:cs="Arial"/>
          <w:u w:val="single"/>
        </w:rPr>
        <w:t>La entidad territorial receptora</w:t>
      </w:r>
      <w:r w:rsidRPr="001B34D0">
        <w:rPr>
          <w:rFonts w:cs="Arial"/>
        </w:rPr>
        <w:t xml:space="preserve"> de la población víctima de desplazamiento, debe garantizar los componentes de alimentación, artículos de aseo, manejo de abastecimientos, utensilios de cocina y alojamiento transitorio, </w:t>
      </w:r>
      <w:r w:rsidRPr="001B34D0">
        <w:rPr>
          <w:rFonts w:cs="Arial"/>
          <w:u w:val="single"/>
        </w:rPr>
        <w:t xml:space="preserve">mientras se realiza el trámite de inscripción en el Registro Único de Víctimas. </w:t>
      </w:r>
    </w:p>
    <w:p w:rsidR="00982E3B" w:rsidRPr="001B34D0" w:rsidRDefault="00982E3B" w:rsidP="00A92D87">
      <w:pPr>
        <w:numPr>
          <w:ilvl w:val="0"/>
          <w:numId w:val="31"/>
        </w:numPr>
        <w:autoSpaceDE w:val="0"/>
        <w:autoSpaceDN w:val="0"/>
        <w:adjustRightInd w:val="0"/>
        <w:spacing w:after="0" w:line="240" w:lineRule="auto"/>
        <w:rPr>
          <w:rFonts w:cs="Arial"/>
          <w:color w:val="000000"/>
        </w:rPr>
      </w:pPr>
    </w:p>
    <w:p w:rsidR="00982E3B" w:rsidRPr="001B34D0" w:rsidRDefault="00982E3B" w:rsidP="00A92D87">
      <w:pPr>
        <w:autoSpaceDE w:val="0"/>
        <w:autoSpaceDN w:val="0"/>
        <w:adjustRightInd w:val="0"/>
        <w:spacing w:after="0" w:line="240" w:lineRule="auto"/>
        <w:jc w:val="both"/>
        <w:rPr>
          <w:rFonts w:cs="Arial"/>
        </w:rPr>
      </w:pPr>
      <w:r w:rsidRPr="001B34D0">
        <w:rPr>
          <w:rFonts w:cs="Arial"/>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82E3B" w:rsidRPr="001B34D0" w:rsidRDefault="00982E3B" w:rsidP="00A92D87">
      <w:pPr>
        <w:numPr>
          <w:ilvl w:val="0"/>
          <w:numId w:val="31"/>
        </w:numPr>
        <w:autoSpaceDE w:val="0"/>
        <w:autoSpaceDN w:val="0"/>
        <w:adjustRightInd w:val="0"/>
        <w:spacing w:after="0" w:line="240" w:lineRule="auto"/>
        <w:rPr>
          <w:rFonts w:cs="Arial"/>
          <w:color w:val="000000"/>
        </w:rPr>
      </w:pPr>
    </w:p>
    <w:p w:rsidR="00982E3B" w:rsidRPr="001B34D0" w:rsidRDefault="00982E3B" w:rsidP="00A92D87">
      <w:pPr>
        <w:numPr>
          <w:ilvl w:val="0"/>
          <w:numId w:val="33"/>
        </w:numPr>
        <w:autoSpaceDE w:val="0"/>
        <w:autoSpaceDN w:val="0"/>
        <w:adjustRightInd w:val="0"/>
        <w:spacing w:after="0" w:line="240" w:lineRule="auto"/>
        <w:ind w:left="360"/>
        <w:jc w:val="both"/>
        <w:rPr>
          <w:rFonts w:cs="Arial"/>
        </w:rPr>
      </w:pPr>
      <w:r w:rsidRPr="001B34D0">
        <w:rPr>
          <w:rFonts w:cs="Arial"/>
        </w:rPr>
        <w:lastRenderedPageBreak/>
        <w:t xml:space="preserve">Asistencia Alimentaria: alimentación en especie, auxilios monetarios, medios canjeables restringidos o estrategias de comida servida garantizando los mínimos nutricionales de la totalidad de los miembros del hogar. </w:t>
      </w:r>
    </w:p>
    <w:p w:rsidR="00982E3B" w:rsidRPr="001B34D0" w:rsidRDefault="00982E3B" w:rsidP="00A92D87">
      <w:pPr>
        <w:numPr>
          <w:ilvl w:val="0"/>
          <w:numId w:val="31"/>
        </w:numPr>
        <w:autoSpaceDE w:val="0"/>
        <w:autoSpaceDN w:val="0"/>
        <w:adjustRightInd w:val="0"/>
        <w:spacing w:after="0" w:line="240" w:lineRule="auto"/>
        <w:jc w:val="both"/>
        <w:rPr>
          <w:rFonts w:cs="Arial"/>
        </w:rPr>
      </w:pPr>
    </w:p>
    <w:p w:rsidR="00982E3B" w:rsidRPr="001B34D0" w:rsidRDefault="00982E3B" w:rsidP="00A92D87">
      <w:pPr>
        <w:numPr>
          <w:ilvl w:val="0"/>
          <w:numId w:val="33"/>
        </w:numPr>
        <w:autoSpaceDE w:val="0"/>
        <w:autoSpaceDN w:val="0"/>
        <w:adjustRightInd w:val="0"/>
        <w:spacing w:after="0" w:line="240" w:lineRule="auto"/>
        <w:ind w:left="360"/>
        <w:jc w:val="both"/>
        <w:rPr>
          <w:rFonts w:cs="Arial"/>
        </w:rPr>
      </w:pPr>
      <w:r w:rsidRPr="001B34D0">
        <w:rPr>
          <w:rFonts w:cs="Arial"/>
        </w:rPr>
        <w:t xml:space="preserve">Alojamiento Digno: auxilios monetarios, convenios de alojamiento con particulares o construcción de modalidades de </w:t>
      </w:r>
      <w:r w:rsidRPr="001B34D0">
        <w:rPr>
          <w:rFonts w:cs="Arial"/>
          <w:u w:val="single"/>
        </w:rPr>
        <w:t>alojamiento temporal con los mínimos de habitabilidad</w:t>
      </w:r>
      <w:r w:rsidRPr="001B34D0">
        <w:rPr>
          <w:rFonts w:cs="Arial"/>
        </w:rPr>
        <w:t xml:space="preserve"> y seguridad integral requeridos”. </w:t>
      </w:r>
    </w:p>
    <w:p w:rsidR="00982E3B" w:rsidRPr="001B34D0" w:rsidRDefault="00982E3B" w:rsidP="00A92D87">
      <w:pPr>
        <w:numPr>
          <w:ilvl w:val="0"/>
          <w:numId w:val="31"/>
        </w:numPr>
        <w:autoSpaceDE w:val="0"/>
        <w:autoSpaceDN w:val="0"/>
        <w:adjustRightInd w:val="0"/>
        <w:spacing w:after="0" w:line="240" w:lineRule="auto"/>
        <w:jc w:val="both"/>
        <w:rPr>
          <w:rFonts w:cs="Arial"/>
        </w:rPr>
      </w:pPr>
    </w:p>
    <w:p w:rsidR="00982E3B" w:rsidRPr="001B34D0" w:rsidRDefault="00982E3B" w:rsidP="00A92D87">
      <w:pPr>
        <w:spacing w:after="0" w:line="240" w:lineRule="auto"/>
        <w:jc w:val="both"/>
        <w:rPr>
          <w:rFonts w:eastAsia="Arial Unicode MS" w:cs="Arial"/>
          <w:b/>
          <w:u w:val="single"/>
        </w:rPr>
      </w:pPr>
      <w:r w:rsidRPr="001B34D0">
        <w:rPr>
          <w:rFonts w:eastAsia="Arial Unicode MS" w:cs="Arial"/>
        </w:rPr>
        <w:t xml:space="preserve">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w:t>
      </w:r>
      <w:r w:rsidRPr="001B34D0">
        <w:rPr>
          <w:rFonts w:eastAsia="Arial Unicode MS" w:cs="Arial"/>
          <w:b/>
        </w:rPr>
        <w:t xml:space="preserve">AYUDA HUMANITARIA INMEDIATA E INTEGRAL, </w:t>
      </w:r>
      <w:r w:rsidRPr="001B34D0">
        <w:rPr>
          <w:rFonts w:eastAsia="Arial Unicode MS" w:cs="Arial"/>
          <w:b/>
          <w:u w:val="single"/>
        </w:rPr>
        <w:t>hasta tanto se decida sobre la inscripción de la persona en el Registro Único de Victimas.</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atención humanitaria a Victimas NNA del conflicto armado de Colombia se realiza por demanda y de acuerdo a la dinámica del conflicto armado.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line="240" w:lineRule="auto"/>
        <w:jc w:val="both"/>
      </w:pPr>
      <w:r w:rsidRPr="001B34D0">
        <w:t xml:space="preserve">Se atendieron a la totalidad de población de NNA víctimas del conflicto armado que requirieron atención y orientación dentro de la etapa inmediata de atención.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Impacto: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Cobertura de las necesidades básicas (pañales, ropa, leche, cobijas) a través de la oficina de Bienestar Social</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Educación garantizada</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Subsidios en libros, textos y útiles escolares desde la Secretaria de Educación Municipal.</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Salud garantizada</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Acceso a una educación superior  de más fácil acceso.</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Espacios para crear y desarrollar un proyecto de vida.</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Actividades en las Instituciones Educativas que permitan disminuir la discriminación, el matoneo o el acoso a NNA por ser víctimas</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Cursos de aprendizaje en el SENA con más facilidad en su acceso o prioridad.</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lastRenderedPageBreak/>
        <w:t>Generar espacios deportivos de aprendizaje, en diferentes áreas basadas en las habilidades de los niños, niñas y adolescentes con Secretaria de Cultura.</w:t>
      </w:r>
    </w:p>
    <w:p w:rsidR="00982E3B" w:rsidRPr="001B34D0" w:rsidRDefault="00982E3B" w:rsidP="00A92D87">
      <w:pPr>
        <w:numPr>
          <w:ilvl w:val="0"/>
          <w:numId w:val="32"/>
        </w:numPr>
        <w:spacing w:after="0" w:line="240" w:lineRule="auto"/>
        <w:contextualSpacing/>
        <w:jc w:val="both"/>
        <w:rPr>
          <w:rFonts w:eastAsia="Times New Roman" w:cs="Calibri"/>
          <w:color w:val="000000"/>
          <w:lang w:eastAsia="es-CO"/>
        </w:rPr>
      </w:pPr>
      <w:r w:rsidRPr="001B34D0">
        <w:rPr>
          <w:rFonts w:eastAsia="Times New Roman" w:cs="Calibri"/>
          <w:color w:val="000000"/>
          <w:lang w:eastAsia="es-CO"/>
        </w:rPr>
        <w:t>Subsidio  para  jóvenes víctimas que ingresen a la universidad, en articulación con DPS</w:t>
      </w:r>
    </w:p>
    <w:p w:rsidR="00982E3B" w:rsidRPr="001B34D0" w:rsidRDefault="00982E3B" w:rsidP="00A92D87">
      <w:pPr>
        <w:numPr>
          <w:ilvl w:val="0"/>
          <w:numId w:val="32"/>
        </w:numPr>
        <w:spacing w:after="0" w:line="240" w:lineRule="auto"/>
        <w:contextualSpacing/>
        <w:jc w:val="both"/>
        <w:rPr>
          <w:rFonts w:eastAsia="Times New Roman" w:cs="Times New Roman"/>
          <w:lang w:eastAsia="es-CO"/>
        </w:rPr>
      </w:pPr>
      <w:r w:rsidRPr="001B34D0">
        <w:rPr>
          <w:rFonts w:eastAsia="Times New Roman" w:cs="Calibri"/>
          <w:color w:val="000000"/>
          <w:lang w:eastAsia="es-CO"/>
        </w:rPr>
        <w:t>Cumplimiento en las medidas de atención prioritaria en lugares como Banco Agrario UAO y EPS.</w:t>
      </w:r>
    </w:p>
    <w:p w:rsidR="00982E3B" w:rsidRPr="001B34D0" w:rsidRDefault="00982E3B" w:rsidP="00A92D87">
      <w:pPr>
        <w:spacing w:line="240" w:lineRule="auto"/>
        <w:jc w:val="both"/>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Prioridades</w:t>
      </w: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En el periodo analizado 2012- 2014 se evidencia que las edades de mayor vulneración de Derechos a la Protección de NNA se presentó en las comprendidas de los 0 – 5 años y de los 6 a los 11 años en el periodo comprendido en el año 2012 con un número total de víctimas atendidas de 162 menores entre las edades anteriormente relacionadas.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982E3B" w:rsidRPr="001B34D0" w:rsidRDefault="00982E3B" w:rsidP="00A92D87">
      <w:pPr>
        <w:spacing w:line="240" w:lineRule="auto"/>
        <w:jc w:val="both"/>
      </w:pPr>
    </w:p>
    <w:p w:rsidR="00982E3B" w:rsidRPr="001B34D0" w:rsidRDefault="00982E3B"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88</w:t>
      </w:r>
    </w:p>
    <w:tbl>
      <w:tblPr>
        <w:tblStyle w:val="Tabladecuadrcula2-nfasis51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982E3B" w:rsidRPr="001B34D0" w:rsidRDefault="00982E3B" w:rsidP="00A92D87">
            <w:r w:rsidRPr="001B34D0">
              <w:t>MUNICIPIO:  PASTO</w:t>
            </w:r>
          </w:p>
        </w:tc>
      </w:tr>
      <w:tr w:rsidR="00982E3B" w:rsidRPr="001B34D0" w:rsidTr="00000F81">
        <w:trPr>
          <w:cnfStyle w:val="000000100000"/>
          <w:trHeight w:val="579"/>
          <w:jc w:val="center"/>
        </w:trPr>
        <w:tc>
          <w:tcPr>
            <w:cnfStyle w:val="001000000000"/>
            <w:tcW w:w="8828" w:type="dxa"/>
          </w:tcPr>
          <w:p w:rsidR="00982E3B" w:rsidRPr="001B34D0" w:rsidRDefault="00982E3B" w:rsidP="00A92D87">
            <w:r w:rsidRPr="001B34D0">
              <w:t>Nombre del indicador: Porcentaje de niñas, niños y adolescentes víctimas del desplazamiento forzado (Especificar si se trata de territorios expulsores)</w:t>
            </w:r>
          </w:p>
        </w:tc>
      </w:tr>
      <w:tr w:rsidR="00982E3B" w:rsidRPr="001B34D0" w:rsidTr="00000F81">
        <w:trPr>
          <w:trHeight w:val="332"/>
          <w:jc w:val="center"/>
        </w:trPr>
        <w:tc>
          <w:tcPr>
            <w:cnfStyle w:val="001000000000"/>
            <w:tcW w:w="8828" w:type="dxa"/>
          </w:tcPr>
          <w:p w:rsidR="00982E3B" w:rsidRPr="001B34D0" w:rsidRDefault="00982E3B" w:rsidP="00A92D87">
            <w:r w:rsidRPr="001B34D0">
              <w:t xml:space="preserve">Fuente Nacional: </w:t>
            </w:r>
          </w:p>
          <w:p w:rsidR="00982E3B" w:rsidRPr="001B34D0" w:rsidRDefault="00982E3B" w:rsidP="00A92D87">
            <w:r w:rsidRPr="001B34D0">
              <w:t>Otra Fuente: UNIDAD DE VICTIMAS Y RED NACIONAL DE INFORMACION</w:t>
            </w:r>
          </w:p>
        </w:tc>
      </w:tr>
      <w:tr w:rsidR="00982E3B" w:rsidRPr="001B34D0" w:rsidTr="00000F81">
        <w:trPr>
          <w:cnfStyle w:val="000000100000"/>
          <w:trHeight w:val="458"/>
          <w:jc w:val="center"/>
        </w:trPr>
        <w:tc>
          <w:tcPr>
            <w:cnfStyle w:val="001000000000"/>
            <w:tcW w:w="8828" w:type="dxa"/>
          </w:tcPr>
          <w:p w:rsidR="00982E3B" w:rsidRPr="001B34D0" w:rsidRDefault="00982E3B" w:rsidP="00A92D87">
            <w:r w:rsidRPr="001B34D0">
              <w:t>Categoría de derechos: DERECHO A LA PROTECCION</w:t>
            </w:r>
          </w:p>
        </w:tc>
      </w:tr>
      <w:tr w:rsidR="00982E3B" w:rsidRPr="001B34D0" w:rsidTr="00000F81">
        <w:trPr>
          <w:trHeight w:val="458"/>
          <w:jc w:val="center"/>
        </w:trPr>
        <w:tc>
          <w:tcPr>
            <w:cnfStyle w:val="001000000000"/>
            <w:tcW w:w="8828" w:type="dxa"/>
          </w:tcPr>
          <w:p w:rsidR="00982E3B" w:rsidRPr="001B34D0" w:rsidRDefault="00982E3B" w:rsidP="00A92D87">
            <w:r w:rsidRPr="001B34D0">
              <w:t>Metodología: Análisis de la información a partir de la cadena de resultados</w:t>
            </w:r>
          </w:p>
        </w:tc>
      </w:tr>
    </w:tbl>
    <w:p w:rsidR="00982E3B" w:rsidRPr="001B34D0" w:rsidRDefault="00982E3B"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982E3B" w:rsidRPr="001B34D0" w:rsidRDefault="00982E3B" w:rsidP="00A92D87">
      <w:pPr>
        <w:spacing w:after="0" w:line="240" w:lineRule="auto"/>
        <w:contextualSpacing/>
        <w:rPr>
          <w:rFonts w:eastAsia="Times New Roman" w:cs="Times New Roman"/>
          <w:b/>
          <w:lang w:eastAsia="es-CO"/>
        </w:rPr>
      </w:pPr>
    </w:p>
    <w:tbl>
      <w:tblPr>
        <w:tblStyle w:val="Tablaconcuadrcula51"/>
        <w:tblW w:w="0" w:type="auto"/>
        <w:tblInd w:w="-431" w:type="dxa"/>
        <w:tblLook w:val="04A0"/>
      </w:tblPr>
      <w:tblGrid>
        <w:gridCol w:w="2196"/>
        <w:gridCol w:w="1765"/>
        <w:gridCol w:w="1766"/>
        <w:gridCol w:w="1766"/>
        <w:gridCol w:w="1766"/>
      </w:tblGrid>
      <w:tr w:rsidR="00982E3B" w:rsidRPr="001B34D0" w:rsidTr="00000F81">
        <w:tc>
          <w:tcPr>
            <w:tcW w:w="2196" w:type="dxa"/>
          </w:tcPr>
          <w:p w:rsidR="00982E3B" w:rsidRPr="001B34D0" w:rsidRDefault="00982E3B" w:rsidP="00A92D87">
            <w:pPr>
              <w:jc w:val="center"/>
              <w:rPr>
                <w:b/>
              </w:rPr>
            </w:pPr>
            <w:r w:rsidRPr="001B34D0">
              <w:rPr>
                <w:b/>
              </w:rPr>
              <w:t>Indicador</w:t>
            </w:r>
          </w:p>
        </w:tc>
        <w:tc>
          <w:tcPr>
            <w:tcW w:w="1765" w:type="dxa"/>
          </w:tcPr>
          <w:p w:rsidR="00982E3B" w:rsidRPr="001B34D0" w:rsidRDefault="00982E3B" w:rsidP="00A92D87">
            <w:pPr>
              <w:jc w:val="center"/>
              <w:rPr>
                <w:b/>
              </w:rPr>
            </w:pPr>
            <w:r w:rsidRPr="001B34D0">
              <w:rPr>
                <w:b/>
              </w:rPr>
              <w:t>2011</w:t>
            </w:r>
          </w:p>
        </w:tc>
        <w:tc>
          <w:tcPr>
            <w:tcW w:w="1766" w:type="dxa"/>
          </w:tcPr>
          <w:p w:rsidR="00982E3B" w:rsidRPr="001B34D0" w:rsidRDefault="00982E3B" w:rsidP="00A92D87">
            <w:pPr>
              <w:jc w:val="center"/>
              <w:rPr>
                <w:b/>
              </w:rPr>
            </w:pPr>
            <w:r w:rsidRPr="001B34D0">
              <w:rPr>
                <w:b/>
              </w:rPr>
              <w:t>2012</w:t>
            </w:r>
          </w:p>
        </w:tc>
        <w:tc>
          <w:tcPr>
            <w:tcW w:w="1766" w:type="dxa"/>
          </w:tcPr>
          <w:p w:rsidR="00982E3B" w:rsidRPr="001B34D0" w:rsidRDefault="00982E3B" w:rsidP="00A92D87">
            <w:pPr>
              <w:jc w:val="center"/>
              <w:rPr>
                <w:b/>
              </w:rPr>
            </w:pPr>
            <w:r w:rsidRPr="001B34D0">
              <w:rPr>
                <w:b/>
              </w:rPr>
              <w:t>2013</w:t>
            </w:r>
          </w:p>
        </w:tc>
        <w:tc>
          <w:tcPr>
            <w:tcW w:w="1766" w:type="dxa"/>
          </w:tcPr>
          <w:p w:rsidR="00982E3B" w:rsidRPr="001B34D0" w:rsidRDefault="00982E3B" w:rsidP="00A92D87">
            <w:pPr>
              <w:jc w:val="center"/>
              <w:rPr>
                <w:b/>
              </w:rPr>
            </w:pPr>
            <w:r w:rsidRPr="001B34D0">
              <w:rPr>
                <w:b/>
              </w:rPr>
              <w:t>2014</w:t>
            </w:r>
          </w:p>
        </w:tc>
      </w:tr>
      <w:tr w:rsidR="00982E3B" w:rsidRPr="001B34D0" w:rsidTr="00000F81">
        <w:tc>
          <w:tcPr>
            <w:tcW w:w="2196" w:type="dxa"/>
          </w:tcPr>
          <w:p w:rsidR="00982E3B" w:rsidRPr="001B34D0" w:rsidRDefault="00982E3B" w:rsidP="00A92D87">
            <w:r w:rsidRPr="001B34D0">
              <w:t>Porcentaje de niñas, niños y adolescentes víctimas del desplazamiento forzado (Especificar si se trata de territorios expulsores)</w:t>
            </w:r>
          </w:p>
        </w:tc>
        <w:tc>
          <w:tcPr>
            <w:tcW w:w="1765" w:type="dxa"/>
          </w:tcPr>
          <w:p w:rsidR="00982E3B" w:rsidRPr="001B34D0" w:rsidRDefault="00982E3B" w:rsidP="00A92D87">
            <w:pPr>
              <w:jc w:val="center"/>
            </w:pPr>
          </w:p>
        </w:tc>
        <w:tc>
          <w:tcPr>
            <w:tcW w:w="1766" w:type="dxa"/>
          </w:tcPr>
          <w:p w:rsidR="00982E3B" w:rsidRPr="001B34D0" w:rsidRDefault="00982E3B" w:rsidP="00A92D87">
            <w:pPr>
              <w:jc w:val="center"/>
            </w:pPr>
          </w:p>
          <w:p w:rsidR="00982E3B" w:rsidRPr="001B34D0" w:rsidRDefault="00982E3B" w:rsidP="00A92D87">
            <w:pPr>
              <w:jc w:val="center"/>
            </w:pPr>
            <w:r w:rsidRPr="001B34D0">
              <w:t>91.53</w:t>
            </w:r>
          </w:p>
          <w:p w:rsidR="00982E3B" w:rsidRPr="001B34D0" w:rsidRDefault="00982E3B" w:rsidP="00A92D87">
            <w:pPr>
              <w:jc w:val="center"/>
            </w:pPr>
            <w:r w:rsidRPr="001B34D0">
              <w:t>94.03</w:t>
            </w:r>
          </w:p>
          <w:p w:rsidR="00982E3B" w:rsidRPr="001B34D0" w:rsidRDefault="00982E3B" w:rsidP="00A92D87">
            <w:pPr>
              <w:jc w:val="center"/>
            </w:pPr>
            <w:r w:rsidRPr="001B34D0">
              <w:t>90</w:t>
            </w:r>
          </w:p>
        </w:tc>
        <w:tc>
          <w:tcPr>
            <w:tcW w:w="1766" w:type="dxa"/>
          </w:tcPr>
          <w:p w:rsidR="00982E3B" w:rsidRPr="001B34D0" w:rsidRDefault="00982E3B" w:rsidP="00A92D87">
            <w:pPr>
              <w:jc w:val="center"/>
            </w:pPr>
          </w:p>
          <w:p w:rsidR="00982E3B" w:rsidRPr="001B34D0" w:rsidRDefault="00982E3B" w:rsidP="00A92D87">
            <w:pPr>
              <w:jc w:val="center"/>
            </w:pPr>
            <w:r w:rsidRPr="001B34D0">
              <w:t>87,04</w:t>
            </w:r>
          </w:p>
          <w:p w:rsidR="00982E3B" w:rsidRPr="001B34D0" w:rsidRDefault="00982E3B" w:rsidP="00A92D87">
            <w:pPr>
              <w:jc w:val="center"/>
            </w:pPr>
            <w:r w:rsidRPr="001B34D0">
              <w:t>94,87</w:t>
            </w:r>
          </w:p>
          <w:p w:rsidR="00982E3B" w:rsidRPr="001B34D0" w:rsidRDefault="00982E3B" w:rsidP="00A92D87">
            <w:pPr>
              <w:jc w:val="center"/>
            </w:pPr>
            <w:r w:rsidRPr="001B34D0">
              <w:t>91,67</w:t>
            </w:r>
          </w:p>
        </w:tc>
        <w:tc>
          <w:tcPr>
            <w:tcW w:w="1766" w:type="dxa"/>
          </w:tcPr>
          <w:p w:rsidR="00982E3B" w:rsidRPr="001B34D0" w:rsidRDefault="00982E3B" w:rsidP="00A92D87">
            <w:pPr>
              <w:jc w:val="center"/>
            </w:pPr>
          </w:p>
          <w:p w:rsidR="00982E3B" w:rsidRPr="001B34D0" w:rsidRDefault="00982E3B" w:rsidP="00A92D87">
            <w:pPr>
              <w:jc w:val="center"/>
            </w:pPr>
            <w:r w:rsidRPr="001B34D0">
              <w:t>94.29</w:t>
            </w:r>
          </w:p>
        </w:tc>
      </w:tr>
      <w:tr w:rsidR="00982E3B" w:rsidRPr="001B34D0" w:rsidTr="00000F81">
        <w:tc>
          <w:tcPr>
            <w:tcW w:w="9259" w:type="dxa"/>
            <w:gridSpan w:val="5"/>
          </w:tcPr>
          <w:p w:rsidR="00982E3B" w:rsidRPr="001B34D0" w:rsidRDefault="00982E3B" w:rsidP="00A92D87">
            <w:pPr>
              <w:rPr>
                <w:b/>
              </w:rPr>
            </w:pPr>
            <w:r w:rsidRPr="001B34D0">
              <w:rPr>
                <w:b/>
              </w:rPr>
              <w:t>Fuente y año:  UNIDAD DE VICTIMAS</w:t>
            </w:r>
          </w:p>
        </w:tc>
      </w:tr>
    </w:tbl>
    <w:p w:rsidR="00982E3B" w:rsidRPr="001B34D0" w:rsidRDefault="00982E3B" w:rsidP="00A92D87">
      <w:pPr>
        <w:spacing w:line="240" w:lineRule="auto"/>
      </w:pPr>
    </w:p>
    <w:p w:rsidR="00982E3B" w:rsidRPr="001B34D0" w:rsidRDefault="00982E3B" w:rsidP="00A92D87">
      <w:pPr>
        <w:spacing w:line="240" w:lineRule="auto"/>
        <w:rPr>
          <w:b/>
        </w:rPr>
      </w:pPr>
    </w:p>
    <w:p w:rsidR="00982E3B" w:rsidRPr="001B34D0" w:rsidRDefault="00982E3B" w:rsidP="00A92D87">
      <w:pPr>
        <w:spacing w:line="240" w:lineRule="auto"/>
        <w:rPr>
          <w:b/>
        </w:rPr>
      </w:pPr>
      <w:r w:rsidRPr="001B34D0">
        <w:rPr>
          <w:b/>
        </w:rPr>
        <w:t xml:space="preserve">Gráfico: </w:t>
      </w:r>
    </w:p>
    <w:tbl>
      <w:tblPr>
        <w:tblW w:w="9498" w:type="dxa"/>
        <w:tblInd w:w="-497" w:type="dxa"/>
        <w:tblCellMar>
          <w:left w:w="70" w:type="dxa"/>
          <w:right w:w="70" w:type="dxa"/>
        </w:tblCellMar>
        <w:tblLook w:val="04A0"/>
      </w:tblPr>
      <w:tblGrid>
        <w:gridCol w:w="1707"/>
        <w:gridCol w:w="825"/>
        <w:gridCol w:w="1595"/>
        <w:gridCol w:w="1827"/>
        <w:gridCol w:w="1509"/>
        <w:gridCol w:w="2035"/>
      </w:tblGrid>
      <w:tr w:rsidR="00982E3B" w:rsidRPr="001B34D0" w:rsidTr="00000F81">
        <w:trPr>
          <w:trHeight w:val="615"/>
        </w:trPr>
        <w:tc>
          <w:tcPr>
            <w:tcW w:w="1707"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PERIODO</w:t>
            </w:r>
          </w:p>
        </w:tc>
        <w:tc>
          <w:tcPr>
            <w:tcW w:w="825"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595"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827"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509"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2010</w:t>
            </w:r>
          </w:p>
        </w:tc>
        <w:tc>
          <w:tcPr>
            <w:tcW w:w="82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15</w:t>
            </w:r>
          </w:p>
        </w:tc>
        <w:tc>
          <w:tcPr>
            <w:tcW w:w="182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20</w:t>
            </w:r>
          </w:p>
        </w:tc>
        <w:tc>
          <w:tcPr>
            <w:tcW w:w="150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75</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59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28</w:t>
            </w:r>
          </w:p>
        </w:tc>
        <w:tc>
          <w:tcPr>
            <w:tcW w:w="182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33</w:t>
            </w:r>
          </w:p>
        </w:tc>
        <w:tc>
          <w:tcPr>
            <w:tcW w:w="150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84,85</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17</w:t>
            </w:r>
          </w:p>
        </w:tc>
        <w:tc>
          <w:tcPr>
            <w:tcW w:w="182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23</w:t>
            </w:r>
          </w:p>
        </w:tc>
        <w:tc>
          <w:tcPr>
            <w:tcW w:w="150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73,91</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2011</w:t>
            </w:r>
          </w:p>
        </w:tc>
        <w:tc>
          <w:tcPr>
            <w:tcW w:w="82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w:t>
            </w:r>
          </w:p>
        </w:tc>
        <w:tc>
          <w:tcPr>
            <w:tcW w:w="182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65</w:t>
            </w:r>
          </w:p>
        </w:tc>
        <w:tc>
          <w:tcPr>
            <w:tcW w:w="150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90,77</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59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46</w:t>
            </w:r>
          </w:p>
        </w:tc>
        <w:tc>
          <w:tcPr>
            <w:tcW w:w="182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49</w:t>
            </w:r>
          </w:p>
        </w:tc>
        <w:tc>
          <w:tcPr>
            <w:tcW w:w="150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93,88</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52</w:t>
            </w:r>
          </w:p>
        </w:tc>
        <w:tc>
          <w:tcPr>
            <w:tcW w:w="182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54</w:t>
            </w:r>
          </w:p>
        </w:tc>
        <w:tc>
          <w:tcPr>
            <w:tcW w:w="150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96,3</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2012</w:t>
            </w:r>
          </w:p>
        </w:tc>
        <w:tc>
          <w:tcPr>
            <w:tcW w:w="82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76</w:t>
            </w:r>
          </w:p>
        </w:tc>
        <w:tc>
          <w:tcPr>
            <w:tcW w:w="182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80</w:t>
            </w:r>
          </w:p>
        </w:tc>
        <w:tc>
          <w:tcPr>
            <w:tcW w:w="150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95</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06-11</w:t>
            </w:r>
          </w:p>
        </w:tc>
        <w:tc>
          <w:tcPr>
            <w:tcW w:w="159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74</w:t>
            </w:r>
          </w:p>
        </w:tc>
        <w:tc>
          <w:tcPr>
            <w:tcW w:w="182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82</w:t>
            </w:r>
          </w:p>
        </w:tc>
        <w:tc>
          <w:tcPr>
            <w:tcW w:w="150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90,24</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12-17</w:t>
            </w:r>
          </w:p>
        </w:tc>
        <w:tc>
          <w:tcPr>
            <w:tcW w:w="159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54</w:t>
            </w:r>
          </w:p>
        </w:tc>
        <w:tc>
          <w:tcPr>
            <w:tcW w:w="182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w:t>
            </w:r>
          </w:p>
        </w:tc>
        <w:tc>
          <w:tcPr>
            <w:tcW w:w="150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91,53</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2013</w:t>
            </w:r>
          </w:p>
        </w:tc>
        <w:tc>
          <w:tcPr>
            <w:tcW w:w="82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63</w:t>
            </w:r>
          </w:p>
        </w:tc>
        <w:tc>
          <w:tcPr>
            <w:tcW w:w="182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67</w:t>
            </w:r>
          </w:p>
        </w:tc>
        <w:tc>
          <w:tcPr>
            <w:tcW w:w="150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94,03</w:t>
            </w:r>
          </w:p>
        </w:tc>
        <w:tc>
          <w:tcPr>
            <w:tcW w:w="2035" w:type="dxa"/>
            <w:tcBorders>
              <w:top w:val="nil"/>
              <w:left w:val="nil"/>
              <w:bottom w:val="nil"/>
              <w:right w:val="nil"/>
            </w:tcBorders>
            <w:shd w:val="clear" w:color="000000" w:fill="FFFF00"/>
            <w:noWrap/>
            <w:vAlign w:val="bottom"/>
            <w:hideMark/>
          </w:tcPr>
          <w:p w:rsidR="00982E3B" w:rsidRPr="001B34D0" w:rsidRDefault="00982E3B" w:rsidP="00A92D87">
            <w:pPr>
              <w:spacing w:after="0" w:line="240" w:lineRule="auto"/>
              <w:jc w:val="right"/>
              <w:rPr>
                <w:rFonts w:eastAsia="Times New Roman" w:cs="Times New Roman"/>
                <w:color w:val="000000"/>
                <w:lang w:eastAsia="es-CO"/>
              </w:rPr>
            </w:pPr>
            <w:r w:rsidRPr="001B34D0">
              <w:rPr>
                <w:rFonts w:eastAsia="Times New Roman" w:cs="Times New Roman"/>
                <w:color w:val="000000"/>
                <w:lang w:eastAsia="es-CO"/>
              </w:rPr>
              <w:t>92,0744444</w:t>
            </w: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06-11</w:t>
            </w:r>
          </w:p>
        </w:tc>
        <w:tc>
          <w:tcPr>
            <w:tcW w:w="159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36</w:t>
            </w:r>
          </w:p>
        </w:tc>
        <w:tc>
          <w:tcPr>
            <w:tcW w:w="182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40</w:t>
            </w:r>
          </w:p>
        </w:tc>
        <w:tc>
          <w:tcPr>
            <w:tcW w:w="150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90</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47</w:t>
            </w:r>
          </w:p>
        </w:tc>
        <w:tc>
          <w:tcPr>
            <w:tcW w:w="182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54</w:t>
            </w:r>
          </w:p>
        </w:tc>
        <w:tc>
          <w:tcPr>
            <w:tcW w:w="150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87,04</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2014</w:t>
            </w:r>
          </w:p>
        </w:tc>
        <w:tc>
          <w:tcPr>
            <w:tcW w:w="82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37</w:t>
            </w:r>
          </w:p>
        </w:tc>
        <w:tc>
          <w:tcPr>
            <w:tcW w:w="182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39</w:t>
            </w:r>
          </w:p>
        </w:tc>
        <w:tc>
          <w:tcPr>
            <w:tcW w:w="150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94,87</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59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33</w:t>
            </w:r>
          </w:p>
        </w:tc>
        <w:tc>
          <w:tcPr>
            <w:tcW w:w="182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36</w:t>
            </w:r>
          </w:p>
        </w:tc>
        <w:tc>
          <w:tcPr>
            <w:tcW w:w="150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91,67</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33</w:t>
            </w:r>
          </w:p>
        </w:tc>
        <w:tc>
          <w:tcPr>
            <w:tcW w:w="182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35</w:t>
            </w:r>
          </w:p>
        </w:tc>
        <w:tc>
          <w:tcPr>
            <w:tcW w:w="150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94,29</w:t>
            </w:r>
          </w:p>
        </w:tc>
        <w:tc>
          <w:tcPr>
            <w:tcW w:w="2035"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bl>
    <w:p w:rsidR="00982E3B" w:rsidRPr="001B34D0" w:rsidRDefault="00982E3B" w:rsidP="00A92D87">
      <w:pPr>
        <w:spacing w:line="240" w:lineRule="auto"/>
        <w:rPr>
          <w:b/>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A causa del Conflicto Armado Colombiano, se ha evidenciado que se presenta un porcentaje de 92.07% de NNA victimas de desplazamiento forzado.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jc w:val="both"/>
        <w:rPr>
          <w:rFonts w:eastAsia="Times New Roman" w:cs="Arial"/>
          <w:lang w:eastAsia="es-CO"/>
        </w:rPr>
      </w:pPr>
      <w:r w:rsidRPr="001B34D0">
        <w:rPr>
          <w:rFonts w:eastAsia="Times New Roman" w:cs="Arial"/>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982E3B" w:rsidRPr="001B34D0" w:rsidRDefault="00982E3B" w:rsidP="00A92D87">
      <w:pPr>
        <w:spacing w:after="0" w:line="240" w:lineRule="auto"/>
        <w:jc w:val="both"/>
        <w:rPr>
          <w:rFonts w:eastAsia="Times New Roman" w:cs="Arial"/>
          <w:lang w:eastAsia="es-CO"/>
        </w:rPr>
      </w:pPr>
    </w:p>
    <w:p w:rsidR="00982E3B" w:rsidRPr="001B34D0" w:rsidRDefault="00982E3B" w:rsidP="00A92D87">
      <w:pPr>
        <w:spacing w:after="0" w:line="240" w:lineRule="auto"/>
        <w:jc w:val="both"/>
        <w:rPr>
          <w:rFonts w:cs="Arial"/>
          <w:bCs/>
        </w:rPr>
      </w:pPr>
      <w:r w:rsidRPr="001B34D0">
        <w:rPr>
          <w:rFonts w:cs="Arial"/>
        </w:rPr>
        <w:t xml:space="preserve">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w:t>
      </w:r>
      <w:r w:rsidRPr="001B34D0">
        <w:rPr>
          <w:rFonts w:cs="Arial"/>
          <w:bCs/>
        </w:rPr>
        <w:t xml:space="preserve">tal como lo establece la Ley 387 de 1997, Decretos Reglamentarios 250 de 2005 y 2569 de 2000, además de lo contemplado en la Ley 1190 de 2008, Decreto Reglamentario 1997 de 2009 </w:t>
      </w:r>
      <w:r w:rsidRPr="001B34D0">
        <w:rPr>
          <w:rFonts w:cs="Arial"/>
          <w:bCs/>
        </w:rPr>
        <w:lastRenderedPageBreak/>
        <w:t>y Sentencia T-025 de 2004, sus autos de seguimiento, Ley 1448 de 2011 y su Decreto Reglamentario referentes a las responsabilidades de los entes territoriales frente a la Atención a la Población en Situación de Desplazamiento y Victimas del Conflicto Armado.</w:t>
      </w:r>
    </w:p>
    <w:p w:rsidR="00982E3B" w:rsidRPr="001B34D0" w:rsidRDefault="00982E3B" w:rsidP="00A92D87">
      <w:pPr>
        <w:spacing w:after="0" w:line="240" w:lineRule="auto"/>
        <w:jc w:val="both"/>
        <w:rPr>
          <w:rFonts w:cs="Arial"/>
        </w:rPr>
      </w:pPr>
    </w:p>
    <w:p w:rsidR="00982E3B" w:rsidRPr="001B34D0" w:rsidRDefault="00982E3B" w:rsidP="00A92D87">
      <w:pPr>
        <w:spacing w:after="0" w:line="240" w:lineRule="auto"/>
        <w:jc w:val="both"/>
        <w:rPr>
          <w:rFonts w:eastAsia="Calibri" w:cs="Arial"/>
        </w:rPr>
      </w:pPr>
      <w:r w:rsidRPr="001B34D0">
        <w:rPr>
          <w:rFonts w:cs="Arial"/>
        </w:rPr>
        <w:t xml:space="preserve">Es por ello que  </w:t>
      </w:r>
      <w:r w:rsidRPr="001B34D0">
        <w:rPr>
          <w:rFonts w:eastAsia="Calibri" w:cs="Arial"/>
        </w:rPr>
        <w:t xml:space="preserve">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982E3B" w:rsidRPr="001B34D0" w:rsidRDefault="00982E3B" w:rsidP="00A92D87">
      <w:pPr>
        <w:spacing w:after="0" w:line="240" w:lineRule="auto"/>
        <w:contextualSpacing/>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w:t>
      </w:r>
      <w:r w:rsidRPr="001B34D0">
        <w:rPr>
          <w:rFonts w:eastAsia="Times New Roman" w:cs="Times New Roman"/>
          <w:lang w:eastAsia="es-CO"/>
        </w:rPr>
        <w:lastRenderedPageBreak/>
        <w:t>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atención humanitaria a Victimas NNA del conflicto armado de Colombia se realiza por demanda y de acuerdo a la dinámica del conflicto armado que existe en el momento.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line="240" w:lineRule="auto"/>
        <w:jc w:val="both"/>
      </w:pPr>
      <w:r w:rsidRPr="001B34D0">
        <w:t>Se atendieron a la totalidad de población de NNA víctimas del desplazamiento forzado causado por el conflicto armado que requirieron atención y orientación dentro de la etapa inmediata de atención en las siguientes proporciones:</w:t>
      </w:r>
    </w:p>
    <w:p w:rsidR="00982E3B" w:rsidRPr="001B34D0" w:rsidRDefault="00982E3B"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2012: 153 NNA</w:t>
      </w:r>
    </w:p>
    <w:p w:rsidR="00982E3B" w:rsidRPr="001B34D0" w:rsidRDefault="00982E3B"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2013: 117 NNA</w:t>
      </w:r>
    </w:p>
    <w:p w:rsidR="00982E3B" w:rsidRDefault="00982E3B"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2014: 33 NNA</w:t>
      </w:r>
    </w:p>
    <w:p w:rsidR="009225DA" w:rsidRPr="001B34D0" w:rsidRDefault="009225DA" w:rsidP="009225DA">
      <w:pPr>
        <w:spacing w:after="0" w:line="240" w:lineRule="auto"/>
        <w:ind w:left="1080"/>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Impacto: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Cobertura de las necesidades básicas (pañales, ropa, leche, cobijas) a través de la oficina de Bienestar Social</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Educación garantizada</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Subsidios en libros, textos y útiles escolares desde la Secretaria de Educación Municipal.</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Salud garantizada</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Acceso a una educación superior  de más fácil acceso.</w:t>
      </w: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Espacios para crear y desarrollar un proyecto de vida.</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Actividades en las Instituciones Educativas que permitan disminuir la discriminación, el matoneo o el acoso a NNA por ser víctimas</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Salidas, bibliotecas, sitios turísticos, espacios de socialización donde los niños, niñas y adolescentes,  adolescentes víctimas pueden interactuar y fortalecerse como grupo, actividad realizada desde Ludoteca ubicada en el Punto de Atención.</w:t>
      </w: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Cursos de aprendizaje en el SENA con más facilidad en su acceso o prioridad.</w:t>
      </w: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Generar espacios deportivos de aprendizaje, en diferentes áreas basadas en las habilidades de los niños, niñas y adolescentes con Secretaria de Cultura.</w:t>
      </w: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Subsidio  para  jóvenes víctimas que ingresen a la universidad, en articulación con DPS</w:t>
      </w:r>
    </w:p>
    <w:p w:rsidR="00982E3B" w:rsidRPr="001B34D0" w:rsidRDefault="00982E3B" w:rsidP="00A92D87">
      <w:pPr>
        <w:numPr>
          <w:ilvl w:val="0"/>
          <w:numId w:val="35"/>
        </w:numPr>
        <w:spacing w:after="200" w:line="240" w:lineRule="auto"/>
        <w:contextualSpacing/>
      </w:pPr>
      <w:r w:rsidRPr="001B34D0">
        <w:rPr>
          <w:rFonts w:eastAsia="Times New Roman" w:cs="Calibri"/>
          <w:color w:val="000000"/>
          <w:lang w:eastAsia="es-CO"/>
        </w:rPr>
        <w:t>Cumplimiento en las medidas de atención prioritaria en lugares como Banco Agrario, PAV  y EPS.</w:t>
      </w:r>
    </w:p>
    <w:p w:rsidR="00982E3B" w:rsidRPr="001B34D0" w:rsidRDefault="00982E3B" w:rsidP="00A92D87">
      <w:pPr>
        <w:numPr>
          <w:ilvl w:val="0"/>
          <w:numId w:val="35"/>
        </w:numPr>
        <w:spacing w:after="200" w:line="240" w:lineRule="auto"/>
        <w:contextualSpacing/>
      </w:pPr>
      <w:r w:rsidRPr="001B34D0">
        <w:rPr>
          <w:rFonts w:eastAsia="Times New Roman" w:cs="Calibri"/>
          <w:color w:val="000000"/>
          <w:lang w:eastAsia="es-CO"/>
        </w:rPr>
        <w:t>Se garantiza en articulación con la Registraduria Nacional del Estado Civil el derecho a la identificación.</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Prioridades</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En el periodo analizado 2012- 2014 se evidencia que las edades de mayor </w:t>
      </w: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lastRenderedPageBreak/>
        <w:t xml:space="preserve">Vulneración de Derechos a la Protección de NNA se presentó en las comprendidas de los 0 – 5 años en el periodo comprendido en el año 2012 con un número total de víctimas atendidas de 204 menores entre las edades anteriormente relacionadas.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Al momento de presentarse este tipo de situaciones, se recomienda de manera inminente implementar los planes de contingencia previamente establecidos por el municipio de Pasto, con la intención de menguar los efectos producidos en la población.</w:t>
      </w:r>
    </w:p>
    <w:p w:rsidR="00982E3B" w:rsidRPr="001B34D0" w:rsidRDefault="00982E3B" w:rsidP="00A92D87">
      <w:pPr>
        <w:spacing w:line="240" w:lineRule="auto"/>
        <w:jc w:val="both"/>
      </w:pPr>
    </w:p>
    <w:p w:rsidR="00982E3B" w:rsidRPr="001B34D0" w:rsidRDefault="00982E3B"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91</w:t>
      </w:r>
    </w:p>
    <w:tbl>
      <w:tblPr>
        <w:tblStyle w:val="Tabladecuadrcula2-nfasis515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982E3B" w:rsidRPr="001B34D0" w:rsidRDefault="00982E3B" w:rsidP="00A92D87">
            <w:r w:rsidRPr="001B34D0">
              <w:t>MUNICIPIO:  PASTO</w:t>
            </w:r>
          </w:p>
        </w:tc>
      </w:tr>
      <w:tr w:rsidR="00982E3B" w:rsidRPr="001B34D0" w:rsidTr="00000F81">
        <w:trPr>
          <w:cnfStyle w:val="000000100000"/>
          <w:trHeight w:val="579"/>
          <w:jc w:val="center"/>
        </w:trPr>
        <w:tc>
          <w:tcPr>
            <w:cnfStyle w:val="001000000000"/>
            <w:tcW w:w="8828" w:type="dxa"/>
          </w:tcPr>
          <w:p w:rsidR="00982E3B" w:rsidRPr="001B34D0" w:rsidRDefault="00982E3B" w:rsidP="00A92D87">
            <w:r w:rsidRPr="001B34D0">
              <w:t>Nombre del indicador: Porcentaje de niñas, niños y adolescentes víctimas de acto terrorista /Atentados/Combates/ Hostigamiento</w:t>
            </w:r>
          </w:p>
        </w:tc>
      </w:tr>
      <w:tr w:rsidR="00982E3B" w:rsidRPr="001B34D0" w:rsidTr="00000F81">
        <w:trPr>
          <w:trHeight w:val="332"/>
          <w:jc w:val="center"/>
        </w:trPr>
        <w:tc>
          <w:tcPr>
            <w:cnfStyle w:val="001000000000"/>
            <w:tcW w:w="8828" w:type="dxa"/>
          </w:tcPr>
          <w:p w:rsidR="00982E3B" w:rsidRPr="001B34D0" w:rsidRDefault="00982E3B" w:rsidP="00A92D87">
            <w:r w:rsidRPr="001B34D0">
              <w:t xml:space="preserve">Fuente Nacional: </w:t>
            </w:r>
          </w:p>
          <w:p w:rsidR="00982E3B" w:rsidRPr="001B34D0" w:rsidRDefault="00982E3B" w:rsidP="00A92D87">
            <w:r w:rsidRPr="001B34D0">
              <w:t>Otra Fuente: UNIDAD DE VICTIMAS Y RED NACIONAL DE INFORMACION</w:t>
            </w:r>
          </w:p>
        </w:tc>
      </w:tr>
      <w:tr w:rsidR="00982E3B" w:rsidRPr="001B34D0" w:rsidTr="00000F81">
        <w:trPr>
          <w:cnfStyle w:val="000000100000"/>
          <w:trHeight w:val="458"/>
          <w:jc w:val="center"/>
        </w:trPr>
        <w:tc>
          <w:tcPr>
            <w:cnfStyle w:val="001000000000"/>
            <w:tcW w:w="8828" w:type="dxa"/>
          </w:tcPr>
          <w:p w:rsidR="00982E3B" w:rsidRPr="001B34D0" w:rsidRDefault="00982E3B" w:rsidP="00A92D87">
            <w:r w:rsidRPr="001B34D0">
              <w:t>Categoría de derechos: DERECHO A LA PROTECCION</w:t>
            </w:r>
          </w:p>
        </w:tc>
      </w:tr>
      <w:tr w:rsidR="00982E3B" w:rsidRPr="001B34D0" w:rsidTr="00000F81">
        <w:trPr>
          <w:trHeight w:val="458"/>
          <w:jc w:val="center"/>
        </w:trPr>
        <w:tc>
          <w:tcPr>
            <w:cnfStyle w:val="001000000000"/>
            <w:tcW w:w="8828" w:type="dxa"/>
          </w:tcPr>
          <w:p w:rsidR="00982E3B" w:rsidRPr="001B34D0" w:rsidRDefault="00982E3B" w:rsidP="00A92D87">
            <w:r w:rsidRPr="001B34D0">
              <w:t>Metodología: Análisis de la información a partir de la cadena de resultados</w:t>
            </w:r>
          </w:p>
        </w:tc>
      </w:tr>
    </w:tbl>
    <w:p w:rsidR="00982E3B" w:rsidRPr="001B34D0" w:rsidRDefault="00982E3B"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982E3B" w:rsidRPr="001B34D0" w:rsidRDefault="00982E3B" w:rsidP="00A92D87">
      <w:pPr>
        <w:spacing w:after="0" w:line="240" w:lineRule="auto"/>
        <w:contextualSpacing/>
        <w:rPr>
          <w:rFonts w:eastAsia="Times New Roman" w:cs="Times New Roman"/>
          <w:b/>
          <w:lang w:eastAsia="es-CO"/>
        </w:rPr>
      </w:pPr>
    </w:p>
    <w:tbl>
      <w:tblPr>
        <w:tblStyle w:val="Tablaconcuadrcula52"/>
        <w:tblW w:w="0" w:type="auto"/>
        <w:tblInd w:w="-431" w:type="dxa"/>
        <w:tblLook w:val="04A0"/>
      </w:tblPr>
      <w:tblGrid>
        <w:gridCol w:w="2293"/>
        <w:gridCol w:w="1765"/>
        <w:gridCol w:w="1766"/>
        <w:gridCol w:w="1766"/>
        <w:gridCol w:w="1766"/>
      </w:tblGrid>
      <w:tr w:rsidR="00982E3B" w:rsidRPr="001B34D0" w:rsidTr="00000F81">
        <w:tc>
          <w:tcPr>
            <w:tcW w:w="2196" w:type="dxa"/>
          </w:tcPr>
          <w:p w:rsidR="00982E3B" w:rsidRPr="001B34D0" w:rsidRDefault="00982E3B" w:rsidP="00A92D87">
            <w:pPr>
              <w:jc w:val="center"/>
              <w:rPr>
                <w:b/>
              </w:rPr>
            </w:pPr>
            <w:r w:rsidRPr="001B34D0">
              <w:rPr>
                <w:b/>
              </w:rPr>
              <w:t>Indicador</w:t>
            </w:r>
          </w:p>
        </w:tc>
        <w:tc>
          <w:tcPr>
            <w:tcW w:w="1765" w:type="dxa"/>
          </w:tcPr>
          <w:p w:rsidR="00982E3B" w:rsidRPr="001B34D0" w:rsidRDefault="00982E3B" w:rsidP="00A92D87">
            <w:pPr>
              <w:jc w:val="center"/>
              <w:rPr>
                <w:b/>
              </w:rPr>
            </w:pPr>
            <w:r w:rsidRPr="001B34D0">
              <w:rPr>
                <w:b/>
              </w:rPr>
              <w:t>2011</w:t>
            </w:r>
          </w:p>
        </w:tc>
        <w:tc>
          <w:tcPr>
            <w:tcW w:w="1766" w:type="dxa"/>
          </w:tcPr>
          <w:p w:rsidR="00982E3B" w:rsidRPr="001B34D0" w:rsidRDefault="00982E3B" w:rsidP="00A92D87">
            <w:pPr>
              <w:jc w:val="center"/>
              <w:rPr>
                <w:b/>
              </w:rPr>
            </w:pPr>
            <w:r w:rsidRPr="001B34D0">
              <w:rPr>
                <w:b/>
              </w:rPr>
              <w:t>2012</w:t>
            </w:r>
          </w:p>
        </w:tc>
        <w:tc>
          <w:tcPr>
            <w:tcW w:w="1766" w:type="dxa"/>
          </w:tcPr>
          <w:p w:rsidR="00982E3B" w:rsidRPr="001B34D0" w:rsidRDefault="00982E3B" w:rsidP="00A92D87">
            <w:pPr>
              <w:jc w:val="center"/>
              <w:rPr>
                <w:b/>
              </w:rPr>
            </w:pPr>
            <w:r w:rsidRPr="001B34D0">
              <w:rPr>
                <w:b/>
              </w:rPr>
              <w:t>2013</w:t>
            </w:r>
          </w:p>
        </w:tc>
        <w:tc>
          <w:tcPr>
            <w:tcW w:w="1766" w:type="dxa"/>
          </w:tcPr>
          <w:p w:rsidR="00982E3B" w:rsidRPr="001B34D0" w:rsidRDefault="00982E3B" w:rsidP="00A92D87">
            <w:pPr>
              <w:jc w:val="center"/>
              <w:rPr>
                <w:b/>
              </w:rPr>
            </w:pPr>
            <w:r w:rsidRPr="001B34D0">
              <w:rPr>
                <w:b/>
              </w:rPr>
              <w:t>2014</w:t>
            </w:r>
          </w:p>
        </w:tc>
      </w:tr>
      <w:tr w:rsidR="00982E3B" w:rsidRPr="001B34D0" w:rsidTr="00000F81">
        <w:tc>
          <w:tcPr>
            <w:tcW w:w="2196" w:type="dxa"/>
          </w:tcPr>
          <w:p w:rsidR="00982E3B" w:rsidRPr="001B34D0" w:rsidRDefault="00982E3B" w:rsidP="00A92D87">
            <w:r w:rsidRPr="001B34D0">
              <w:t>Porcentaje de niñas, niños y adolescentes víctimas de acto terrorista /Atentados/Combates/ Hostigamiento</w:t>
            </w:r>
          </w:p>
        </w:tc>
        <w:tc>
          <w:tcPr>
            <w:tcW w:w="1765" w:type="dxa"/>
          </w:tcPr>
          <w:p w:rsidR="00982E3B" w:rsidRPr="001B34D0" w:rsidRDefault="00982E3B" w:rsidP="00A92D87">
            <w:pPr>
              <w:jc w:val="center"/>
            </w:pPr>
          </w:p>
        </w:tc>
        <w:tc>
          <w:tcPr>
            <w:tcW w:w="1766" w:type="dxa"/>
          </w:tcPr>
          <w:p w:rsidR="00982E3B" w:rsidRPr="001B34D0" w:rsidRDefault="00982E3B" w:rsidP="00A92D87">
            <w:pPr>
              <w:jc w:val="center"/>
            </w:pPr>
          </w:p>
          <w:p w:rsidR="00982E3B" w:rsidRPr="001B34D0" w:rsidRDefault="00982E3B" w:rsidP="00A92D87">
            <w:pPr>
              <w:jc w:val="center"/>
            </w:pPr>
          </w:p>
        </w:tc>
        <w:tc>
          <w:tcPr>
            <w:tcW w:w="1766" w:type="dxa"/>
          </w:tcPr>
          <w:p w:rsidR="00982E3B" w:rsidRPr="001B34D0" w:rsidRDefault="00982E3B" w:rsidP="00A92D87">
            <w:pPr>
              <w:jc w:val="center"/>
            </w:pPr>
          </w:p>
          <w:p w:rsidR="00982E3B" w:rsidRPr="001B34D0" w:rsidRDefault="00982E3B" w:rsidP="00A92D87">
            <w:pPr>
              <w:jc w:val="center"/>
            </w:pPr>
            <w:r w:rsidRPr="001B34D0">
              <w:t>1</w:t>
            </w:r>
          </w:p>
        </w:tc>
        <w:tc>
          <w:tcPr>
            <w:tcW w:w="1766" w:type="dxa"/>
          </w:tcPr>
          <w:p w:rsidR="00982E3B" w:rsidRPr="001B34D0" w:rsidRDefault="00982E3B" w:rsidP="00A92D87">
            <w:pPr>
              <w:jc w:val="center"/>
            </w:pPr>
          </w:p>
          <w:p w:rsidR="00982E3B" w:rsidRPr="001B34D0" w:rsidRDefault="00982E3B" w:rsidP="00A92D87">
            <w:pPr>
              <w:jc w:val="center"/>
            </w:pPr>
          </w:p>
        </w:tc>
      </w:tr>
      <w:tr w:rsidR="00982E3B" w:rsidRPr="001B34D0" w:rsidTr="00000F81">
        <w:tc>
          <w:tcPr>
            <w:tcW w:w="9259" w:type="dxa"/>
            <w:gridSpan w:val="5"/>
          </w:tcPr>
          <w:p w:rsidR="00982E3B" w:rsidRPr="001B34D0" w:rsidRDefault="00982E3B" w:rsidP="00A92D87">
            <w:pPr>
              <w:rPr>
                <w:b/>
              </w:rPr>
            </w:pPr>
            <w:r w:rsidRPr="001B34D0">
              <w:rPr>
                <w:b/>
              </w:rPr>
              <w:t>Fuente y año:  UNIDAD DE VICTIMAS</w:t>
            </w:r>
          </w:p>
        </w:tc>
      </w:tr>
    </w:tbl>
    <w:p w:rsidR="00982E3B" w:rsidRPr="001B34D0" w:rsidRDefault="00982E3B" w:rsidP="00A92D87">
      <w:pPr>
        <w:spacing w:line="240" w:lineRule="auto"/>
        <w:rPr>
          <w:b/>
        </w:rPr>
      </w:pPr>
    </w:p>
    <w:p w:rsidR="00982E3B" w:rsidRPr="001B34D0" w:rsidRDefault="00982E3B" w:rsidP="00A92D87">
      <w:pPr>
        <w:spacing w:line="240" w:lineRule="auto"/>
        <w:rPr>
          <w:b/>
        </w:rPr>
      </w:pPr>
      <w:r w:rsidRPr="001B34D0">
        <w:rPr>
          <w:b/>
        </w:rPr>
        <w:t xml:space="preserve">Gráfico: </w:t>
      </w:r>
    </w:p>
    <w:tbl>
      <w:tblPr>
        <w:tblW w:w="7561" w:type="dxa"/>
        <w:tblInd w:w="55" w:type="dxa"/>
        <w:tblCellMar>
          <w:left w:w="70" w:type="dxa"/>
          <w:right w:w="70" w:type="dxa"/>
        </w:tblCellMar>
        <w:tblLook w:val="04A0"/>
      </w:tblPr>
      <w:tblGrid>
        <w:gridCol w:w="1045"/>
        <w:gridCol w:w="715"/>
        <w:gridCol w:w="1485"/>
        <w:gridCol w:w="1717"/>
        <w:gridCol w:w="1399"/>
        <w:gridCol w:w="1200"/>
      </w:tblGrid>
      <w:tr w:rsidR="00982E3B" w:rsidRPr="001B34D0"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lastRenderedPageBreak/>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488"/>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11-17</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23</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4,35</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566"/>
        </w:trPr>
        <w:tc>
          <w:tcPr>
            <w:tcW w:w="1045"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w:t>
            </w:r>
          </w:p>
        </w:tc>
        <w:tc>
          <w:tcPr>
            <w:tcW w:w="171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67</w:t>
            </w:r>
          </w:p>
        </w:tc>
        <w:tc>
          <w:tcPr>
            <w:tcW w:w="139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2,99</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1107"/>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11-17</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54</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1,85</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jc w:val="right"/>
              <w:rPr>
                <w:rFonts w:eastAsia="Times New Roman" w:cs="Times New Roman"/>
                <w:color w:val="000000"/>
                <w:lang w:eastAsia="es-CO"/>
              </w:rPr>
            </w:pPr>
            <w:r w:rsidRPr="001B34D0">
              <w:rPr>
                <w:rFonts w:eastAsia="Times New Roman" w:cs="Times New Roman"/>
                <w:color w:val="000000"/>
                <w:lang w:eastAsia="es-CO"/>
              </w:rPr>
              <w:t>2,42</w:t>
            </w:r>
          </w:p>
        </w:tc>
      </w:tr>
    </w:tbl>
    <w:p w:rsidR="00982E3B" w:rsidRPr="001B34D0" w:rsidRDefault="00982E3B" w:rsidP="00A92D87">
      <w:pPr>
        <w:spacing w:line="240" w:lineRule="auto"/>
        <w:rPr>
          <w:b/>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evidencia que en los años 2012 y 2014 no se presentaron víctimas registradas perteneciente al grupo de NNA,  por lo que se toma como referencia el año 2013 en el que se atendió a 3 NNA victimas de acto terrorista.</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9225DA" w:rsidRDefault="009225DA">
      <w:pPr>
        <w:rPr>
          <w:rFonts w:eastAsia="Times New Roman" w:cs="Times New Roman"/>
          <w:lang w:eastAsia="es-CO"/>
        </w:rPr>
      </w:pPr>
      <w:r>
        <w:rPr>
          <w:rFonts w:eastAsia="Times New Roman" w:cs="Times New Roman"/>
          <w:lang w:eastAsia="es-CO"/>
        </w:rPr>
        <w:br w:type="page"/>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982E3B" w:rsidRPr="001B34D0" w:rsidRDefault="00982E3B" w:rsidP="00A92D87">
      <w:pPr>
        <w:spacing w:after="0" w:line="240" w:lineRule="auto"/>
        <w:contextualSpacing/>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Recursos (físicos, humanos y financieros) disponibles y utilizados en la intervención del problema o situación detectada (Aquí se indica si este indicador hace parte del plan territorial de salud y cuál fue el plan de inversiones).</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982E3B" w:rsidRPr="001B34D0" w:rsidRDefault="00982E3B" w:rsidP="00A92D87">
      <w:pPr>
        <w:spacing w:after="0" w:line="240" w:lineRule="auto"/>
        <w:contextualSpacing/>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w:t>
      </w:r>
      <w:r w:rsidRPr="001B34D0">
        <w:rPr>
          <w:rFonts w:eastAsia="Times New Roman" w:cs="Times New Roman"/>
          <w:lang w:eastAsia="es-CO"/>
        </w:rPr>
        <w:lastRenderedPageBreak/>
        <w:t>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atención humanitaria a Victimas NNA del conflicto armado de Colombia se realiza por demanda y de acuerdo a la dinámica del conflicto armado que existe en el momento.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line="240" w:lineRule="auto"/>
        <w:jc w:val="both"/>
      </w:pPr>
      <w:r w:rsidRPr="001B34D0">
        <w:lastRenderedPageBreak/>
        <w:t>Se atendieron a la totalidad de población de NNA víctimas del desplazamiento forzado causado por el conflicto armado que requirieron atención y orientación dentro de la etapa inmediata de atención en las siguientes proporciones:</w:t>
      </w:r>
    </w:p>
    <w:p w:rsidR="00982E3B" w:rsidRPr="001B34D0" w:rsidRDefault="00982E3B"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2012: 0 NNA</w:t>
      </w:r>
    </w:p>
    <w:p w:rsidR="00982E3B" w:rsidRPr="001B34D0" w:rsidRDefault="00982E3B"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2013: 3 NNA</w:t>
      </w:r>
    </w:p>
    <w:p w:rsidR="00982E3B" w:rsidRPr="001B34D0" w:rsidRDefault="00982E3B"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2014: 0 NNA</w:t>
      </w: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Impacto: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Cobertura de las necesidades básicas (pañales, ropa, leche, cobijas) a través de la oficina de Bienestar Social</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Educación garantizada</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Subsidios en libros, textos y útiles escolares desde la Secretaria de Educación Municipal.</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Salud garantizada</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Acceso a una educación superior  de más fácil acceso.</w:t>
      </w: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Espacios para crear y desarrollar un proyecto de vida.</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Actividades en las Instituciones Educativas que permitan disminuir la discriminación, el matoneo o el acoso a NNA por ser víctimas</w:t>
      </w:r>
    </w:p>
    <w:p w:rsidR="00982E3B" w:rsidRPr="001B34D0" w:rsidRDefault="00982E3B"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Cursos de aprendizaje en el SENA con más facilidad en su acceso o prioridad.</w:t>
      </w: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Generar espacios deportivos de aprendizaje, en diferentes áreas basadas en las habilidades de los niños, niñas y adolescentes con Secretaria de Cultura.</w:t>
      </w:r>
    </w:p>
    <w:p w:rsidR="00982E3B" w:rsidRPr="001B34D0" w:rsidRDefault="00982E3B"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Subsidio  para  jóvenes víctimas que ingresen a la universidad, en articulación con DPS</w:t>
      </w:r>
    </w:p>
    <w:p w:rsidR="00982E3B" w:rsidRPr="001B34D0" w:rsidRDefault="00982E3B" w:rsidP="00A92D87">
      <w:pPr>
        <w:numPr>
          <w:ilvl w:val="0"/>
          <w:numId w:val="35"/>
        </w:numPr>
        <w:spacing w:after="200" w:line="240" w:lineRule="auto"/>
        <w:contextualSpacing/>
      </w:pPr>
      <w:r w:rsidRPr="001B34D0">
        <w:rPr>
          <w:rFonts w:eastAsia="Times New Roman" w:cs="Calibri"/>
          <w:color w:val="000000"/>
          <w:lang w:eastAsia="es-CO"/>
        </w:rPr>
        <w:t>Cumplimiento en las medidas de atención prioritaria en lugares como Banco Agrario PAV y EPS.</w:t>
      </w:r>
    </w:p>
    <w:p w:rsidR="00982E3B" w:rsidRPr="001B34D0" w:rsidRDefault="00982E3B" w:rsidP="00A92D87">
      <w:pPr>
        <w:numPr>
          <w:ilvl w:val="0"/>
          <w:numId w:val="35"/>
        </w:numPr>
        <w:spacing w:after="200" w:line="240" w:lineRule="auto"/>
        <w:contextualSpacing/>
        <w:rPr>
          <w:rFonts w:eastAsia="Times New Roman" w:cs="Times New Roman"/>
          <w:lang w:eastAsia="es-CO"/>
        </w:rPr>
      </w:pPr>
      <w:r w:rsidRPr="001B34D0">
        <w:rPr>
          <w:rFonts w:eastAsia="Times New Roman" w:cs="Calibri"/>
          <w:color w:val="000000"/>
          <w:lang w:eastAsia="es-CO"/>
        </w:rPr>
        <w:t>Se garantiza en articulación con la Registraduria Nacional del Estado Civil, el acceso al derecho a la identificación.</w:t>
      </w:r>
    </w:p>
    <w:p w:rsidR="00982E3B" w:rsidRPr="001B34D0" w:rsidRDefault="00982E3B" w:rsidP="00A92D87">
      <w:pPr>
        <w:spacing w:after="200" w:line="240" w:lineRule="auto"/>
        <w:contextualSpacing/>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Prioridades</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En el periodo analizado 2012- 2014 se evidencia que las edades de mayor vulneración de Derechos a la Protección de NNA se presentó en las comprendidas de los 0 – 5 años en el periodo comprendido en el año 2013 con un número total de víctimas atendidas de 3 menores entre las edades anteriormente relacionadas. </w:t>
      </w:r>
    </w:p>
    <w:p w:rsidR="009225DA" w:rsidRDefault="009225DA">
      <w:pPr>
        <w:rPr>
          <w:rFonts w:eastAsia="Times New Roman" w:cs="Times New Roman"/>
          <w:lang w:eastAsia="es-CO"/>
        </w:rPr>
      </w:pPr>
      <w:r>
        <w:rPr>
          <w:rFonts w:eastAsia="Times New Roman" w:cs="Times New Roman"/>
          <w:lang w:eastAsia="es-CO"/>
        </w:rPr>
        <w:br w:type="page"/>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982E3B" w:rsidRPr="001B34D0" w:rsidRDefault="00982E3B"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92</w:t>
      </w:r>
    </w:p>
    <w:tbl>
      <w:tblPr>
        <w:tblStyle w:val="Tabladecuadrcula2-nfasis515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982E3B"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982E3B" w:rsidRPr="001B34D0" w:rsidRDefault="00982E3B" w:rsidP="00A92D87">
            <w:r w:rsidRPr="001B34D0">
              <w:t>MUNICIPIO:  PASTO</w:t>
            </w:r>
          </w:p>
        </w:tc>
      </w:tr>
      <w:tr w:rsidR="00982E3B" w:rsidRPr="001B34D0" w:rsidTr="00000F81">
        <w:trPr>
          <w:cnfStyle w:val="000000100000"/>
          <w:trHeight w:val="579"/>
          <w:jc w:val="center"/>
        </w:trPr>
        <w:tc>
          <w:tcPr>
            <w:cnfStyle w:val="001000000000"/>
            <w:tcW w:w="8828" w:type="dxa"/>
          </w:tcPr>
          <w:p w:rsidR="00982E3B" w:rsidRPr="001B34D0" w:rsidRDefault="00982E3B" w:rsidP="00A92D87">
            <w:r w:rsidRPr="001B34D0">
              <w:t>Nombre del indicador: Porcentaje de niñas, niños y adolescentes víctimas de amenazas.</w:t>
            </w:r>
          </w:p>
        </w:tc>
      </w:tr>
      <w:tr w:rsidR="00982E3B" w:rsidRPr="001B34D0" w:rsidTr="00000F81">
        <w:trPr>
          <w:trHeight w:val="332"/>
          <w:jc w:val="center"/>
        </w:trPr>
        <w:tc>
          <w:tcPr>
            <w:cnfStyle w:val="001000000000"/>
            <w:tcW w:w="8828" w:type="dxa"/>
          </w:tcPr>
          <w:p w:rsidR="00982E3B" w:rsidRPr="001B34D0" w:rsidRDefault="00982E3B" w:rsidP="00A92D87">
            <w:r w:rsidRPr="001B34D0">
              <w:t xml:space="preserve">Fuente Nacional: </w:t>
            </w:r>
          </w:p>
          <w:p w:rsidR="00982E3B" w:rsidRPr="001B34D0" w:rsidRDefault="00982E3B" w:rsidP="00A92D87">
            <w:r w:rsidRPr="001B34D0">
              <w:t>Otra Fuente: UNIDAD DE VICTIMAS Y RED NACIONAL DE INFORMACION</w:t>
            </w:r>
          </w:p>
        </w:tc>
      </w:tr>
      <w:tr w:rsidR="00982E3B" w:rsidRPr="001B34D0" w:rsidTr="00000F81">
        <w:trPr>
          <w:cnfStyle w:val="000000100000"/>
          <w:trHeight w:val="458"/>
          <w:jc w:val="center"/>
        </w:trPr>
        <w:tc>
          <w:tcPr>
            <w:cnfStyle w:val="001000000000"/>
            <w:tcW w:w="8828" w:type="dxa"/>
          </w:tcPr>
          <w:p w:rsidR="00982E3B" w:rsidRPr="001B34D0" w:rsidRDefault="00982E3B" w:rsidP="00A92D87">
            <w:r w:rsidRPr="001B34D0">
              <w:t>Categoría de derechos: DERECHO A LA PROTECCION</w:t>
            </w:r>
          </w:p>
        </w:tc>
      </w:tr>
      <w:tr w:rsidR="00982E3B" w:rsidRPr="001B34D0" w:rsidTr="00000F81">
        <w:trPr>
          <w:trHeight w:val="458"/>
          <w:jc w:val="center"/>
        </w:trPr>
        <w:tc>
          <w:tcPr>
            <w:cnfStyle w:val="001000000000"/>
            <w:tcW w:w="8828" w:type="dxa"/>
          </w:tcPr>
          <w:p w:rsidR="00982E3B" w:rsidRPr="001B34D0" w:rsidRDefault="00982E3B" w:rsidP="00A92D87">
            <w:r w:rsidRPr="001B34D0">
              <w:t>Metodología: Análisis de la información a partir de la cadena de resultados</w:t>
            </w:r>
          </w:p>
        </w:tc>
      </w:tr>
    </w:tbl>
    <w:p w:rsidR="00982E3B" w:rsidRPr="001B34D0" w:rsidRDefault="00982E3B"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982E3B" w:rsidRPr="001B34D0" w:rsidRDefault="00982E3B" w:rsidP="00A92D87">
      <w:pPr>
        <w:spacing w:after="0" w:line="240" w:lineRule="auto"/>
        <w:contextualSpacing/>
        <w:rPr>
          <w:rFonts w:eastAsia="Times New Roman" w:cs="Times New Roman"/>
          <w:b/>
          <w:lang w:eastAsia="es-CO"/>
        </w:rPr>
      </w:pPr>
    </w:p>
    <w:tbl>
      <w:tblPr>
        <w:tblStyle w:val="Tablaconcuadrcula52"/>
        <w:tblW w:w="0" w:type="auto"/>
        <w:tblInd w:w="-431" w:type="dxa"/>
        <w:tblLook w:val="04A0"/>
      </w:tblPr>
      <w:tblGrid>
        <w:gridCol w:w="2196"/>
        <w:gridCol w:w="1765"/>
        <w:gridCol w:w="1766"/>
        <w:gridCol w:w="1766"/>
        <w:gridCol w:w="1766"/>
      </w:tblGrid>
      <w:tr w:rsidR="00982E3B" w:rsidRPr="001B34D0" w:rsidTr="00000F81">
        <w:tc>
          <w:tcPr>
            <w:tcW w:w="2196" w:type="dxa"/>
          </w:tcPr>
          <w:p w:rsidR="00982E3B" w:rsidRPr="001B34D0" w:rsidRDefault="00982E3B" w:rsidP="00A92D87">
            <w:pPr>
              <w:jc w:val="center"/>
              <w:rPr>
                <w:b/>
              </w:rPr>
            </w:pPr>
            <w:r w:rsidRPr="001B34D0">
              <w:rPr>
                <w:b/>
              </w:rPr>
              <w:t>Indicador</w:t>
            </w:r>
          </w:p>
        </w:tc>
        <w:tc>
          <w:tcPr>
            <w:tcW w:w="1765" w:type="dxa"/>
          </w:tcPr>
          <w:p w:rsidR="00982E3B" w:rsidRPr="001B34D0" w:rsidRDefault="00982E3B" w:rsidP="00A92D87">
            <w:pPr>
              <w:jc w:val="center"/>
              <w:rPr>
                <w:b/>
              </w:rPr>
            </w:pPr>
            <w:r w:rsidRPr="001B34D0">
              <w:rPr>
                <w:b/>
              </w:rPr>
              <w:t>2011</w:t>
            </w:r>
          </w:p>
        </w:tc>
        <w:tc>
          <w:tcPr>
            <w:tcW w:w="1766" w:type="dxa"/>
          </w:tcPr>
          <w:p w:rsidR="00982E3B" w:rsidRPr="001B34D0" w:rsidRDefault="00982E3B" w:rsidP="00A92D87">
            <w:pPr>
              <w:jc w:val="center"/>
              <w:rPr>
                <w:b/>
              </w:rPr>
            </w:pPr>
            <w:r w:rsidRPr="001B34D0">
              <w:rPr>
                <w:b/>
              </w:rPr>
              <w:t>2012</w:t>
            </w:r>
          </w:p>
        </w:tc>
        <w:tc>
          <w:tcPr>
            <w:tcW w:w="1766" w:type="dxa"/>
          </w:tcPr>
          <w:p w:rsidR="00982E3B" w:rsidRPr="001B34D0" w:rsidRDefault="00982E3B" w:rsidP="00A92D87">
            <w:pPr>
              <w:jc w:val="center"/>
              <w:rPr>
                <w:b/>
              </w:rPr>
            </w:pPr>
            <w:r w:rsidRPr="001B34D0">
              <w:rPr>
                <w:b/>
              </w:rPr>
              <w:t>2013</w:t>
            </w:r>
          </w:p>
        </w:tc>
        <w:tc>
          <w:tcPr>
            <w:tcW w:w="1766" w:type="dxa"/>
          </w:tcPr>
          <w:p w:rsidR="00982E3B" w:rsidRPr="001B34D0" w:rsidRDefault="00982E3B" w:rsidP="00A92D87">
            <w:pPr>
              <w:jc w:val="center"/>
              <w:rPr>
                <w:b/>
              </w:rPr>
            </w:pPr>
            <w:r w:rsidRPr="001B34D0">
              <w:rPr>
                <w:b/>
              </w:rPr>
              <w:t>2014</w:t>
            </w:r>
          </w:p>
        </w:tc>
      </w:tr>
      <w:tr w:rsidR="00982E3B" w:rsidRPr="001B34D0" w:rsidTr="00000F81">
        <w:tc>
          <w:tcPr>
            <w:tcW w:w="2196" w:type="dxa"/>
          </w:tcPr>
          <w:p w:rsidR="00982E3B" w:rsidRPr="001B34D0" w:rsidRDefault="00982E3B" w:rsidP="00A92D87">
            <w:r w:rsidRPr="001B34D0">
              <w:t>Porcentaje de niñas, niños y adolescentes víctimas de amenazas</w:t>
            </w:r>
          </w:p>
        </w:tc>
        <w:tc>
          <w:tcPr>
            <w:tcW w:w="1765" w:type="dxa"/>
          </w:tcPr>
          <w:p w:rsidR="00982E3B" w:rsidRPr="001B34D0" w:rsidRDefault="00982E3B" w:rsidP="00A92D87">
            <w:pPr>
              <w:jc w:val="center"/>
            </w:pPr>
          </w:p>
        </w:tc>
        <w:tc>
          <w:tcPr>
            <w:tcW w:w="1766" w:type="dxa"/>
          </w:tcPr>
          <w:p w:rsidR="00982E3B" w:rsidRPr="001B34D0" w:rsidRDefault="00982E3B" w:rsidP="00A92D87">
            <w:pPr>
              <w:jc w:val="center"/>
            </w:pPr>
          </w:p>
          <w:tbl>
            <w:tblPr>
              <w:tblW w:w="1200" w:type="dxa"/>
              <w:tblCellMar>
                <w:left w:w="70" w:type="dxa"/>
                <w:right w:w="70" w:type="dxa"/>
              </w:tblCellMar>
              <w:tblLook w:val="04A0"/>
            </w:tblPr>
            <w:tblGrid>
              <w:gridCol w:w="1200"/>
            </w:tblGrid>
            <w:tr w:rsidR="00982E3B" w:rsidRPr="001B34D0"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3,75</w:t>
                  </w:r>
                </w:p>
              </w:tc>
            </w:tr>
            <w:tr w:rsidR="00982E3B" w:rsidRPr="001B34D0" w:rsidTr="00000F81">
              <w:trPr>
                <w:trHeight w:val="315"/>
              </w:trPr>
              <w:tc>
                <w:tcPr>
                  <w:tcW w:w="1200" w:type="dxa"/>
                  <w:tcBorders>
                    <w:top w:val="nil"/>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19,51</w:t>
                  </w:r>
                </w:p>
              </w:tc>
            </w:tr>
            <w:tr w:rsidR="00982E3B" w:rsidRPr="001B34D0" w:rsidTr="00000F81">
              <w:trPr>
                <w:trHeight w:val="315"/>
              </w:trPr>
              <w:tc>
                <w:tcPr>
                  <w:tcW w:w="1200" w:type="dxa"/>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15,25</w:t>
                  </w:r>
                </w:p>
              </w:tc>
            </w:tr>
          </w:tbl>
          <w:p w:rsidR="00982E3B" w:rsidRPr="001B34D0" w:rsidRDefault="00982E3B" w:rsidP="00A92D87">
            <w:pPr>
              <w:jc w:val="center"/>
            </w:pPr>
          </w:p>
        </w:tc>
        <w:tc>
          <w:tcPr>
            <w:tcW w:w="1766" w:type="dxa"/>
          </w:tcPr>
          <w:p w:rsidR="00982E3B" w:rsidRPr="001B34D0" w:rsidRDefault="00982E3B" w:rsidP="00A92D87">
            <w:pPr>
              <w:jc w:val="center"/>
            </w:pPr>
          </w:p>
          <w:tbl>
            <w:tblPr>
              <w:tblW w:w="1200" w:type="dxa"/>
              <w:tblCellMar>
                <w:left w:w="70" w:type="dxa"/>
                <w:right w:w="70" w:type="dxa"/>
              </w:tblCellMar>
              <w:tblLook w:val="04A0"/>
            </w:tblPr>
            <w:tblGrid>
              <w:gridCol w:w="1200"/>
            </w:tblGrid>
            <w:tr w:rsidR="00982E3B" w:rsidRPr="001B34D0"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8,96</w:t>
                  </w:r>
                </w:p>
              </w:tc>
            </w:tr>
            <w:tr w:rsidR="00982E3B" w:rsidRPr="001B34D0" w:rsidTr="00000F81">
              <w:trPr>
                <w:trHeight w:val="315"/>
              </w:trPr>
              <w:tc>
                <w:tcPr>
                  <w:tcW w:w="1200" w:type="dxa"/>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17,5</w:t>
                  </w:r>
                </w:p>
              </w:tc>
            </w:tr>
            <w:tr w:rsidR="00982E3B" w:rsidRPr="001B34D0" w:rsidTr="00000F81">
              <w:trPr>
                <w:trHeight w:val="315"/>
              </w:trPr>
              <w:tc>
                <w:tcPr>
                  <w:tcW w:w="1200" w:type="dxa"/>
                  <w:tcBorders>
                    <w:top w:val="nil"/>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25,93</w:t>
                  </w:r>
                </w:p>
              </w:tc>
            </w:tr>
          </w:tbl>
          <w:p w:rsidR="00982E3B" w:rsidRPr="001B34D0" w:rsidRDefault="00982E3B" w:rsidP="00A92D87">
            <w:pPr>
              <w:jc w:val="center"/>
            </w:pPr>
          </w:p>
        </w:tc>
        <w:tc>
          <w:tcPr>
            <w:tcW w:w="1766" w:type="dxa"/>
          </w:tcPr>
          <w:p w:rsidR="00982E3B" w:rsidRPr="001B34D0" w:rsidRDefault="00982E3B" w:rsidP="00A92D87">
            <w:pPr>
              <w:jc w:val="center"/>
            </w:pPr>
          </w:p>
          <w:tbl>
            <w:tblPr>
              <w:tblW w:w="1200" w:type="dxa"/>
              <w:tblCellMar>
                <w:left w:w="70" w:type="dxa"/>
                <w:right w:w="70" w:type="dxa"/>
              </w:tblCellMar>
              <w:tblLook w:val="04A0"/>
            </w:tblPr>
            <w:tblGrid>
              <w:gridCol w:w="1200"/>
            </w:tblGrid>
            <w:tr w:rsidR="00982E3B" w:rsidRPr="001B34D0"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23,08</w:t>
                  </w:r>
                </w:p>
              </w:tc>
            </w:tr>
            <w:tr w:rsidR="00982E3B" w:rsidRPr="001B34D0" w:rsidTr="00000F81">
              <w:trPr>
                <w:trHeight w:val="315"/>
              </w:trPr>
              <w:tc>
                <w:tcPr>
                  <w:tcW w:w="1200" w:type="dxa"/>
                  <w:tcBorders>
                    <w:top w:val="nil"/>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19,44</w:t>
                  </w:r>
                </w:p>
              </w:tc>
            </w:tr>
            <w:tr w:rsidR="00982E3B" w:rsidRPr="001B34D0" w:rsidTr="00000F81">
              <w:trPr>
                <w:trHeight w:val="315"/>
              </w:trPr>
              <w:tc>
                <w:tcPr>
                  <w:tcW w:w="1200" w:type="dxa"/>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20</w:t>
                  </w:r>
                </w:p>
              </w:tc>
            </w:tr>
          </w:tbl>
          <w:p w:rsidR="00982E3B" w:rsidRPr="001B34D0" w:rsidRDefault="00982E3B" w:rsidP="00A92D87">
            <w:pPr>
              <w:jc w:val="center"/>
            </w:pPr>
          </w:p>
        </w:tc>
      </w:tr>
      <w:tr w:rsidR="00982E3B" w:rsidRPr="001B34D0" w:rsidTr="00000F81">
        <w:tc>
          <w:tcPr>
            <w:tcW w:w="9259" w:type="dxa"/>
            <w:gridSpan w:val="5"/>
          </w:tcPr>
          <w:p w:rsidR="00982E3B" w:rsidRPr="001B34D0" w:rsidRDefault="00982E3B" w:rsidP="00A92D87">
            <w:pPr>
              <w:rPr>
                <w:b/>
              </w:rPr>
            </w:pPr>
            <w:r w:rsidRPr="001B34D0">
              <w:rPr>
                <w:b/>
              </w:rPr>
              <w:t>Fuente y año:  UNIDAD DE VICTIMAS</w:t>
            </w:r>
          </w:p>
        </w:tc>
      </w:tr>
    </w:tbl>
    <w:p w:rsidR="00982E3B" w:rsidRPr="001B34D0" w:rsidRDefault="00982E3B" w:rsidP="00A92D87">
      <w:pPr>
        <w:spacing w:line="240" w:lineRule="auto"/>
        <w:rPr>
          <w:b/>
        </w:rPr>
      </w:pPr>
    </w:p>
    <w:p w:rsidR="00982E3B" w:rsidRPr="001B34D0" w:rsidRDefault="00982E3B" w:rsidP="00A92D87">
      <w:pPr>
        <w:spacing w:line="240" w:lineRule="auto"/>
        <w:rPr>
          <w:b/>
        </w:rPr>
      </w:pPr>
      <w:r w:rsidRPr="001B34D0">
        <w:rPr>
          <w:b/>
        </w:rPr>
        <w:t xml:space="preserve">Gráfico: </w:t>
      </w:r>
    </w:p>
    <w:tbl>
      <w:tblPr>
        <w:tblW w:w="7561" w:type="dxa"/>
        <w:tblInd w:w="55" w:type="dxa"/>
        <w:tblCellMar>
          <w:left w:w="70" w:type="dxa"/>
          <w:right w:w="70" w:type="dxa"/>
        </w:tblCellMar>
        <w:tblLook w:val="04A0"/>
      </w:tblPr>
      <w:tblGrid>
        <w:gridCol w:w="1045"/>
        <w:gridCol w:w="715"/>
        <w:gridCol w:w="1485"/>
        <w:gridCol w:w="1717"/>
        <w:gridCol w:w="1399"/>
        <w:gridCol w:w="1200"/>
      </w:tblGrid>
      <w:tr w:rsidR="00982E3B" w:rsidRPr="001B34D0"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982E3B" w:rsidRPr="001B34D0" w:rsidRDefault="00982E3B"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20</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33</w:t>
            </w:r>
          </w:p>
        </w:tc>
        <w:tc>
          <w:tcPr>
            <w:tcW w:w="139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3,03</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23</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4,35</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2011</w:t>
            </w:r>
          </w:p>
        </w:tc>
        <w:tc>
          <w:tcPr>
            <w:tcW w:w="71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w:t>
            </w:r>
          </w:p>
        </w:tc>
        <w:tc>
          <w:tcPr>
            <w:tcW w:w="171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65</w:t>
            </w:r>
          </w:p>
        </w:tc>
        <w:tc>
          <w:tcPr>
            <w:tcW w:w="139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3,08</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49</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2,04</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w:t>
            </w:r>
          </w:p>
        </w:tc>
        <w:tc>
          <w:tcPr>
            <w:tcW w:w="171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54</w:t>
            </w:r>
          </w:p>
        </w:tc>
        <w:tc>
          <w:tcPr>
            <w:tcW w:w="139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9,26</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2012</w:t>
            </w: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80</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3,75</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16</w:t>
            </w:r>
          </w:p>
        </w:tc>
        <w:tc>
          <w:tcPr>
            <w:tcW w:w="171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82</w:t>
            </w:r>
          </w:p>
        </w:tc>
        <w:tc>
          <w:tcPr>
            <w:tcW w:w="139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19,51</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15,25</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w:t>
            </w:r>
          </w:p>
        </w:tc>
        <w:tc>
          <w:tcPr>
            <w:tcW w:w="171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67</w:t>
            </w:r>
          </w:p>
        </w:tc>
        <w:tc>
          <w:tcPr>
            <w:tcW w:w="139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8,96</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jc w:val="right"/>
              <w:rPr>
                <w:rFonts w:eastAsia="Times New Roman" w:cs="Times New Roman"/>
                <w:color w:val="000000"/>
                <w:lang w:eastAsia="es-CO"/>
              </w:rPr>
            </w:pPr>
            <w:r w:rsidRPr="001B34D0">
              <w:rPr>
                <w:rFonts w:eastAsia="Times New Roman" w:cs="Times New Roman"/>
                <w:color w:val="000000"/>
                <w:lang w:eastAsia="es-CO"/>
              </w:rPr>
              <w:t>17,0466667</w:t>
            </w: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40</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17,5</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14</w:t>
            </w:r>
          </w:p>
        </w:tc>
        <w:tc>
          <w:tcPr>
            <w:tcW w:w="171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54</w:t>
            </w:r>
          </w:p>
        </w:tc>
        <w:tc>
          <w:tcPr>
            <w:tcW w:w="139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25,93</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rPr>
                <w:rFonts w:eastAsia="Times New Roman" w:cs="Arial"/>
                <w:color w:val="000000"/>
                <w:lang w:eastAsia="es-CO"/>
              </w:rPr>
            </w:pPr>
            <w:r w:rsidRPr="001B34D0">
              <w:rPr>
                <w:rFonts w:eastAsia="Times New Roman" w:cs="Arial"/>
                <w:color w:val="000000"/>
                <w:lang w:eastAsia="es-CO"/>
              </w:rPr>
              <w:t>2014</w:t>
            </w: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39</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23,08</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w:t>
            </w:r>
          </w:p>
        </w:tc>
        <w:tc>
          <w:tcPr>
            <w:tcW w:w="1717"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36</w:t>
            </w:r>
          </w:p>
        </w:tc>
        <w:tc>
          <w:tcPr>
            <w:tcW w:w="1399" w:type="dxa"/>
            <w:tcBorders>
              <w:top w:val="nil"/>
              <w:left w:val="nil"/>
              <w:bottom w:val="single" w:sz="8" w:space="0" w:color="E8EEF4"/>
              <w:right w:val="single" w:sz="8" w:space="0" w:color="E8EEF4"/>
            </w:tcBorders>
            <w:shd w:val="clear" w:color="auto" w:fill="auto"/>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19,44</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r w:rsidR="00982E3B" w:rsidRPr="001B34D0"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982E3B" w:rsidRPr="001B34D0" w:rsidRDefault="00982E3B"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w:t>
            </w:r>
          </w:p>
        </w:tc>
        <w:tc>
          <w:tcPr>
            <w:tcW w:w="1717"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35</w:t>
            </w:r>
          </w:p>
        </w:tc>
        <w:tc>
          <w:tcPr>
            <w:tcW w:w="1399" w:type="dxa"/>
            <w:tcBorders>
              <w:top w:val="nil"/>
              <w:left w:val="nil"/>
              <w:bottom w:val="single" w:sz="8" w:space="0" w:color="E8EEF4"/>
              <w:right w:val="single" w:sz="8" w:space="0" w:color="E8EEF4"/>
            </w:tcBorders>
            <w:shd w:val="clear" w:color="000000" w:fill="F8F8F8"/>
            <w:vAlign w:val="bottom"/>
            <w:hideMark/>
          </w:tcPr>
          <w:p w:rsidR="00982E3B" w:rsidRPr="001B34D0" w:rsidRDefault="00982E3B"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20</w:t>
            </w:r>
          </w:p>
        </w:tc>
        <w:tc>
          <w:tcPr>
            <w:tcW w:w="1200" w:type="dxa"/>
            <w:tcBorders>
              <w:top w:val="nil"/>
              <w:left w:val="nil"/>
              <w:bottom w:val="nil"/>
              <w:right w:val="nil"/>
            </w:tcBorders>
            <w:shd w:val="clear" w:color="auto" w:fill="auto"/>
            <w:noWrap/>
            <w:vAlign w:val="bottom"/>
            <w:hideMark/>
          </w:tcPr>
          <w:p w:rsidR="00982E3B" w:rsidRPr="001B34D0" w:rsidRDefault="00982E3B" w:rsidP="00A92D87">
            <w:pPr>
              <w:spacing w:after="0" w:line="240" w:lineRule="auto"/>
              <w:rPr>
                <w:rFonts w:eastAsia="Times New Roman" w:cs="Times New Roman"/>
                <w:color w:val="000000"/>
                <w:lang w:eastAsia="es-CO"/>
              </w:rPr>
            </w:pPr>
          </w:p>
        </w:tc>
      </w:tr>
    </w:tbl>
    <w:p w:rsidR="00982E3B" w:rsidRPr="001B34D0" w:rsidRDefault="00982E3B" w:rsidP="00A92D87">
      <w:pPr>
        <w:spacing w:line="240" w:lineRule="auto"/>
        <w:jc w:val="both"/>
        <w:rPr>
          <w:b/>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evidencia que en los años 2012 - 2014  se presentaron víctimas registradas pertenecientes al grupo de NNA, que han recibido algún tipo de amenaza por actores ilegales que ponen en riesgo su vida e integridad personal.</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lastRenderedPageBreak/>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982E3B" w:rsidRPr="001B34D0" w:rsidRDefault="00982E3B" w:rsidP="00A92D87">
      <w:pPr>
        <w:spacing w:after="0" w:line="240" w:lineRule="auto"/>
        <w:contextualSpacing/>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Desde el programa de atención a víctimas se orientan a NNA afectadas por este hecho victimizantes para que inicien la ruta única de atención con la Unidad Nacional de Protección.</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w:t>
      </w:r>
      <w:r w:rsidRPr="001B34D0">
        <w:rPr>
          <w:rFonts w:eastAsia="Times New Roman" w:cs="Times New Roman"/>
          <w:lang w:eastAsia="es-CO"/>
        </w:rPr>
        <w:lastRenderedPageBreak/>
        <w:t>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atención humanitaria a Victimas NNA del conflicto armado de Colombia se realiza por demanda y de acuerdo a la dinámica del conflicto armado que existe en el momento.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lastRenderedPageBreak/>
        <w:t xml:space="preserve">Resultados al término de la gestión  (2012 -2014):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line="240" w:lineRule="auto"/>
        <w:jc w:val="both"/>
      </w:pPr>
      <w:r w:rsidRPr="001B34D0">
        <w:t>Se atendieron a la totalidad de población de NNA víctimas del desplazamiento forzado causado por el conflicto armado que requirieron atención y orientación dentro de la etapa inmediata de atención en las siguientes proporciones:</w:t>
      </w:r>
    </w:p>
    <w:p w:rsidR="00982E3B" w:rsidRPr="001B34D0" w:rsidRDefault="00982E3B"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2012: 28 NNA</w:t>
      </w:r>
    </w:p>
    <w:p w:rsidR="00982E3B" w:rsidRPr="001B34D0" w:rsidRDefault="00982E3B"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2013: 27 NNA</w:t>
      </w:r>
    </w:p>
    <w:p w:rsidR="00982E3B" w:rsidRPr="001B34D0" w:rsidRDefault="00982E3B"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2014: 23 NNA</w:t>
      </w:r>
    </w:p>
    <w:p w:rsidR="00982E3B" w:rsidRPr="001B34D0" w:rsidRDefault="00982E3B" w:rsidP="00A92D87">
      <w:pPr>
        <w:spacing w:after="0" w:line="240" w:lineRule="auto"/>
        <w:contextualSpacing/>
        <w:rPr>
          <w:rFonts w:eastAsia="Times New Roman" w:cs="Calibri"/>
          <w:color w:val="000000"/>
          <w:lang w:eastAsia="es-CO"/>
        </w:rPr>
      </w:pPr>
    </w:p>
    <w:p w:rsidR="00982E3B" w:rsidRPr="001B34D0" w:rsidRDefault="00982E3B" w:rsidP="00DF63E8">
      <w:pPr>
        <w:numPr>
          <w:ilvl w:val="0"/>
          <w:numId w:val="41"/>
        </w:numPr>
        <w:spacing w:after="0" w:line="240" w:lineRule="auto"/>
        <w:ind w:left="644"/>
        <w:contextualSpacing/>
        <w:rPr>
          <w:rFonts w:eastAsia="Times New Roman" w:cs="Calibri"/>
          <w:color w:val="000000"/>
          <w:lang w:eastAsia="es-CO"/>
        </w:rPr>
      </w:pPr>
      <w:r w:rsidRPr="001B34D0">
        <w:rPr>
          <w:rFonts w:eastAsia="Times New Roman" w:cs="Times New Roman"/>
          <w:b/>
          <w:lang w:eastAsia="es-CO"/>
        </w:rPr>
        <w:t xml:space="preserve">Impacto:   </w:t>
      </w:r>
    </w:p>
    <w:p w:rsidR="00982E3B" w:rsidRPr="001B34D0" w:rsidRDefault="00982E3B" w:rsidP="00A92D87">
      <w:pPr>
        <w:spacing w:after="0" w:line="240" w:lineRule="auto"/>
        <w:contextualSpacing/>
        <w:rPr>
          <w:rFonts w:eastAsia="Times New Roman" w:cs="Calibri"/>
          <w:color w:val="000000"/>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w:t>
      </w:r>
      <w:r w:rsidRPr="001B34D0">
        <w:rPr>
          <w:rFonts w:eastAsia="Times New Roman" w:cs="Times New Roman"/>
          <w:lang w:eastAsia="es-CO"/>
        </w:rPr>
        <w:lastRenderedPageBreak/>
        <w:t xml:space="preserve">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Prioridades</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En el periodo analizado 2012- 2014 se evidencia que las edades de mayor vulneración de Derechos a la Protección de NNA se presentó en las comprendidas de los 6 – 11 y de 12 - 17 años en el periodo comprendido en el año 2012 y 2013 con un número total de víctimas atendidas de 50 menores entre las edades anteriormente relacionadas. </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982E3B" w:rsidRPr="001B34D0" w:rsidRDefault="00982E3B" w:rsidP="00A92D87">
      <w:pPr>
        <w:spacing w:after="0" w:line="240" w:lineRule="auto"/>
        <w:contextualSpacing/>
        <w:jc w:val="both"/>
        <w:rPr>
          <w:rFonts w:eastAsia="Times New Roman" w:cs="Times New Roman"/>
          <w:b/>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982E3B" w:rsidRPr="001B34D0" w:rsidRDefault="00982E3B" w:rsidP="00A92D87">
      <w:pPr>
        <w:spacing w:after="0" w:line="240" w:lineRule="auto"/>
        <w:contextualSpacing/>
        <w:jc w:val="both"/>
        <w:rPr>
          <w:rFonts w:eastAsia="Times New Roman" w:cs="Times New Roman"/>
          <w:lang w:eastAsia="es-CO"/>
        </w:rPr>
      </w:pPr>
    </w:p>
    <w:p w:rsidR="00982E3B" w:rsidRPr="001B34D0" w:rsidRDefault="00982E3B"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debe activar de manera urgente la ruta única de la Unidad Nacional de Protección y se informe a las autoridades policivas locales para que protejan la vida e integridad personal de las víctimas.</w:t>
      </w:r>
    </w:p>
    <w:p w:rsidR="009225DA" w:rsidRDefault="009225DA">
      <w:pPr>
        <w:rPr>
          <w:rFonts w:eastAsiaTheme="majorEastAsia" w:cstheme="majorBidi"/>
        </w:rPr>
      </w:pPr>
      <w:bookmarkStart w:id="116" w:name="_Toc437376061"/>
      <w:r>
        <w:br w:type="page"/>
      </w:r>
    </w:p>
    <w:p w:rsidR="00E2705A" w:rsidRPr="009225DA" w:rsidRDefault="0090015F" w:rsidP="0090015F">
      <w:pPr>
        <w:pStyle w:val="Ttulo1"/>
        <w:jc w:val="center"/>
        <w:rPr>
          <w:rFonts w:asciiTheme="minorHAnsi" w:hAnsiTheme="minorHAnsi"/>
          <w:color w:val="auto"/>
          <w:sz w:val="22"/>
          <w:szCs w:val="22"/>
        </w:rPr>
      </w:pPr>
      <w:r w:rsidRPr="009225DA">
        <w:rPr>
          <w:rFonts w:asciiTheme="minorHAnsi" w:hAnsiTheme="minorHAnsi"/>
          <w:color w:val="auto"/>
          <w:sz w:val="22"/>
          <w:szCs w:val="22"/>
        </w:rPr>
        <w:lastRenderedPageBreak/>
        <w:t xml:space="preserve">6.3 CICLO VITAL </w:t>
      </w:r>
      <w:r w:rsidR="00E2705A" w:rsidRPr="009225DA">
        <w:rPr>
          <w:rFonts w:asciiTheme="minorHAnsi" w:hAnsiTheme="minorHAnsi"/>
          <w:color w:val="auto"/>
          <w:sz w:val="22"/>
          <w:szCs w:val="22"/>
        </w:rPr>
        <w:t>ADOLESCENCIA</w:t>
      </w:r>
      <w:bookmarkEnd w:id="116"/>
    </w:p>
    <w:p w:rsidR="00E2705A" w:rsidRPr="009225DA" w:rsidRDefault="0090015F" w:rsidP="0090015F">
      <w:pPr>
        <w:pStyle w:val="Ttulo2"/>
        <w:rPr>
          <w:rFonts w:asciiTheme="minorHAnsi" w:hAnsiTheme="minorHAnsi"/>
          <w:color w:val="auto"/>
          <w:sz w:val="22"/>
          <w:szCs w:val="22"/>
        </w:rPr>
      </w:pPr>
      <w:bookmarkStart w:id="117" w:name="_Toc437376062"/>
      <w:r w:rsidRPr="009225DA">
        <w:rPr>
          <w:rFonts w:asciiTheme="minorHAnsi" w:hAnsiTheme="minorHAnsi"/>
          <w:color w:val="auto"/>
          <w:sz w:val="22"/>
          <w:szCs w:val="22"/>
        </w:rPr>
        <w:t xml:space="preserve">6.3.1 </w:t>
      </w:r>
      <w:r w:rsidR="00E2705A" w:rsidRPr="009225DA">
        <w:rPr>
          <w:rFonts w:asciiTheme="minorHAnsi" w:hAnsiTheme="minorHAnsi"/>
          <w:color w:val="auto"/>
          <w:sz w:val="22"/>
          <w:szCs w:val="22"/>
        </w:rPr>
        <w:t>CATEGORIA DE DERECHOS A LA EXISTENCIA</w:t>
      </w:r>
      <w:bookmarkEnd w:id="117"/>
    </w:p>
    <w:p w:rsidR="00E2705A" w:rsidRPr="00E2705A" w:rsidRDefault="00E2705A"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E2705A">
        <w:rPr>
          <w:rFonts w:eastAsia="Calibri" w:cs="Times New Roman"/>
          <w:b/>
          <w:i/>
          <w:iCs/>
        </w:rPr>
        <w:t>DESCRIPCIÓN DEL INDICADOR No. 9</w:t>
      </w:r>
      <w:r w:rsidRPr="00E2705A">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trHeight w:val="368"/>
          <w:jc w:val="center"/>
        </w:trPr>
        <w:tc>
          <w:tcPr>
            <w:tcW w:w="8828" w:type="dxa"/>
            <w:shd w:val="clear" w:color="auto" w:fill="FFFFFF"/>
          </w:tcPr>
          <w:p w:rsidR="00E2705A" w:rsidRPr="00E2705A" w:rsidRDefault="00E2705A" w:rsidP="00A92D87">
            <w:pPr>
              <w:spacing w:after="0" w:line="240" w:lineRule="auto"/>
              <w:rPr>
                <w:rFonts w:eastAsia="Calibri" w:cs="Times New Roman"/>
                <w:b/>
                <w:bCs/>
              </w:rPr>
            </w:pPr>
            <w:r w:rsidRPr="00E2705A">
              <w:rPr>
                <w:rFonts w:eastAsia="Calibri" w:cs="Times New Roman"/>
                <w:b/>
                <w:bCs/>
              </w:rPr>
              <w:t>MUNICIPIO: PASTO</w:t>
            </w:r>
          </w:p>
        </w:tc>
      </w:tr>
      <w:tr w:rsidR="00E2705A" w:rsidRPr="00E2705A" w:rsidTr="00000F81">
        <w:trPr>
          <w:trHeight w:val="579"/>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t>Nombre del indicador: Mortalidad en niños, niñas y adolescentes por malaria (Casos)</w:t>
            </w:r>
          </w:p>
        </w:tc>
      </w:tr>
      <w:tr w:rsidR="00E2705A" w:rsidRPr="00E2705A" w:rsidTr="00000F81">
        <w:trPr>
          <w:trHeight w:val="332"/>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 xml:space="preserve">Fuente Nacional: </w:t>
            </w:r>
          </w:p>
          <w:p w:rsidR="00E2705A" w:rsidRPr="00E2705A" w:rsidRDefault="00E2705A" w:rsidP="00A92D87">
            <w:pPr>
              <w:spacing w:after="0" w:line="240" w:lineRule="auto"/>
              <w:rPr>
                <w:rFonts w:eastAsia="Calibri" w:cs="Times New Roman"/>
                <w:b/>
                <w:bCs/>
              </w:rPr>
            </w:pPr>
            <w:r w:rsidRPr="00E2705A">
              <w:rPr>
                <w:rFonts w:eastAsia="Calibri" w:cs="Times New Roman"/>
                <w:b/>
                <w:bCs/>
              </w:rPr>
              <w:t>Otra Fuente: SIVIGILA</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Cs/>
              </w:rPr>
            </w:pPr>
            <w:r w:rsidRPr="00E2705A">
              <w:rPr>
                <w:rFonts w:eastAsia="Calibri" w:cs="Times New Roman"/>
                <w:b/>
                <w:bCs/>
              </w:rPr>
              <w:t xml:space="preserve">Categoría de derechos: </w:t>
            </w:r>
          </w:p>
        </w:tc>
      </w:tr>
      <w:tr w:rsidR="00E2705A" w:rsidRPr="00E2705A" w:rsidTr="00000F81">
        <w:trPr>
          <w:trHeight w:val="338"/>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Metodología: Análisis de la información a partir de la cadena de resultados</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t xml:space="preserve">Temas relacionados con el indicador: </w:t>
            </w:r>
          </w:p>
        </w:tc>
      </w:tr>
    </w:tbl>
    <w:p w:rsidR="00E2705A" w:rsidRPr="00E2705A" w:rsidRDefault="00E2705A" w:rsidP="00A92D87">
      <w:pPr>
        <w:spacing w:after="200" w:line="240" w:lineRule="auto"/>
        <w:rPr>
          <w:rFonts w:eastAsia="Calibri" w:cs="Times New Roman"/>
        </w:rPr>
      </w:pPr>
    </w:p>
    <w:p w:rsidR="00E2705A" w:rsidRPr="00E2705A" w:rsidRDefault="00E2705A" w:rsidP="00A92D87">
      <w:pPr>
        <w:numPr>
          <w:ilvl w:val="0"/>
          <w:numId w:val="42"/>
        </w:numPr>
        <w:suppressAutoHyphens/>
        <w:spacing w:after="0" w:line="240" w:lineRule="auto"/>
        <w:contextualSpacing/>
        <w:rPr>
          <w:rFonts w:eastAsia="Times New Roman" w:cs="Times New Roman"/>
          <w:b/>
          <w:lang w:val="es-ES" w:eastAsia="ar-SA"/>
        </w:rPr>
      </w:pPr>
      <w:r w:rsidRPr="00E2705A">
        <w:rPr>
          <w:rFonts w:eastAsia="Times New Roman" w:cs="Times New Roman"/>
          <w:b/>
          <w:lang w:val="es-ES" w:eastAsia="ar-SA"/>
        </w:rPr>
        <w:t>Información estadística</w:t>
      </w:r>
    </w:p>
    <w:p w:rsidR="00E2705A" w:rsidRPr="00E2705A" w:rsidRDefault="00E2705A" w:rsidP="00A92D87">
      <w:pPr>
        <w:suppressAutoHyphens/>
        <w:spacing w:after="0" w:line="240" w:lineRule="auto"/>
        <w:ind w:left="360"/>
        <w:contextualSpacing/>
        <w:rPr>
          <w:rFonts w:eastAsia="Times New Roman" w:cs="Times New Roman"/>
          <w:b/>
          <w:lang w:val="es-ES" w:eastAsia="ar-SA"/>
        </w:rPr>
      </w:pPr>
    </w:p>
    <w:p w:rsidR="00E2705A" w:rsidRPr="00E2705A" w:rsidRDefault="00E2705A" w:rsidP="00A92D87">
      <w:pPr>
        <w:spacing w:after="0" w:line="240" w:lineRule="auto"/>
        <w:rPr>
          <w:rFonts w:eastAsia="Calibri" w:cs="Times New Roman"/>
        </w:rPr>
      </w:pPr>
      <w:r w:rsidRPr="00E2705A">
        <w:rPr>
          <w:rFonts w:eastAsia="Calibri" w:cs="Times New Roman"/>
          <w:noProof/>
          <w:lang w:val="es-ES" w:eastAsia="es-ES"/>
        </w:rPr>
        <w:drawing>
          <wp:inline distT="0" distB="0" distL="0" distR="0">
            <wp:extent cx="5617210" cy="3025140"/>
            <wp:effectExtent l="0" t="0" r="2540" b="3810"/>
            <wp:docPr id="41"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2705A" w:rsidRPr="00E2705A" w:rsidRDefault="00E2705A" w:rsidP="00A92D87">
      <w:pPr>
        <w:spacing w:after="0" w:line="240" w:lineRule="auto"/>
        <w:rPr>
          <w:rFonts w:eastAsia="Calibri" w:cs="Times New Roman"/>
        </w:rPr>
      </w:pPr>
      <w:r w:rsidRPr="00E2705A">
        <w:rPr>
          <w:rFonts w:eastAsia="Calibri" w:cs="Times New Roman"/>
        </w:rPr>
        <w:t>FUENTE: SIVIGILA</w:t>
      </w:r>
    </w:p>
    <w:p w:rsidR="00E2705A" w:rsidRPr="00E2705A" w:rsidRDefault="00E2705A" w:rsidP="00A92D87">
      <w:pPr>
        <w:spacing w:after="0" w:line="240" w:lineRule="auto"/>
        <w:rPr>
          <w:rFonts w:eastAsia="Calibri" w:cs="Times New Roman"/>
        </w:rPr>
      </w:pPr>
    </w:p>
    <w:p w:rsidR="00E2705A" w:rsidRPr="00E2705A" w:rsidRDefault="00E2705A" w:rsidP="00A92D87">
      <w:pPr>
        <w:spacing w:after="0" w:line="240" w:lineRule="auto"/>
        <w:rPr>
          <w:rFonts w:eastAsia="Calibri" w:cs="Times New Roman"/>
        </w:rPr>
      </w:pPr>
    </w:p>
    <w:p w:rsidR="00E2705A" w:rsidRPr="00E2705A" w:rsidRDefault="00E2705A" w:rsidP="00A92D87">
      <w:pPr>
        <w:spacing w:after="0" w:line="240" w:lineRule="auto"/>
        <w:rPr>
          <w:rFonts w:eastAsia="Calibri" w:cs="Times New Roman"/>
        </w:rPr>
      </w:pPr>
    </w:p>
    <w:p w:rsidR="00E2705A" w:rsidRPr="00E2705A" w:rsidRDefault="00E2705A" w:rsidP="00A92D87">
      <w:pPr>
        <w:spacing w:after="0" w:line="240" w:lineRule="auto"/>
        <w:rPr>
          <w:rFonts w:eastAsia="Calibri" w:cs="Times New Roman"/>
        </w:rPr>
      </w:pPr>
    </w:p>
    <w:p w:rsidR="00E2705A" w:rsidRPr="00E2705A" w:rsidRDefault="00E2705A" w:rsidP="00A92D87">
      <w:pPr>
        <w:spacing w:after="0" w:line="240" w:lineRule="auto"/>
        <w:rPr>
          <w:rFonts w:eastAsia="Calibri" w:cs="Times New Roman"/>
        </w:rPr>
      </w:pPr>
    </w:p>
    <w:p w:rsidR="00E2705A" w:rsidRPr="00E2705A" w:rsidRDefault="00E2705A" w:rsidP="00A92D87">
      <w:pPr>
        <w:spacing w:after="0" w:line="240" w:lineRule="auto"/>
        <w:rPr>
          <w:rFonts w:eastAsia="Calibri" w:cs="Times New Roman"/>
        </w:rPr>
      </w:pPr>
    </w:p>
    <w:p w:rsidR="00E2705A" w:rsidRPr="00E2705A" w:rsidRDefault="00E2705A" w:rsidP="00A92D87">
      <w:pPr>
        <w:spacing w:after="0" w:line="240" w:lineRule="auto"/>
        <w:rPr>
          <w:rFonts w:eastAsia="Calibri" w:cs="Times New Roman"/>
        </w:rPr>
      </w:pPr>
    </w:p>
    <w:p w:rsidR="00E2705A" w:rsidRPr="00E2705A" w:rsidRDefault="00E2705A" w:rsidP="00A92D87">
      <w:pPr>
        <w:numPr>
          <w:ilvl w:val="0"/>
          <w:numId w:val="42"/>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 xml:space="preserve">Situación detectada: </w:t>
      </w:r>
    </w:p>
    <w:p w:rsidR="00E2705A" w:rsidRPr="00E2705A" w:rsidRDefault="00E2705A" w:rsidP="00A92D87">
      <w:pPr>
        <w:suppressAutoHyphens/>
        <w:spacing w:after="0" w:line="240" w:lineRule="auto"/>
        <w:contextualSpacing/>
        <w:jc w:val="both"/>
        <w:rPr>
          <w:rFonts w:eastAsia="Times New Roman" w:cs="Times New Roman"/>
          <w:lang w:val="es-ES" w:eastAsia="ar-SA"/>
        </w:rPr>
      </w:pPr>
      <w:r w:rsidRPr="00E2705A">
        <w:rPr>
          <w:rFonts w:eastAsia="Times New Roman" w:cs="Times New Roman"/>
          <w:lang w:val="es-ES" w:eastAsia="ar-SA"/>
        </w:rPr>
        <w:t xml:space="preserve">Teniendo en cuenta que el  municipio de Pasto no es una zona endémica para el evento, la probabilidad de que se presente es muy baja; sin embargo, no estamos exentos de que algún momento se presente una mortalidad por dengue importado de las zonas endémicas.  </w:t>
      </w:r>
    </w:p>
    <w:p w:rsidR="00E2705A" w:rsidRPr="00E2705A" w:rsidRDefault="00E2705A" w:rsidP="00A92D87">
      <w:pPr>
        <w:suppressAutoHyphens/>
        <w:spacing w:after="0" w:line="240" w:lineRule="auto"/>
        <w:contextualSpacing/>
        <w:jc w:val="both"/>
        <w:rPr>
          <w:rFonts w:eastAsia="Times New Roman" w:cs="Times New Roman"/>
          <w:lang w:val="es-ES" w:eastAsia="ar-SA"/>
        </w:rPr>
      </w:pPr>
      <w:r w:rsidRPr="00E2705A">
        <w:rPr>
          <w:rFonts w:eastAsia="Times New Roman" w:cs="Times New Roman"/>
          <w:lang w:val="es-ES" w:eastAsia="ar-SA"/>
        </w:rPr>
        <w:t>Por otra parte nuestras IPS de primer, segundo y tercer nivel de complejidad tienen capacidad resolutiva para atender los casos que se presenten.</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42"/>
        </w:numPr>
        <w:spacing w:after="0" w:line="240" w:lineRule="auto"/>
        <w:contextualSpacing/>
        <w:rPr>
          <w:rFonts w:eastAsia="Times New Roman" w:cs="Times New Roman"/>
          <w:b/>
          <w:lang w:val="es-ES" w:eastAsia="ar-SA"/>
        </w:rPr>
      </w:pPr>
      <w:r w:rsidRPr="00E2705A">
        <w:rPr>
          <w:rFonts w:eastAsia="Times New Roman" w:cs="Times New Roman"/>
          <w:b/>
          <w:lang w:val="es-ES" w:eastAsia="ar-SA"/>
        </w:rPr>
        <w:t xml:space="preserve">Insumos: </w:t>
      </w:r>
    </w:p>
    <w:p w:rsidR="00E2705A" w:rsidRPr="00E2705A" w:rsidRDefault="00E2705A" w:rsidP="00A92D87">
      <w:pPr>
        <w:spacing w:after="200" w:line="240" w:lineRule="auto"/>
        <w:jc w:val="both"/>
        <w:rPr>
          <w:rFonts w:eastAsia="Calibri" w:cs="Times New Roman"/>
          <w:b/>
        </w:rPr>
      </w:pPr>
      <w:r w:rsidRPr="00E2705A">
        <w:rPr>
          <w:rFonts w:eastAsia="Calibri" w:cs="Times New Roman"/>
        </w:rPr>
        <w:t>La Secretaria Municipal de Salud cuenta con un equipo de vigilancia en Salud Pública capacitado, con el fin de actuar en el momento en que se presenten casos.</w:t>
      </w:r>
    </w:p>
    <w:p w:rsidR="00E2705A" w:rsidRPr="00E2705A" w:rsidRDefault="00E2705A" w:rsidP="00A92D87">
      <w:pPr>
        <w:spacing w:after="200" w:line="240" w:lineRule="auto"/>
        <w:jc w:val="both"/>
        <w:rPr>
          <w:rFonts w:eastAsia="Calibri" w:cs="Times New Roman"/>
        </w:rPr>
      </w:pPr>
    </w:p>
    <w:p w:rsidR="00E2705A" w:rsidRPr="00E2705A" w:rsidRDefault="00E2705A"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E2705A">
        <w:rPr>
          <w:rFonts w:eastAsia="Calibri" w:cs="Times New Roman"/>
          <w:b/>
          <w:i/>
          <w:iCs/>
        </w:rPr>
        <w:t>DESCRIPCIÓN DEL INDICADOR No. 10</w:t>
      </w:r>
      <w:r w:rsidRPr="00E2705A">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trHeight w:val="368"/>
          <w:jc w:val="center"/>
        </w:trPr>
        <w:tc>
          <w:tcPr>
            <w:tcW w:w="8828" w:type="dxa"/>
            <w:shd w:val="clear" w:color="auto" w:fill="FFFFFF"/>
          </w:tcPr>
          <w:p w:rsidR="00E2705A" w:rsidRPr="00E2705A" w:rsidRDefault="00E2705A" w:rsidP="00A92D87">
            <w:pPr>
              <w:spacing w:after="0" w:line="240" w:lineRule="auto"/>
              <w:rPr>
                <w:rFonts w:eastAsia="Calibri" w:cs="Times New Roman"/>
                <w:b/>
                <w:bCs/>
              </w:rPr>
            </w:pPr>
            <w:r w:rsidRPr="00E2705A">
              <w:rPr>
                <w:rFonts w:eastAsia="Calibri" w:cs="Times New Roman"/>
                <w:b/>
                <w:bCs/>
              </w:rPr>
              <w:t>MUNICIPIO: PASTO</w:t>
            </w:r>
          </w:p>
        </w:tc>
      </w:tr>
      <w:tr w:rsidR="00E2705A" w:rsidRPr="00E2705A" w:rsidTr="00000F81">
        <w:trPr>
          <w:trHeight w:val="579"/>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t>Nombre del indicador: Mortalidad en niños, niñas y adolescentes por dengue (casos)</w:t>
            </w:r>
          </w:p>
        </w:tc>
      </w:tr>
      <w:tr w:rsidR="00E2705A" w:rsidRPr="00E2705A" w:rsidTr="00000F81">
        <w:trPr>
          <w:trHeight w:val="332"/>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 xml:space="preserve">Fuente Nacional: </w:t>
            </w:r>
          </w:p>
          <w:p w:rsidR="00E2705A" w:rsidRPr="00E2705A" w:rsidRDefault="00E2705A" w:rsidP="00A92D87">
            <w:pPr>
              <w:spacing w:after="0" w:line="240" w:lineRule="auto"/>
              <w:rPr>
                <w:rFonts w:eastAsia="Calibri" w:cs="Times New Roman"/>
                <w:b/>
                <w:bCs/>
              </w:rPr>
            </w:pPr>
            <w:r w:rsidRPr="00E2705A">
              <w:rPr>
                <w:rFonts w:eastAsia="Calibri" w:cs="Times New Roman"/>
                <w:b/>
                <w:bCs/>
              </w:rPr>
              <w:t>Otra Fuente: SIVIGILA</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Cs/>
              </w:rPr>
            </w:pPr>
            <w:r w:rsidRPr="00E2705A">
              <w:rPr>
                <w:rFonts w:eastAsia="Calibri" w:cs="Times New Roman"/>
                <w:b/>
                <w:bCs/>
              </w:rPr>
              <w:t xml:space="preserve">Categoría de derechos: </w:t>
            </w:r>
          </w:p>
        </w:tc>
      </w:tr>
      <w:tr w:rsidR="00E2705A" w:rsidRPr="00E2705A" w:rsidTr="00000F81">
        <w:trPr>
          <w:trHeight w:val="458"/>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Metodología: Análisis de la información a partir de la cadena de resultados</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t xml:space="preserve">Temas relacionados con el indicador: </w:t>
            </w:r>
          </w:p>
        </w:tc>
      </w:tr>
    </w:tbl>
    <w:p w:rsidR="009225DA" w:rsidRDefault="009225DA" w:rsidP="00A92D87">
      <w:pPr>
        <w:spacing w:after="200" w:line="240" w:lineRule="auto"/>
        <w:rPr>
          <w:rFonts w:eastAsia="Calibri" w:cs="Times New Roman"/>
        </w:rPr>
      </w:pPr>
    </w:p>
    <w:p w:rsidR="009225DA" w:rsidRDefault="009225DA">
      <w:pPr>
        <w:rPr>
          <w:rFonts w:eastAsia="Calibri" w:cs="Times New Roman"/>
        </w:rPr>
      </w:pPr>
      <w:r>
        <w:rPr>
          <w:rFonts w:eastAsia="Calibri" w:cs="Times New Roman"/>
        </w:rPr>
        <w:br w:type="page"/>
      </w:r>
    </w:p>
    <w:p w:rsidR="00E2705A" w:rsidRPr="00E2705A" w:rsidRDefault="00E2705A" w:rsidP="00A92D87">
      <w:pPr>
        <w:spacing w:after="200" w:line="240" w:lineRule="auto"/>
        <w:rPr>
          <w:rFonts w:eastAsia="Calibri" w:cs="Times New Roman"/>
        </w:rPr>
      </w:pPr>
    </w:p>
    <w:p w:rsidR="00E2705A" w:rsidRPr="00E2705A" w:rsidRDefault="00E2705A" w:rsidP="00DF63E8">
      <w:pPr>
        <w:numPr>
          <w:ilvl w:val="0"/>
          <w:numId w:val="41"/>
        </w:numPr>
        <w:suppressAutoHyphens/>
        <w:spacing w:after="0" w:line="240" w:lineRule="auto"/>
        <w:contextualSpacing/>
        <w:rPr>
          <w:rFonts w:eastAsia="Times New Roman" w:cs="Times New Roman"/>
          <w:b/>
          <w:lang w:val="es-ES" w:eastAsia="ar-SA"/>
        </w:rPr>
      </w:pPr>
      <w:r w:rsidRPr="00E2705A">
        <w:rPr>
          <w:rFonts w:eastAsia="Times New Roman" w:cs="Times New Roman"/>
          <w:b/>
          <w:lang w:val="es-ES" w:eastAsia="ar-SA"/>
        </w:rPr>
        <w:t>Información estadística</w:t>
      </w:r>
    </w:p>
    <w:p w:rsidR="00E2705A" w:rsidRPr="00E2705A" w:rsidRDefault="00E2705A" w:rsidP="00A92D87">
      <w:pPr>
        <w:spacing w:after="0" w:line="240" w:lineRule="auto"/>
        <w:rPr>
          <w:rFonts w:eastAsia="Calibri" w:cs="Times New Roman"/>
        </w:rPr>
      </w:pPr>
      <w:r w:rsidRPr="00E2705A">
        <w:rPr>
          <w:rFonts w:eastAsia="Calibri" w:cs="Times New Roman"/>
          <w:noProof/>
          <w:lang w:val="es-ES" w:eastAsia="es-ES"/>
        </w:rPr>
        <w:drawing>
          <wp:inline distT="0" distB="0" distL="0" distR="0">
            <wp:extent cx="5549265" cy="2911475"/>
            <wp:effectExtent l="0" t="0" r="13335" b="3175"/>
            <wp:docPr id="42"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2705A" w:rsidRPr="00E2705A" w:rsidRDefault="00E2705A" w:rsidP="00A92D87">
      <w:pPr>
        <w:spacing w:after="0" w:line="240" w:lineRule="auto"/>
        <w:rPr>
          <w:rFonts w:eastAsia="Calibri" w:cs="Times New Roman"/>
        </w:rPr>
      </w:pPr>
      <w:r w:rsidRPr="00E2705A">
        <w:rPr>
          <w:rFonts w:eastAsia="Calibri" w:cs="Times New Roman"/>
        </w:rPr>
        <w:t>FUENTE: SIVIGILA</w:t>
      </w:r>
    </w:p>
    <w:p w:rsidR="00E2705A" w:rsidRPr="00E2705A" w:rsidRDefault="00E2705A" w:rsidP="00A92D87">
      <w:pPr>
        <w:spacing w:after="0" w:line="240" w:lineRule="auto"/>
        <w:rPr>
          <w:rFonts w:eastAsia="Calibri" w:cs="Times New Roman"/>
        </w:rPr>
      </w:pPr>
    </w:p>
    <w:p w:rsidR="00E2705A" w:rsidRPr="00E2705A" w:rsidRDefault="00E2705A" w:rsidP="00DF63E8">
      <w:pPr>
        <w:numPr>
          <w:ilvl w:val="0"/>
          <w:numId w:val="41"/>
        </w:numPr>
        <w:spacing w:after="0" w:line="240" w:lineRule="auto"/>
        <w:contextualSpacing/>
        <w:jc w:val="both"/>
        <w:rPr>
          <w:rFonts w:eastAsia="Times New Roman" w:cs="Times New Roman"/>
          <w:lang w:val="es-ES" w:eastAsia="ar-SA"/>
        </w:rPr>
      </w:pPr>
      <w:r w:rsidRPr="00E2705A">
        <w:rPr>
          <w:rFonts w:eastAsia="Times New Roman" w:cs="Times New Roman"/>
          <w:b/>
          <w:lang w:val="es-ES" w:eastAsia="ar-SA"/>
        </w:rPr>
        <w:t xml:space="preserve">Situación detectada: </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 xml:space="preserve">Teniendo en cuenta que el municipio de Pasto no es una zona endémica para el evento, la probabilidad de que se presente es muy baja; sin embargo, no estamos exentos de que algún momento se presente una mortalidad por dengue importado de las zonas endémicas.  </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Por otra parte nuestras IPS de primer, segundo y tercer nivel de complejidad tienen capacidad resolutiva para atender los casos que se presenten.</w:t>
      </w:r>
    </w:p>
    <w:p w:rsidR="00E2705A" w:rsidRPr="00E2705A" w:rsidRDefault="00E2705A" w:rsidP="00A92D87">
      <w:pPr>
        <w:suppressAutoHyphens/>
        <w:spacing w:after="0" w:line="240" w:lineRule="auto"/>
        <w:ind w:left="360"/>
        <w:contextualSpacing/>
        <w:jc w:val="both"/>
        <w:rPr>
          <w:rFonts w:eastAsia="Times New Roman" w:cs="Times New Roman"/>
          <w:b/>
          <w:lang w:val="es-ES" w:eastAsia="ar-SA"/>
        </w:rPr>
      </w:pPr>
    </w:p>
    <w:p w:rsidR="00E2705A" w:rsidRPr="00E2705A" w:rsidRDefault="00E2705A" w:rsidP="00DF63E8">
      <w:pPr>
        <w:numPr>
          <w:ilvl w:val="0"/>
          <w:numId w:val="41"/>
        </w:numPr>
        <w:spacing w:after="0" w:line="240" w:lineRule="auto"/>
        <w:contextualSpacing/>
        <w:rPr>
          <w:rFonts w:eastAsia="Times New Roman" w:cs="Times New Roman"/>
          <w:b/>
          <w:lang w:val="es-ES" w:eastAsia="ar-SA"/>
        </w:rPr>
      </w:pPr>
      <w:r w:rsidRPr="00E2705A">
        <w:rPr>
          <w:rFonts w:eastAsia="Times New Roman" w:cs="Times New Roman"/>
          <w:b/>
          <w:lang w:val="es-ES" w:eastAsia="ar-SA"/>
        </w:rPr>
        <w:t xml:space="preserve">Insumos: </w:t>
      </w:r>
    </w:p>
    <w:p w:rsidR="00E2705A" w:rsidRPr="00E2705A" w:rsidRDefault="00E2705A" w:rsidP="00A92D87">
      <w:pPr>
        <w:suppressAutoHyphens/>
        <w:spacing w:after="0" w:line="240" w:lineRule="auto"/>
        <w:ind w:left="360"/>
        <w:contextualSpacing/>
        <w:jc w:val="both"/>
        <w:rPr>
          <w:rFonts w:eastAsia="Times New Roman" w:cs="Times New Roman"/>
          <w:b/>
          <w:lang w:val="es-ES" w:eastAsia="ar-SA"/>
        </w:rPr>
      </w:pPr>
      <w:r w:rsidRPr="00E2705A">
        <w:rPr>
          <w:rFonts w:eastAsia="Times New Roman" w:cs="Times New Roman"/>
          <w:lang w:val="es-ES" w:eastAsia="ar-SA"/>
        </w:rPr>
        <w:t>La Secretaria Municipal de Salud cuenta con un equipo de vigilancia en Salud Pública capacitado, con el fin de actuar en el momento en que se presenten casos.</w:t>
      </w:r>
    </w:p>
    <w:p w:rsidR="00E2705A" w:rsidRPr="00E2705A" w:rsidRDefault="00E2705A" w:rsidP="00A92D87">
      <w:pPr>
        <w:spacing w:after="0" w:line="240" w:lineRule="auto"/>
        <w:rPr>
          <w:rFonts w:eastAsia="Calibri" w:cs="Times New Roman"/>
        </w:rPr>
      </w:pPr>
    </w:p>
    <w:p w:rsidR="00E2705A" w:rsidRPr="00E2705A" w:rsidRDefault="00E2705A"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E2705A">
        <w:rPr>
          <w:rFonts w:eastAsia="Calibri" w:cs="Times New Roman"/>
          <w:b/>
          <w:i/>
          <w:iCs/>
        </w:rPr>
        <w:t>DESCRIPCIÓN DEL INDICADOR No.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trHeight w:val="162"/>
          <w:jc w:val="center"/>
        </w:trPr>
        <w:tc>
          <w:tcPr>
            <w:tcW w:w="8828" w:type="dxa"/>
            <w:shd w:val="clear" w:color="auto" w:fill="FFFFFF"/>
          </w:tcPr>
          <w:p w:rsidR="00E2705A" w:rsidRPr="00E2705A" w:rsidRDefault="00E2705A" w:rsidP="00A92D87">
            <w:pPr>
              <w:spacing w:after="0" w:line="240" w:lineRule="auto"/>
              <w:rPr>
                <w:rFonts w:eastAsia="Calibri" w:cs="Times New Roman"/>
                <w:b/>
                <w:bCs/>
              </w:rPr>
            </w:pPr>
            <w:r w:rsidRPr="00E2705A">
              <w:rPr>
                <w:rFonts w:eastAsia="Calibri" w:cs="Times New Roman"/>
                <w:b/>
                <w:bCs/>
              </w:rPr>
              <w:t>MUNICIPIO: PASTO</w:t>
            </w:r>
          </w:p>
        </w:tc>
      </w:tr>
      <w:tr w:rsidR="00E2705A" w:rsidRPr="00E2705A" w:rsidTr="00000F81">
        <w:trPr>
          <w:trHeight w:val="411"/>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t>Nombre del indicador: Tasa de fecundidad  específica(incluir  de 10 a 14 años)</w:t>
            </w:r>
          </w:p>
        </w:tc>
      </w:tr>
      <w:tr w:rsidR="00E2705A" w:rsidRPr="00E2705A" w:rsidTr="00000F81">
        <w:trPr>
          <w:trHeight w:val="332"/>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 xml:space="preserve">Fuente Nacional: </w:t>
            </w:r>
          </w:p>
          <w:p w:rsidR="00E2705A" w:rsidRPr="00E2705A" w:rsidRDefault="00E2705A" w:rsidP="00A92D87">
            <w:pPr>
              <w:spacing w:after="0" w:line="240" w:lineRule="auto"/>
              <w:rPr>
                <w:rFonts w:eastAsia="Calibri" w:cs="Times New Roman"/>
                <w:b/>
                <w:bCs/>
              </w:rPr>
            </w:pPr>
            <w:r w:rsidRPr="00E2705A">
              <w:rPr>
                <w:rFonts w:eastAsia="Calibri" w:cs="Times New Roman"/>
                <w:b/>
                <w:bCs/>
              </w:rPr>
              <w:t>Otra Fuente: RUAF-ND</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Cs/>
              </w:rPr>
            </w:pPr>
            <w:r w:rsidRPr="00E2705A">
              <w:rPr>
                <w:rFonts w:eastAsia="Calibri" w:cs="Times New Roman"/>
                <w:b/>
                <w:bCs/>
              </w:rPr>
              <w:t xml:space="preserve">Categoría de derechos: </w:t>
            </w:r>
          </w:p>
        </w:tc>
      </w:tr>
      <w:tr w:rsidR="00E2705A" w:rsidRPr="00E2705A" w:rsidTr="00000F81">
        <w:trPr>
          <w:trHeight w:val="458"/>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lastRenderedPageBreak/>
              <w:t>Metodología: Análisis de la información a partir de la cadena de resultados</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t>Temas relacionados con el indicador: Salud sexual y reproductiva</w:t>
            </w:r>
          </w:p>
        </w:tc>
      </w:tr>
    </w:tbl>
    <w:p w:rsidR="00E2705A" w:rsidRPr="00E2705A" w:rsidRDefault="00E2705A" w:rsidP="00A92D87">
      <w:pPr>
        <w:spacing w:after="200" w:line="240" w:lineRule="auto"/>
        <w:rPr>
          <w:rFonts w:eastAsia="Calibri" w:cs="Times New Roman"/>
        </w:rPr>
      </w:pPr>
    </w:p>
    <w:p w:rsidR="00E2705A" w:rsidRPr="00E2705A" w:rsidRDefault="00E2705A" w:rsidP="00A92D87">
      <w:pPr>
        <w:numPr>
          <w:ilvl w:val="0"/>
          <w:numId w:val="37"/>
        </w:numPr>
        <w:spacing w:after="0" w:line="240" w:lineRule="auto"/>
        <w:contextualSpacing/>
        <w:rPr>
          <w:rFonts w:eastAsia="Times New Roman" w:cs="Times New Roman"/>
          <w:b/>
          <w:lang w:val="es-ES" w:eastAsia="ar-SA"/>
        </w:rPr>
      </w:pPr>
      <w:r w:rsidRPr="00E2705A">
        <w:rPr>
          <w:rFonts w:eastAsia="Times New Roman" w:cs="Times New Roman"/>
          <w:b/>
          <w:lang w:val="es-ES" w:eastAsia="ar-SA"/>
        </w:rPr>
        <w:t>Información estadística</w:t>
      </w:r>
    </w:p>
    <w:p w:rsidR="00E2705A" w:rsidRPr="00E2705A" w:rsidRDefault="00E2705A" w:rsidP="00A92D87">
      <w:pPr>
        <w:spacing w:after="0" w:line="240" w:lineRule="auto"/>
        <w:rPr>
          <w:rFonts w:eastAsia="Calibri" w:cs="Times New Roman"/>
        </w:rPr>
      </w:pPr>
      <w:r w:rsidRPr="00E2705A">
        <w:rPr>
          <w:rFonts w:eastAsia="Calibri" w:cs="Times New Roman"/>
          <w:noProof/>
          <w:lang w:val="es-ES" w:eastAsia="es-ES"/>
        </w:rPr>
        <w:drawing>
          <wp:inline distT="0" distB="0" distL="0" distR="0">
            <wp:extent cx="5618480" cy="3261360"/>
            <wp:effectExtent l="0" t="0" r="1270" b="15240"/>
            <wp:docPr id="43" name="Gráfic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2705A" w:rsidRPr="00E2705A" w:rsidRDefault="00E2705A" w:rsidP="00A92D87">
      <w:pPr>
        <w:spacing w:after="0" w:line="240" w:lineRule="auto"/>
        <w:rPr>
          <w:rFonts w:eastAsia="Calibri" w:cs="Times New Roman"/>
        </w:rPr>
      </w:pPr>
      <w:r w:rsidRPr="00E2705A">
        <w:rPr>
          <w:rFonts w:eastAsia="Calibri" w:cs="Times New Roman"/>
        </w:rPr>
        <w:t>FUENTE: RUAF-ND</w:t>
      </w:r>
    </w:p>
    <w:p w:rsidR="00E2705A" w:rsidRPr="00E2705A" w:rsidRDefault="00E2705A" w:rsidP="00A92D87">
      <w:pPr>
        <w:spacing w:after="0" w:line="240" w:lineRule="auto"/>
        <w:rPr>
          <w:rFonts w:eastAsia="Calibri" w:cs="Times New Roman"/>
        </w:rPr>
      </w:pPr>
    </w:p>
    <w:p w:rsidR="00E2705A" w:rsidRPr="00E2705A" w:rsidRDefault="00E2705A" w:rsidP="00A92D87">
      <w:pPr>
        <w:numPr>
          <w:ilvl w:val="0"/>
          <w:numId w:val="3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Situación detectada</w:t>
      </w:r>
    </w:p>
    <w:p w:rsidR="00E2705A" w:rsidRPr="00E2705A" w:rsidRDefault="00E2705A" w:rsidP="00A92D87">
      <w:pPr>
        <w:spacing w:after="200" w:line="240" w:lineRule="auto"/>
        <w:jc w:val="both"/>
        <w:rPr>
          <w:rFonts w:eastAsia="Calibri" w:cs="Times New Roman"/>
        </w:rPr>
      </w:pPr>
      <w:r w:rsidRPr="00E2705A">
        <w:rPr>
          <w:rFonts w:eastAsia="Calibri" w:cs="Times New Roman"/>
        </w:rPr>
        <w:t xml:space="preserve">Teniendo en cuenta el informe estadístico representado en la </w:t>
      </w:r>
      <w:r w:rsidR="007E5119" w:rsidRPr="00E2705A">
        <w:rPr>
          <w:rFonts w:eastAsia="Calibri" w:cs="Times New Roman"/>
        </w:rPr>
        <w:t>gráfica</w:t>
      </w:r>
      <w:r w:rsidRPr="00E2705A">
        <w:rPr>
          <w:rFonts w:eastAsia="Calibri" w:cs="Times New Roman"/>
        </w:rPr>
        <w:t xml:space="preserve">, se </w:t>
      </w:r>
      <w:r w:rsidR="007E5119" w:rsidRPr="00E2705A">
        <w:rPr>
          <w:rFonts w:eastAsia="Calibri" w:cs="Times New Roman"/>
        </w:rPr>
        <w:t>evidencia que</w:t>
      </w:r>
      <w:r w:rsidRPr="00E2705A">
        <w:rPr>
          <w:rFonts w:eastAsia="Calibri" w:cs="Times New Roman"/>
        </w:rPr>
        <w:t xml:space="preserve"> la fecundidad en mujeres de 10 – </w:t>
      </w:r>
      <w:r w:rsidR="007E5119" w:rsidRPr="00E2705A">
        <w:rPr>
          <w:rFonts w:eastAsia="Calibri" w:cs="Times New Roman"/>
        </w:rPr>
        <w:t>14 durante</w:t>
      </w:r>
      <w:r w:rsidRPr="00E2705A">
        <w:rPr>
          <w:rFonts w:eastAsia="Calibri" w:cs="Times New Roman"/>
        </w:rPr>
        <w:t xml:space="preserve"> los años 2013 y 2014, se mantiene, esta se relacionada con embarazos en adolescentes. Es importante informar que en edades de 10 a 12 años no se tienen casos en el Municipio. En edades de 15 a 19 años la tendencia es a la disminución y está relacionado también con los embarazos en adolescentes. De 20 a 24,  se mantiene con relación al año 2011, 25 – 29 años, aumenta, de 30 – 34 se mantiene, y de 35 a 49 años la tendencia es a la disminución cumpliendo la meta  de Plan de Desarrollo y Territorial.</w:t>
      </w:r>
    </w:p>
    <w:p w:rsidR="00E2705A" w:rsidRPr="00E2705A" w:rsidRDefault="00E2705A" w:rsidP="00A92D87">
      <w:pPr>
        <w:spacing w:after="200" w:line="240" w:lineRule="auto"/>
        <w:jc w:val="both"/>
        <w:rPr>
          <w:rFonts w:eastAsia="Calibri" w:cs="Times New Roman"/>
        </w:rPr>
      </w:pPr>
      <w:r w:rsidRPr="00E2705A">
        <w:rPr>
          <w:rFonts w:eastAsia="Calibri" w:cs="Times New Roman"/>
        </w:rPr>
        <w:t xml:space="preserve"> La fecundidad es quizás la variable que más incide en el crecimiento de la población. Desde la década de los años sesenta se empezó el descenso de la fecundidad en Colombia y, en la actualidad, en general se sigue observando el decremento aunque a un menor ritmo; además, aún quedan grupos de población con fecundidad relativamente alta, incluyendo la de las adolescentes de 15 a 19 años. La ENDS 2010 recogió la misma información sobre la fecundidad que en las encuestas anteriores.</w:t>
      </w:r>
    </w:p>
    <w:p w:rsidR="00E2705A" w:rsidRPr="00E2705A" w:rsidRDefault="00E2705A" w:rsidP="00A92D87">
      <w:pPr>
        <w:spacing w:after="200" w:line="240" w:lineRule="auto"/>
        <w:jc w:val="both"/>
        <w:rPr>
          <w:rFonts w:eastAsia="Calibri" w:cs="Times New Roman"/>
          <w:b/>
        </w:rPr>
      </w:pPr>
      <w:r w:rsidRPr="00E2705A">
        <w:rPr>
          <w:rFonts w:eastAsia="Calibri" w:cs="Times New Roman"/>
        </w:rPr>
        <w:lastRenderedPageBreak/>
        <w:t xml:space="preserve"> La fecundidad en el Municipio de Pasto es de cúspide temprana. El grupo de edad con la mayor tasa de fecundidad,  es el de 20-24 años, seguido por el de 25-29 y el de 15-19 años de edad. En el Municipio  continúa la tendencia observada hacia la disminución de su fecundidad.</w:t>
      </w:r>
    </w:p>
    <w:p w:rsidR="00E2705A" w:rsidRPr="00E2705A" w:rsidRDefault="00E2705A" w:rsidP="00A92D87">
      <w:pPr>
        <w:numPr>
          <w:ilvl w:val="0"/>
          <w:numId w:val="3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Insumos</w:t>
      </w:r>
    </w:p>
    <w:p w:rsidR="00E2705A" w:rsidRPr="00E2705A" w:rsidRDefault="00E2705A" w:rsidP="00A92D87">
      <w:pPr>
        <w:spacing w:after="200" w:line="240" w:lineRule="auto"/>
        <w:jc w:val="both"/>
        <w:rPr>
          <w:rFonts w:eastAsia="Calibri" w:cs="Times New Roman"/>
          <w:b/>
        </w:rPr>
      </w:pPr>
      <w:r w:rsidRPr="00E2705A">
        <w:rPr>
          <w:rFonts w:eastAsia="Calibri" w:cs="Times New Roman"/>
        </w:rPr>
        <w:t>La Secretaria Municipal de Salud de Pasto, Incluyo el indicador Tasa de Fecundidad específica,  en los Planes de Desarrollo y Territorial de Salud del municipio, 2012 - 2015  y destino a la Prioridad de Sexualidad Derechos sexuales y derechos Reproductivos un total de</w:t>
      </w:r>
      <w:r w:rsidRPr="00E2705A">
        <w:rPr>
          <w:rFonts w:eastAsia="Times New Roman" w:cs="Calibri"/>
          <w:color w:val="000000"/>
          <w:lang w:eastAsia="es-CO"/>
        </w:rPr>
        <w:t xml:space="preserve"> </w:t>
      </w:r>
      <w:r w:rsidRPr="00E2705A">
        <w:rPr>
          <w:rFonts w:eastAsia="Times New Roman" w:cs="Calibri"/>
          <w:lang w:eastAsia="es-CO"/>
        </w:rPr>
        <w:t xml:space="preserve">$1.090.916.00, distribuidos así: año 2012, $278.849.398, año 2013  $ 278.849.398, año 2014, $308.169.560, año 2015 $ 225.048.400. </w:t>
      </w:r>
      <w:r w:rsidRPr="00E2705A">
        <w:rPr>
          <w:rFonts w:eastAsia="Calibri" w:cs="Times New Roman"/>
        </w:rPr>
        <w:t>Los cuales se han invertido en el cumplimiento de las competencias de seguimiento, evaluación, vigilancia y control, asistencia técnica y articulación intersectorial en el marco de los componentes de dicha prioridad,  promoción y empoderamiento de los Derechos Sexuales y Reproductivos y la mejora de la atención de  los servicios de SSR. Adicional se cuenta con un equipo de profesionales contratistas disciplina: una médica, 2 enfermeras y una tecnóloga en promoción de la salud, quienes han apoyado el desarrollo de cada una de las actividades ejecutadas en el marco del Plan Operativo del Plan Territorial de Salud del Municipio. Además hay un contrato de acciones colectivas con Pasto Salud ESE, quienes con la asesoría de la Secretaria de Salud, lideran un proceso comunitario con organizaciones sociales para la formulación de una política pública de Salud Colectiva que contribuya al mejoramiento de la calidad de vida de la población del Municipio.</w:t>
      </w:r>
    </w:p>
    <w:p w:rsidR="00E2705A" w:rsidRPr="00E2705A" w:rsidRDefault="00E2705A" w:rsidP="00A92D87">
      <w:pPr>
        <w:numPr>
          <w:ilvl w:val="0"/>
          <w:numId w:val="3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Programas, Proyectos y Acciones para mejorar la situación del indicador (2012 -2015)</w:t>
      </w:r>
    </w:p>
    <w:p w:rsidR="00E2705A" w:rsidRPr="00E2705A" w:rsidRDefault="00E2705A" w:rsidP="00A92D87">
      <w:pPr>
        <w:suppressAutoHyphens/>
        <w:spacing w:after="0" w:line="240" w:lineRule="auto"/>
        <w:ind w:left="360"/>
        <w:contextualSpacing/>
        <w:jc w:val="both"/>
        <w:rPr>
          <w:rFonts w:eastAsia="Times New Roman" w:cs="Times New Roman"/>
          <w:b/>
          <w:lang w:val="es-ES" w:eastAsia="ar-SA"/>
        </w:rPr>
      </w:pPr>
    </w:p>
    <w:p w:rsidR="00E2705A" w:rsidRPr="00E2705A" w:rsidRDefault="00E2705A" w:rsidP="00A92D87">
      <w:pPr>
        <w:spacing w:after="0" w:line="240" w:lineRule="auto"/>
        <w:jc w:val="both"/>
        <w:rPr>
          <w:rFonts w:eastAsia="Times New Roman" w:cs="Times New Roman"/>
          <w:lang w:val="es-ES" w:eastAsia="es-ES"/>
        </w:rPr>
      </w:pPr>
      <w:r w:rsidRPr="00E2705A">
        <w:rPr>
          <w:rFonts w:eastAsia="Times New Roman" w:cs="Times New Roman"/>
          <w:lang w:val="es-ES" w:eastAsia="es-ES"/>
        </w:rPr>
        <w:t xml:space="preserve">Ejecución acciones estratégicas  desde la Secretaria Municipal de Salud Prioridad SSR relacionadas como  el seguimiento, evaluación y asistencia técnica, al programa de Detección de  Alteraciones del Joven, Planificación Familiar, Consulta pre - concepcional a IPS de baja complejidad para verificar la adherencia a guías y protocolos en atención a estos programas por los profesionales que prestan el servicio.   Mediante Decreto 0446 de la Alcaldía de Pasto, se creó el Comité Intersectorial Municipal de Prevención de Embarazos en adolescentes, el cual se encuentra operando </w:t>
      </w:r>
      <w:r w:rsidR="007E5119" w:rsidRPr="00E2705A">
        <w:rPr>
          <w:rFonts w:eastAsia="Times New Roman" w:cs="Times New Roman"/>
          <w:lang w:val="es-ES" w:eastAsia="es-ES"/>
        </w:rPr>
        <w:t>y ha</w:t>
      </w:r>
      <w:r w:rsidRPr="00E2705A">
        <w:rPr>
          <w:rFonts w:eastAsia="Times New Roman" w:cs="Times New Roman"/>
          <w:lang w:val="es-ES" w:eastAsia="es-ES"/>
        </w:rPr>
        <w:t xml:space="preserve"> contribuido a la disminución de la fecundidad en </w:t>
      </w:r>
      <w:r w:rsidR="007E5119" w:rsidRPr="00E2705A">
        <w:rPr>
          <w:rFonts w:eastAsia="Times New Roman" w:cs="Times New Roman"/>
          <w:lang w:val="es-ES" w:eastAsia="es-ES"/>
        </w:rPr>
        <w:t xml:space="preserve">adolescentes. </w:t>
      </w:r>
      <w:r w:rsidR="007E5119" w:rsidRPr="00E2705A">
        <w:rPr>
          <w:rFonts w:eastAsia="Times New Roman" w:cs="Arial"/>
          <w:lang w:val="es-ES"/>
        </w:rPr>
        <w:t>‘También</w:t>
      </w:r>
      <w:r w:rsidRPr="00E2705A">
        <w:rPr>
          <w:rFonts w:eastAsia="Times New Roman" w:cs="Arial"/>
          <w:lang w:val="es-ES"/>
        </w:rPr>
        <w:t xml:space="preserve"> se desarrolla el Plan de Intervenciones </w:t>
      </w:r>
      <w:r w:rsidR="007E5119" w:rsidRPr="00E2705A">
        <w:rPr>
          <w:rFonts w:eastAsia="Times New Roman" w:cs="Arial"/>
          <w:lang w:val="es-ES"/>
        </w:rPr>
        <w:t>colectivas a</w:t>
      </w:r>
      <w:r w:rsidRPr="00E2705A">
        <w:rPr>
          <w:rFonts w:eastAsia="Times New Roman" w:cs="Arial"/>
          <w:lang w:val="es-ES"/>
        </w:rPr>
        <w:t xml:space="preserve"> </w:t>
      </w:r>
      <w:r w:rsidR="007E5119" w:rsidRPr="00E2705A">
        <w:rPr>
          <w:rFonts w:eastAsia="Times New Roman" w:cs="Arial"/>
          <w:lang w:val="es-ES"/>
        </w:rPr>
        <w:t>través de</w:t>
      </w:r>
      <w:r w:rsidRPr="00E2705A">
        <w:rPr>
          <w:rFonts w:eastAsia="Times New Roman" w:cs="Arial"/>
          <w:lang w:val="es-ES"/>
        </w:rPr>
        <w:t xml:space="preserve"> la estrategia de Movilización Social “Ciudad Bienestar</w:t>
      </w:r>
      <w:r w:rsidR="007E5119" w:rsidRPr="00E2705A">
        <w:rPr>
          <w:rFonts w:eastAsia="Times New Roman" w:cs="Arial"/>
          <w:lang w:val="es-ES"/>
        </w:rPr>
        <w:t>” con</w:t>
      </w:r>
      <w:r w:rsidRPr="00E2705A">
        <w:rPr>
          <w:rFonts w:eastAsia="Times New Roman" w:cs="Arial"/>
          <w:lang w:val="es-ES"/>
        </w:rPr>
        <w:t xml:space="preserve"> perspectiva de derechos, para el empoderamiento de la comunidad hacia el cuidado de su salud.</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3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Productos</w:t>
      </w:r>
    </w:p>
    <w:p w:rsidR="00E2705A" w:rsidRPr="00E2705A" w:rsidRDefault="00E2705A" w:rsidP="00A92D87">
      <w:pPr>
        <w:numPr>
          <w:ilvl w:val="0"/>
          <w:numId w:val="1"/>
        </w:numPr>
        <w:spacing w:after="0" w:line="240" w:lineRule="auto"/>
        <w:contextualSpacing/>
        <w:jc w:val="both"/>
        <w:rPr>
          <w:rFonts w:eastAsia="Times New Roman" w:cs="Arial"/>
          <w:b/>
          <w:bCs/>
          <w:color w:val="000000"/>
          <w:lang w:val="es-ES_tradnl" w:eastAsia="es-ES"/>
        </w:rPr>
      </w:pPr>
      <w:r w:rsidRPr="00E2705A">
        <w:rPr>
          <w:rFonts w:eastAsia="Times New Roman" w:cs="Arial"/>
          <w:color w:val="000000"/>
          <w:lang w:val="es-ES" w:eastAsia="ar-SA"/>
        </w:rPr>
        <w:t>Política pública  Nacional de Sexualidad, Derechos Sexuales y Derechos Reproductivos implementada y operando a nivel de los actores del SGSSS, en el Municipio de Pasto.</w:t>
      </w:r>
    </w:p>
    <w:p w:rsidR="00E2705A" w:rsidRPr="00E2705A" w:rsidRDefault="00E2705A" w:rsidP="00A92D87">
      <w:pPr>
        <w:numPr>
          <w:ilvl w:val="0"/>
          <w:numId w:val="1"/>
        </w:numPr>
        <w:spacing w:after="0" w:line="240" w:lineRule="auto"/>
        <w:jc w:val="both"/>
        <w:rPr>
          <w:rFonts w:eastAsia="Calibri" w:cs="Arial"/>
          <w:color w:val="000000"/>
        </w:rPr>
      </w:pPr>
      <w:r w:rsidRPr="00E2705A">
        <w:rPr>
          <w:rFonts w:eastAsia="Calibri" w:cs="Arial"/>
          <w:color w:val="000000"/>
        </w:rPr>
        <w:t>Lograda la adherencia a guías, normas técnicas y estrategias relacionadas con  el programa de Planificación familiar.</w:t>
      </w:r>
    </w:p>
    <w:p w:rsidR="00E2705A" w:rsidRPr="00E2705A" w:rsidRDefault="00E2705A" w:rsidP="00A92D87">
      <w:pPr>
        <w:numPr>
          <w:ilvl w:val="0"/>
          <w:numId w:val="1"/>
        </w:numPr>
        <w:spacing w:after="0" w:line="240" w:lineRule="auto"/>
        <w:jc w:val="both"/>
        <w:rPr>
          <w:rFonts w:eastAsia="Calibri" w:cs="Arial"/>
          <w:b/>
        </w:rPr>
      </w:pPr>
      <w:r w:rsidRPr="00E2705A">
        <w:rPr>
          <w:rFonts w:eastAsia="Calibri" w:cs="Arial"/>
          <w:color w:val="000000"/>
        </w:rPr>
        <w:t xml:space="preserve">Implementada la estrategia de movilización social Ciudad Bienestar para el empoderamiento de la comunidad en el cuidado de la salud. </w:t>
      </w:r>
    </w:p>
    <w:p w:rsidR="00E2705A" w:rsidRPr="00E2705A" w:rsidRDefault="00E2705A" w:rsidP="00A92D87">
      <w:pPr>
        <w:numPr>
          <w:ilvl w:val="0"/>
          <w:numId w:val="1"/>
        </w:numPr>
        <w:spacing w:after="0" w:line="240" w:lineRule="auto"/>
        <w:jc w:val="both"/>
        <w:rPr>
          <w:rFonts w:eastAsia="Calibri" w:cs="Arial"/>
          <w:b/>
        </w:rPr>
      </w:pPr>
      <w:r w:rsidRPr="00E2705A">
        <w:rPr>
          <w:rFonts w:eastAsia="Calibri" w:cs="Arial"/>
          <w:color w:val="000000"/>
        </w:rPr>
        <w:t>Ruta de atención integral a la gestante y gestante menor de 15 años.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37"/>
        </w:numPr>
        <w:spacing w:after="200" w:line="240" w:lineRule="auto"/>
        <w:contextualSpacing/>
        <w:jc w:val="both"/>
        <w:rPr>
          <w:rFonts w:eastAsia="Times New Roman" w:cs="Times New Roman"/>
          <w:b/>
          <w:lang w:val="es-ES" w:eastAsia="ar-SA"/>
        </w:rPr>
      </w:pPr>
      <w:r w:rsidRPr="00E2705A">
        <w:rPr>
          <w:rFonts w:eastAsia="Times New Roman" w:cs="Times New Roman"/>
          <w:b/>
          <w:lang w:val="es-ES" w:eastAsia="ar-SA"/>
        </w:rPr>
        <w:t>Resultados al término de la gestión  (2012 -2014)</w:t>
      </w:r>
    </w:p>
    <w:p w:rsidR="00E2705A" w:rsidRPr="00E2705A" w:rsidRDefault="00E2705A" w:rsidP="00A92D87">
      <w:pPr>
        <w:numPr>
          <w:ilvl w:val="0"/>
          <w:numId w:val="12"/>
        </w:numPr>
        <w:spacing w:after="200" w:line="240" w:lineRule="auto"/>
        <w:contextualSpacing/>
        <w:jc w:val="both"/>
        <w:rPr>
          <w:rFonts w:eastAsia="Times New Roman" w:cs="Times New Roman"/>
          <w:lang w:val="es-ES" w:eastAsia="ar-SA"/>
        </w:rPr>
      </w:pPr>
      <w:r w:rsidRPr="00E2705A">
        <w:rPr>
          <w:rFonts w:eastAsia="Times New Roman" w:cs="Times New Roman"/>
          <w:b/>
          <w:lang w:val="es-ES" w:eastAsia="ar-SA"/>
        </w:rPr>
        <w:lastRenderedPageBreak/>
        <w:t xml:space="preserve"> </w:t>
      </w:r>
      <w:r w:rsidRPr="00E2705A">
        <w:rPr>
          <w:rFonts w:eastAsia="Times New Roman" w:cs="Times New Roman"/>
          <w:lang w:val="es-ES" w:eastAsia="ar-SA"/>
        </w:rPr>
        <w:t>Tasa de fecundidad 27.16 en mujeres entre 10 a 19 años</w:t>
      </w:r>
    </w:p>
    <w:p w:rsidR="00E2705A" w:rsidRPr="00E2705A" w:rsidRDefault="00E2705A" w:rsidP="00A92D87">
      <w:pPr>
        <w:numPr>
          <w:ilvl w:val="0"/>
          <w:numId w:val="12"/>
        </w:numPr>
        <w:spacing w:after="200" w:line="240" w:lineRule="auto"/>
        <w:contextualSpacing/>
        <w:jc w:val="both"/>
        <w:rPr>
          <w:rFonts w:eastAsia="Times New Roman" w:cs="Times New Roman"/>
          <w:lang w:val="es-ES" w:eastAsia="ar-SA"/>
        </w:rPr>
      </w:pPr>
      <w:r w:rsidRPr="00E2705A">
        <w:rPr>
          <w:rFonts w:eastAsia="Times New Roman" w:cs="Times New Roman"/>
          <w:lang w:val="es-ES" w:eastAsia="ar-SA"/>
        </w:rPr>
        <w:t>Tasa de fecundidad de 3.1 en mujeres de 12 a 14 años</w:t>
      </w:r>
    </w:p>
    <w:p w:rsidR="00E2705A" w:rsidRPr="00E2705A" w:rsidRDefault="00E2705A" w:rsidP="00A92D87">
      <w:pPr>
        <w:numPr>
          <w:ilvl w:val="0"/>
          <w:numId w:val="12"/>
        </w:numPr>
        <w:spacing w:after="200" w:line="240" w:lineRule="auto"/>
        <w:contextualSpacing/>
        <w:jc w:val="both"/>
        <w:rPr>
          <w:rFonts w:eastAsia="Times New Roman" w:cs="Times New Roman"/>
          <w:lang w:val="es-ES" w:eastAsia="ar-SA"/>
        </w:rPr>
      </w:pPr>
      <w:r w:rsidRPr="00E2705A">
        <w:rPr>
          <w:rFonts w:eastAsia="Times New Roman" w:cs="Times New Roman"/>
          <w:lang w:val="es-ES" w:eastAsia="ar-SA"/>
        </w:rPr>
        <w:t>Tasa de fecundidad de 51.27 en mujeres de 15 a 19 años.</w:t>
      </w:r>
    </w:p>
    <w:p w:rsidR="00E2705A" w:rsidRPr="00E2705A" w:rsidRDefault="00E2705A" w:rsidP="00A92D87">
      <w:pPr>
        <w:numPr>
          <w:ilvl w:val="0"/>
          <w:numId w:val="12"/>
        </w:numPr>
        <w:spacing w:after="200" w:line="240" w:lineRule="auto"/>
        <w:contextualSpacing/>
        <w:jc w:val="both"/>
        <w:rPr>
          <w:rFonts w:eastAsia="Times New Roman" w:cs="Times New Roman"/>
          <w:lang w:val="es-ES" w:eastAsia="ar-SA"/>
        </w:rPr>
      </w:pPr>
      <w:r w:rsidRPr="00E2705A">
        <w:rPr>
          <w:rFonts w:eastAsia="Times New Roman" w:cs="Times New Roman"/>
          <w:lang w:val="es-ES" w:eastAsia="ar-SA"/>
        </w:rPr>
        <w:t xml:space="preserve">Tasa de fecundidad de 40.1 en mujeres de 15 a 49 años. </w:t>
      </w:r>
    </w:p>
    <w:p w:rsidR="00E2705A" w:rsidRPr="00E2705A" w:rsidRDefault="00E2705A" w:rsidP="00A92D87">
      <w:pPr>
        <w:suppressAutoHyphens/>
        <w:spacing w:after="0" w:line="240" w:lineRule="auto"/>
        <w:ind w:left="360"/>
        <w:contextualSpacing/>
        <w:jc w:val="both"/>
        <w:rPr>
          <w:rFonts w:eastAsia="Times New Roman" w:cs="Times New Roman"/>
          <w:b/>
          <w:lang w:val="es-ES" w:eastAsia="ar-SA"/>
        </w:rPr>
      </w:pPr>
    </w:p>
    <w:p w:rsidR="00E2705A" w:rsidRPr="00E2705A" w:rsidRDefault="00E2705A" w:rsidP="00A92D87">
      <w:pPr>
        <w:numPr>
          <w:ilvl w:val="0"/>
          <w:numId w:val="3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Impacto</w:t>
      </w:r>
    </w:p>
    <w:p w:rsidR="00E2705A" w:rsidRPr="00E2705A" w:rsidRDefault="00E2705A" w:rsidP="00A92D87">
      <w:pPr>
        <w:spacing w:after="200" w:line="240" w:lineRule="auto"/>
        <w:jc w:val="both"/>
        <w:rPr>
          <w:rFonts w:eastAsia="Calibri" w:cs="Times New Roman"/>
        </w:rPr>
      </w:pPr>
      <w:r w:rsidRPr="00E2705A">
        <w:rPr>
          <w:rFonts w:eastAsia="Calibri" w:cs="Times New Roman"/>
        </w:rPr>
        <w:t>Positivo: Tasa de fecundidad en menores de 18 años  con tendencia a la disminución.</w:t>
      </w:r>
    </w:p>
    <w:p w:rsidR="00E2705A" w:rsidRPr="00E2705A" w:rsidRDefault="00E2705A" w:rsidP="00A92D87">
      <w:pPr>
        <w:numPr>
          <w:ilvl w:val="0"/>
          <w:numId w:val="3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 xml:space="preserve"> Prioridades</w:t>
      </w:r>
    </w:p>
    <w:p w:rsidR="00E2705A" w:rsidRPr="00E2705A" w:rsidRDefault="00E2705A" w:rsidP="00A92D87">
      <w:pPr>
        <w:spacing w:after="200" w:line="240" w:lineRule="auto"/>
        <w:jc w:val="both"/>
        <w:rPr>
          <w:rFonts w:eastAsia="Calibri" w:cs="Times New Roman"/>
        </w:rPr>
      </w:pPr>
      <w:r w:rsidRPr="00E2705A">
        <w:rPr>
          <w:rFonts w:eastAsia="Calibri" w:cs="Times New Roman"/>
        </w:rPr>
        <w:t>Es prioridad para el municipio mantener estos indicadores de impacto fortaleciendo y dando continuidad a los programas y estrategias que permitieron lograrlo, apoyados en la normatividad vigente y la coordinación Institucional e intersectorial y transectorial en el marco de Plan Decenal 2012 – 2021.</w:t>
      </w:r>
    </w:p>
    <w:p w:rsidR="00E2705A" w:rsidRPr="00E2705A" w:rsidRDefault="00E2705A" w:rsidP="00A92D87">
      <w:pPr>
        <w:spacing w:after="200" w:line="240" w:lineRule="auto"/>
        <w:jc w:val="both"/>
        <w:rPr>
          <w:rFonts w:eastAsia="Calibri" w:cs="Times New Roman"/>
          <w:b/>
        </w:rPr>
      </w:pPr>
      <w:r w:rsidRPr="00E2705A">
        <w:rPr>
          <w:rFonts w:eastAsia="Calibri" w:cs="Times New Roman"/>
          <w:b/>
        </w:rPr>
        <w:t>9.  Recomendaciones</w:t>
      </w:r>
    </w:p>
    <w:p w:rsidR="00E2705A" w:rsidRPr="00E2705A" w:rsidRDefault="00E2705A" w:rsidP="00A92D87">
      <w:pPr>
        <w:numPr>
          <w:ilvl w:val="0"/>
          <w:numId w:val="50"/>
        </w:numPr>
        <w:spacing w:after="0" w:line="240" w:lineRule="auto"/>
        <w:contextualSpacing/>
        <w:jc w:val="both"/>
        <w:rPr>
          <w:rFonts w:eastAsia="Times New Roman" w:cs="Times New Roman"/>
          <w:lang w:val="es-ES" w:eastAsia="ar-SA"/>
        </w:rPr>
      </w:pPr>
      <w:r w:rsidRPr="00E2705A">
        <w:rPr>
          <w:rFonts w:eastAsia="Times New Roman" w:cs="Times New Roman"/>
          <w:lang w:val="es-ES" w:eastAsia="ar-SA"/>
        </w:rPr>
        <w:t>Implementar y monitorear la  ejecución de la Política Nacional de Sexualidad, DSDR de Ministerio de Salud y Protección Social en el  Municipio de Pasto.</w:t>
      </w:r>
    </w:p>
    <w:p w:rsidR="00E2705A" w:rsidRPr="00E2705A" w:rsidRDefault="00E2705A" w:rsidP="00A92D87">
      <w:pPr>
        <w:numPr>
          <w:ilvl w:val="0"/>
          <w:numId w:val="50"/>
        </w:numPr>
        <w:spacing w:after="0" w:line="240" w:lineRule="auto"/>
        <w:contextualSpacing/>
        <w:jc w:val="both"/>
        <w:rPr>
          <w:rFonts w:eastAsia="Times New Roman" w:cs="Times New Roman"/>
          <w:lang w:val="es-ES" w:eastAsia="ar-SA"/>
        </w:rPr>
      </w:pPr>
      <w:r w:rsidRPr="00E2705A">
        <w:rPr>
          <w:rFonts w:eastAsia="Times New Roman" w:cs="Times New Roman"/>
          <w:lang w:val="es-ES" w:eastAsia="ar-SA"/>
        </w:rPr>
        <w:t>Planear y ejecutar POA, SSR con los lineamientos de Plan decenal 2012 – 2021.</w:t>
      </w:r>
    </w:p>
    <w:p w:rsidR="00E2705A" w:rsidRPr="00E2705A" w:rsidRDefault="00E2705A" w:rsidP="00A92D87">
      <w:pPr>
        <w:numPr>
          <w:ilvl w:val="0"/>
          <w:numId w:val="50"/>
        </w:numPr>
        <w:spacing w:after="0" w:line="240" w:lineRule="auto"/>
        <w:contextualSpacing/>
        <w:jc w:val="both"/>
        <w:rPr>
          <w:rFonts w:eastAsia="Times New Roman" w:cs="Times New Roman"/>
          <w:b/>
          <w:lang w:val="es-ES" w:eastAsia="ar-SA"/>
        </w:rPr>
      </w:pPr>
      <w:r w:rsidRPr="00E2705A">
        <w:rPr>
          <w:rFonts w:eastAsia="Times New Roman" w:cs="Times New Roman"/>
          <w:lang w:val="es-ES" w:eastAsia="ar-SA"/>
        </w:rPr>
        <w:t>Fortalecer el Sistema de información de SSR, con SISPRO del MSPS.</w:t>
      </w:r>
    </w:p>
    <w:p w:rsidR="00E2705A" w:rsidRPr="00E2705A" w:rsidRDefault="00E2705A" w:rsidP="00A92D87">
      <w:pPr>
        <w:pBdr>
          <w:top w:val="single" w:sz="4" w:space="10" w:color="4F81BD"/>
          <w:bottom w:val="single" w:sz="4" w:space="10" w:color="4F81BD"/>
        </w:pBdr>
        <w:spacing w:before="360" w:after="360" w:line="240" w:lineRule="auto"/>
        <w:ind w:left="864" w:right="864"/>
        <w:jc w:val="center"/>
        <w:rPr>
          <w:rFonts w:eastAsia="Calibri" w:cs="Times New Roman"/>
          <w:b/>
          <w:i/>
          <w:iCs/>
        </w:rPr>
      </w:pPr>
      <w:r w:rsidRPr="00E2705A">
        <w:rPr>
          <w:rFonts w:eastAsia="Calibri" w:cs="Times New Roman"/>
          <w:b/>
          <w:i/>
          <w:iCs/>
        </w:rPr>
        <w:t>DESCRIPCIÓN DEL INDICADOR No. 73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trHeight w:val="579"/>
          <w:jc w:val="center"/>
        </w:trPr>
        <w:tc>
          <w:tcPr>
            <w:tcW w:w="8828" w:type="dxa"/>
            <w:shd w:val="clear" w:color="auto" w:fill="FFFFFF"/>
          </w:tcPr>
          <w:p w:rsidR="00E2705A" w:rsidRPr="00E2705A" w:rsidRDefault="00E2705A" w:rsidP="00A92D87">
            <w:pPr>
              <w:spacing w:after="0" w:line="240" w:lineRule="auto"/>
              <w:rPr>
                <w:rFonts w:eastAsia="Calibri" w:cs="Times New Roman"/>
                <w:b/>
                <w:bCs/>
              </w:rPr>
            </w:pPr>
            <w:r w:rsidRPr="00E2705A">
              <w:rPr>
                <w:rFonts w:eastAsia="Calibri" w:cs="Times New Roman"/>
                <w:b/>
                <w:bCs/>
              </w:rPr>
              <w:t>MUNICIPIO:  PASTO</w:t>
            </w:r>
          </w:p>
        </w:tc>
      </w:tr>
      <w:tr w:rsidR="00E2705A" w:rsidRPr="00E2705A" w:rsidTr="00000F81">
        <w:trPr>
          <w:trHeight w:val="579"/>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t>Nombre del indicador: Tasa de Homicidios en niños, niñas y adolescentes</w:t>
            </w:r>
          </w:p>
        </w:tc>
      </w:tr>
      <w:tr w:rsidR="00E2705A" w:rsidRPr="00E2705A" w:rsidTr="00000F81">
        <w:trPr>
          <w:trHeight w:val="332"/>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 xml:space="preserve">Fuente Nacional: </w:t>
            </w:r>
          </w:p>
          <w:p w:rsidR="00E2705A" w:rsidRPr="00E2705A" w:rsidRDefault="00E2705A" w:rsidP="00A92D87">
            <w:pPr>
              <w:spacing w:after="0" w:line="240" w:lineRule="auto"/>
              <w:rPr>
                <w:rFonts w:eastAsia="Calibri" w:cs="Times New Roman"/>
                <w:b/>
                <w:bCs/>
              </w:rPr>
            </w:pPr>
            <w:r w:rsidRPr="00E2705A">
              <w:rPr>
                <w:rFonts w:eastAsia="Calibri" w:cs="Times New Roman"/>
                <w:b/>
                <w:bCs/>
              </w:rPr>
              <w:t>Otra Fuente: OBSERVATORIO DEL DELITO MUNICIPIO DE PASTO</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Cs/>
              </w:rPr>
            </w:pPr>
            <w:r w:rsidRPr="00E2705A">
              <w:rPr>
                <w:rFonts w:eastAsia="Calibri" w:cs="Times New Roman"/>
                <w:b/>
                <w:bCs/>
              </w:rPr>
              <w:t xml:space="preserve">Categoría de derechos: </w:t>
            </w:r>
          </w:p>
        </w:tc>
      </w:tr>
      <w:tr w:rsidR="00E2705A" w:rsidRPr="00E2705A" w:rsidTr="00000F81">
        <w:trPr>
          <w:trHeight w:val="458"/>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Metodología: Análisis de la información a partir de la cadena de resultados</w:t>
            </w:r>
          </w:p>
        </w:tc>
      </w:tr>
    </w:tbl>
    <w:p w:rsidR="00E2705A" w:rsidRPr="00E2705A" w:rsidRDefault="00E2705A" w:rsidP="00A92D87">
      <w:pPr>
        <w:suppressAutoHyphens/>
        <w:spacing w:after="0" w:line="240" w:lineRule="auto"/>
        <w:ind w:left="360"/>
        <w:contextualSpacing/>
        <w:rPr>
          <w:rFonts w:eastAsia="Times New Roman" w:cs="Times New Roman"/>
          <w:b/>
          <w:lang w:val="es-ES" w:eastAsia="ar-SA"/>
        </w:rPr>
      </w:pPr>
    </w:p>
    <w:p w:rsidR="00E2705A" w:rsidRPr="00E2705A" w:rsidRDefault="00E2705A" w:rsidP="00A92D87">
      <w:pPr>
        <w:numPr>
          <w:ilvl w:val="0"/>
          <w:numId w:val="18"/>
        </w:numPr>
        <w:spacing w:after="0" w:line="240" w:lineRule="auto"/>
        <w:contextualSpacing/>
        <w:rPr>
          <w:rFonts w:eastAsia="Times New Roman" w:cs="Times New Roman"/>
          <w:b/>
          <w:lang w:val="es-ES" w:eastAsia="ar-SA"/>
        </w:rPr>
      </w:pPr>
      <w:r w:rsidRPr="00E2705A">
        <w:rPr>
          <w:rFonts w:eastAsia="Times New Roman" w:cs="Times New Roman"/>
          <w:b/>
          <w:lang w:val="es-ES" w:eastAsia="ar-SA"/>
        </w:rPr>
        <w:t>Información estadística</w:t>
      </w:r>
    </w:p>
    <w:p w:rsidR="00E2705A" w:rsidRPr="00E2705A" w:rsidRDefault="00E2705A"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E2705A" w:rsidRPr="00E2705A" w:rsidTr="00000F81">
        <w:tc>
          <w:tcPr>
            <w:tcW w:w="219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Indicador</w:t>
            </w:r>
          </w:p>
        </w:tc>
        <w:tc>
          <w:tcPr>
            <w:tcW w:w="1765"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2011</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2012</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2013</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2014</w:t>
            </w:r>
          </w:p>
        </w:tc>
      </w:tr>
      <w:tr w:rsidR="00E2705A" w:rsidRPr="00E2705A" w:rsidTr="00000F81">
        <w:tc>
          <w:tcPr>
            <w:tcW w:w="2196" w:type="dxa"/>
            <w:shd w:val="clear" w:color="auto" w:fill="auto"/>
          </w:tcPr>
          <w:p w:rsidR="00E2705A" w:rsidRPr="00E2705A" w:rsidRDefault="00E2705A" w:rsidP="00A92D87">
            <w:pPr>
              <w:spacing w:after="0" w:line="240" w:lineRule="auto"/>
              <w:rPr>
                <w:rFonts w:eastAsia="Calibri" w:cs="Times New Roman"/>
                <w:lang w:eastAsia="es-CO"/>
              </w:rPr>
            </w:pPr>
            <w:r w:rsidRPr="00E2705A">
              <w:rPr>
                <w:rFonts w:eastAsia="Calibri" w:cs="Times New Roman"/>
                <w:lang w:eastAsia="es-CO"/>
              </w:rPr>
              <w:t>Tasa de Homicidios en niños, niñas y adolescentes</w:t>
            </w:r>
          </w:p>
        </w:tc>
        <w:tc>
          <w:tcPr>
            <w:tcW w:w="1765"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6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3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6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4 x 100000 Hbts</w:t>
            </w:r>
          </w:p>
        </w:tc>
      </w:tr>
      <w:tr w:rsidR="00E2705A" w:rsidRPr="00E2705A" w:rsidTr="00000F81">
        <w:tc>
          <w:tcPr>
            <w:tcW w:w="9259" w:type="dxa"/>
            <w:gridSpan w:val="5"/>
            <w:shd w:val="clear" w:color="auto" w:fill="auto"/>
          </w:tcPr>
          <w:p w:rsidR="00E2705A" w:rsidRPr="00E2705A" w:rsidRDefault="00E2705A" w:rsidP="00A92D87">
            <w:pPr>
              <w:spacing w:after="0" w:line="240" w:lineRule="auto"/>
              <w:rPr>
                <w:rFonts w:eastAsia="Calibri" w:cs="Times New Roman"/>
                <w:b/>
                <w:lang w:eastAsia="es-CO"/>
              </w:rPr>
            </w:pPr>
            <w:r w:rsidRPr="00E2705A">
              <w:rPr>
                <w:rFonts w:eastAsia="Calibri" w:cs="Times New Roman"/>
                <w:b/>
                <w:lang w:eastAsia="es-CO"/>
              </w:rPr>
              <w:t>Fuente y año:  OBSERVATORIO DEL DELITO</w:t>
            </w:r>
          </w:p>
        </w:tc>
      </w:tr>
    </w:tbl>
    <w:p w:rsidR="00E2705A" w:rsidRPr="00E2705A" w:rsidRDefault="00E2705A" w:rsidP="00A92D87">
      <w:pPr>
        <w:spacing w:after="200" w:line="240" w:lineRule="auto"/>
        <w:rPr>
          <w:rFonts w:eastAsia="Calibri" w:cs="Times New Roman"/>
        </w:rPr>
      </w:pPr>
    </w:p>
    <w:p w:rsidR="00E2705A" w:rsidRPr="00E2705A" w:rsidRDefault="00E2705A" w:rsidP="00A92D87">
      <w:pPr>
        <w:spacing w:after="200" w:line="240" w:lineRule="auto"/>
        <w:rPr>
          <w:rFonts w:eastAsia="Calibri" w:cs="Times New Roman"/>
          <w:b/>
        </w:rPr>
      </w:pPr>
      <w:r w:rsidRPr="00E2705A">
        <w:rPr>
          <w:rFonts w:eastAsia="Calibri" w:cs="Times New Roman"/>
          <w:b/>
        </w:rPr>
        <w:lastRenderedPageBreak/>
        <w:t xml:space="preserve">Gráfico: </w:t>
      </w:r>
    </w:p>
    <w:p w:rsidR="00E2705A" w:rsidRPr="00E2705A" w:rsidRDefault="00E2705A" w:rsidP="00A92D87">
      <w:pPr>
        <w:spacing w:after="200" w:line="240" w:lineRule="auto"/>
        <w:rPr>
          <w:rFonts w:eastAsia="Calibri" w:cs="Times New Roman"/>
          <w:b/>
        </w:rPr>
      </w:pPr>
      <w:r w:rsidRPr="00E2705A">
        <w:rPr>
          <w:rFonts w:eastAsia="Calibri" w:cs="Times New Roman"/>
          <w:noProof/>
          <w:lang w:val="es-ES" w:eastAsia="es-ES"/>
        </w:rPr>
        <w:drawing>
          <wp:inline distT="0" distB="0" distL="0" distR="0">
            <wp:extent cx="5808345" cy="1864360"/>
            <wp:effectExtent l="0" t="0" r="1905" b="2540"/>
            <wp:docPr id="44" name="Grá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2705A" w:rsidRPr="00E2705A" w:rsidRDefault="00E2705A" w:rsidP="00A92D87">
      <w:pPr>
        <w:numPr>
          <w:ilvl w:val="0"/>
          <w:numId w:val="1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Situación detectada</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El 91% de los casos presentados de homicidios son hombres , en el periodo comprendido entre los años 2011-2014, el 54% de los homicidios se presentaron con arma de fuego y el 39% con arma blanca el 21%, principalmente bajo el contexto de violencia interpersonal riñas 28%, en horarios de la noche y madrugada los fines de semana. Espacialmente ubicados en la comuna 5, 4 y 8 y el corregimiento de catambuco.</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18"/>
        </w:numPr>
        <w:spacing w:after="0" w:line="240" w:lineRule="auto"/>
        <w:contextualSpacing/>
        <w:rPr>
          <w:rFonts w:eastAsia="Times New Roman" w:cs="Times New Roman"/>
          <w:b/>
          <w:lang w:val="es-ES" w:eastAsia="ar-SA"/>
        </w:rPr>
      </w:pPr>
      <w:r w:rsidRPr="00E2705A">
        <w:rPr>
          <w:rFonts w:eastAsia="Times New Roman" w:cs="Times New Roman"/>
          <w:b/>
          <w:lang w:val="es-ES" w:eastAsia="ar-SA"/>
        </w:rPr>
        <w:t>Insumos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E2705A" w:rsidRPr="00E2705A" w:rsidRDefault="00E2705A" w:rsidP="00A92D87">
      <w:pPr>
        <w:suppressAutoHyphens/>
        <w:spacing w:after="0" w:line="240" w:lineRule="auto"/>
        <w:ind w:left="1080"/>
        <w:contextualSpacing/>
        <w:rPr>
          <w:rFonts w:eastAsia="Times New Roman" w:cs="Times New Roman"/>
          <w:lang w:val="es-ES" w:eastAsia="ar-SA"/>
        </w:rPr>
      </w:pPr>
    </w:p>
    <w:p w:rsidR="00E2705A" w:rsidRPr="00E2705A" w:rsidRDefault="00E2705A" w:rsidP="00A92D87">
      <w:pPr>
        <w:numPr>
          <w:ilvl w:val="0"/>
          <w:numId w:val="1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Programas, Proyectos y Acciones para mejorar la situación del indicador (2012 -2015)</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Además de los indicadores, del análisis evolutivo de la violencia y de la distribución espacial geo referenciada que permite contar con información sectorizada y más exacta, de acuerdo a las doce comunas, setenta y seis (76) cuadrantes y diecisiete (17) corregimientos; en cada informe, se muestra una exposición del alto impacto de las Unidades de Policía Nacional,  en especial el de la Policía Metropolitana de Pasto, programas y actividades  que están a cargo de la Secretaria de Gobierno Municipal.</w:t>
      </w:r>
    </w:p>
    <w:p w:rsidR="00E2705A" w:rsidRPr="00E2705A" w:rsidRDefault="00E2705A" w:rsidP="00A92D87">
      <w:pPr>
        <w:numPr>
          <w:ilvl w:val="0"/>
          <w:numId w:val="1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Productos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1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Resultados al término de la gestión  (2012 -2014)</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lastRenderedPageBreak/>
        <w:t>Indicadores de homicidios confiables, destacando que a nivel de homicidios el año 2014, ha sido el año con menor número de casos en los doce años de monitoreo y para el caso de menores de 17 años presenta una tasa de 4 x 100000 habitantes, bajando 2 puntos en la tasa con respecto al año 2013.</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1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Impacto</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Permite una descripción más exacta del problema.</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Nos obliga a ser claros y exactos en materia de priorizar acciones preventivas y correctivas.</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Permite identificar factores de riesgo.</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Nos permite tomar decisiones en base a la evidencia.</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1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Prioridades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En el periodo analizado 2011- 2014 se evidencia que las comunas con mayor problemática en lesiones fatales son las comunas 4, 5, 8 y en el corregimiento de Catambuco, con referente en la población masculina los cuales están más expuestos en este evento, hay que hacer énfasis en el trabajo de tolerancia y sana convivencia.</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1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Recomendaciones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Tomar la información de Observatorio del Delito como herramienta fundamental al momento de implementar planes y/o acciones dentro del Municipio.</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E2705A">
        <w:rPr>
          <w:b/>
          <w:i/>
          <w:iCs/>
        </w:rPr>
        <w:t>DESCRIPCIÓN DEL INDICADOR No. 74</w:t>
      </w:r>
    </w:p>
    <w:tbl>
      <w:tblPr>
        <w:tblStyle w:val="Tabladecuadrcula2-nfasis5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Nombre del indicador: Tasa de suicidios en niños, niñas y adolescentes</w:t>
            </w:r>
          </w:p>
        </w:tc>
      </w:tr>
      <w:tr w:rsidR="00E2705A" w:rsidRPr="00E2705A" w:rsidTr="00000F81">
        <w:trPr>
          <w:trHeight w:val="332"/>
          <w:jc w:val="center"/>
        </w:trPr>
        <w:tc>
          <w:tcPr>
            <w:cnfStyle w:val="001000000000"/>
            <w:tcW w:w="8828" w:type="dxa"/>
          </w:tcPr>
          <w:p w:rsidR="00E2705A" w:rsidRPr="00E2705A" w:rsidRDefault="00E2705A" w:rsidP="00A92D87">
            <w:r w:rsidRPr="00E2705A">
              <w:t xml:space="preserve">Fuente Nacional: </w:t>
            </w:r>
          </w:p>
          <w:p w:rsidR="00E2705A" w:rsidRPr="00E2705A" w:rsidRDefault="00E2705A" w:rsidP="00A92D87">
            <w:r w:rsidRPr="00E2705A">
              <w:t>Otra Fuente: OBSERVATORIO DEL DELITO MUNICIPIO DE PASTO</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 xml:space="preserve">Categoría de derechos: </w:t>
            </w:r>
          </w:p>
        </w:tc>
      </w:tr>
      <w:tr w:rsidR="00E2705A" w:rsidRPr="00E2705A" w:rsidTr="00000F81">
        <w:trPr>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ind w:left="1080"/>
        <w:contextualSpacing/>
        <w:rPr>
          <w:rFonts w:eastAsia="Times New Roman" w:cs="Times New Roman"/>
          <w:b/>
          <w:lang w:eastAsia="es-CO"/>
        </w:rPr>
      </w:pPr>
    </w:p>
    <w:tbl>
      <w:tblPr>
        <w:tblStyle w:val="Tablaconcuadrcula6"/>
        <w:tblW w:w="0" w:type="auto"/>
        <w:tblInd w:w="-431" w:type="dxa"/>
        <w:tblLook w:val="04A0"/>
      </w:tblPr>
      <w:tblGrid>
        <w:gridCol w:w="2196"/>
        <w:gridCol w:w="1765"/>
        <w:gridCol w:w="1766"/>
        <w:gridCol w:w="1766"/>
        <w:gridCol w:w="1766"/>
      </w:tblGrid>
      <w:tr w:rsidR="00E2705A" w:rsidRPr="00E2705A" w:rsidTr="00000F81">
        <w:tc>
          <w:tcPr>
            <w:tcW w:w="2196" w:type="dxa"/>
          </w:tcPr>
          <w:p w:rsidR="00E2705A" w:rsidRPr="00E2705A" w:rsidRDefault="00E2705A" w:rsidP="00A92D87">
            <w:pPr>
              <w:jc w:val="center"/>
              <w:rPr>
                <w:b/>
              </w:rPr>
            </w:pPr>
            <w:r w:rsidRPr="00E2705A">
              <w:rPr>
                <w:b/>
              </w:rPr>
              <w:lastRenderedPageBreak/>
              <w:t>Indicador</w:t>
            </w:r>
          </w:p>
        </w:tc>
        <w:tc>
          <w:tcPr>
            <w:tcW w:w="1765" w:type="dxa"/>
          </w:tcPr>
          <w:p w:rsidR="00E2705A" w:rsidRPr="00E2705A" w:rsidRDefault="00E2705A" w:rsidP="00A92D87">
            <w:pPr>
              <w:jc w:val="center"/>
              <w:rPr>
                <w:b/>
              </w:rPr>
            </w:pPr>
            <w:r w:rsidRPr="00E2705A">
              <w:rPr>
                <w:b/>
              </w:rPr>
              <w:t>2011</w:t>
            </w:r>
          </w:p>
        </w:tc>
        <w:tc>
          <w:tcPr>
            <w:tcW w:w="1766" w:type="dxa"/>
          </w:tcPr>
          <w:p w:rsidR="00E2705A" w:rsidRPr="00E2705A" w:rsidRDefault="00E2705A" w:rsidP="00A92D87">
            <w:pPr>
              <w:jc w:val="center"/>
              <w:rPr>
                <w:b/>
              </w:rPr>
            </w:pPr>
            <w:r w:rsidRPr="00E2705A">
              <w:rPr>
                <w:b/>
              </w:rPr>
              <w:t>2012</w:t>
            </w:r>
          </w:p>
        </w:tc>
        <w:tc>
          <w:tcPr>
            <w:tcW w:w="1766" w:type="dxa"/>
          </w:tcPr>
          <w:p w:rsidR="00E2705A" w:rsidRPr="00E2705A" w:rsidRDefault="00E2705A" w:rsidP="00A92D87">
            <w:pPr>
              <w:jc w:val="center"/>
              <w:rPr>
                <w:b/>
              </w:rPr>
            </w:pPr>
            <w:r w:rsidRPr="00E2705A">
              <w:rPr>
                <w:b/>
              </w:rPr>
              <w:t>2013</w:t>
            </w:r>
          </w:p>
        </w:tc>
        <w:tc>
          <w:tcPr>
            <w:tcW w:w="1766" w:type="dxa"/>
          </w:tcPr>
          <w:p w:rsidR="00E2705A" w:rsidRPr="00E2705A" w:rsidRDefault="00E2705A" w:rsidP="00A92D87">
            <w:pPr>
              <w:jc w:val="center"/>
              <w:rPr>
                <w:b/>
              </w:rPr>
            </w:pPr>
            <w:r w:rsidRPr="00E2705A">
              <w:rPr>
                <w:b/>
              </w:rPr>
              <w:t>2014</w:t>
            </w:r>
          </w:p>
        </w:tc>
      </w:tr>
      <w:tr w:rsidR="00E2705A" w:rsidRPr="00E2705A" w:rsidTr="00000F81">
        <w:tc>
          <w:tcPr>
            <w:tcW w:w="2196" w:type="dxa"/>
          </w:tcPr>
          <w:p w:rsidR="00E2705A" w:rsidRPr="00E2705A" w:rsidRDefault="00E2705A" w:rsidP="00A92D87">
            <w:r w:rsidRPr="00E2705A">
              <w:t>Tasa de suicidios en niños, niñas y adolescentes</w:t>
            </w:r>
          </w:p>
        </w:tc>
        <w:tc>
          <w:tcPr>
            <w:tcW w:w="1765" w:type="dxa"/>
          </w:tcPr>
          <w:p w:rsidR="00E2705A" w:rsidRPr="00E2705A" w:rsidRDefault="00E2705A" w:rsidP="00A92D87">
            <w:pPr>
              <w:jc w:val="center"/>
            </w:pPr>
          </w:p>
          <w:p w:rsidR="00E2705A" w:rsidRPr="00E2705A" w:rsidRDefault="00E2705A" w:rsidP="00A92D87">
            <w:pPr>
              <w:jc w:val="center"/>
            </w:pPr>
            <w:r w:rsidRPr="00E2705A">
              <w:t>4 x 100000 Hbts</w:t>
            </w:r>
          </w:p>
        </w:tc>
        <w:tc>
          <w:tcPr>
            <w:tcW w:w="1766" w:type="dxa"/>
          </w:tcPr>
          <w:p w:rsidR="00E2705A" w:rsidRPr="00E2705A" w:rsidRDefault="00E2705A" w:rsidP="00A92D87">
            <w:pPr>
              <w:jc w:val="center"/>
            </w:pPr>
          </w:p>
          <w:p w:rsidR="00E2705A" w:rsidRPr="00E2705A" w:rsidRDefault="00E2705A" w:rsidP="00A92D87">
            <w:pPr>
              <w:jc w:val="center"/>
            </w:pPr>
            <w:r w:rsidRPr="00E2705A">
              <w:t>4 x 100000 Hbts</w:t>
            </w:r>
          </w:p>
        </w:tc>
        <w:tc>
          <w:tcPr>
            <w:tcW w:w="1766" w:type="dxa"/>
          </w:tcPr>
          <w:p w:rsidR="00E2705A" w:rsidRPr="00E2705A" w:rsidRDefault="00E2705A" w:rsidP="00A92D87">
            <w:pPr>
              <w:jc w:val="center"/>
            </w:pPr>
          </w:p>
          <w:p w:rsidR="00E2705A" w:rsidRPr="00E2705A" w:rsidRDefault="00E2705A" w:rsidP="00A92D87">
            <w:pPr>
              <w:jc w:val="center"/>
            </w:pPr>
            <w:r w:rsidRPr="00E2705A">
              <w:t>5 x 100000 Hbts</w:t>
            </w:r>
          </w:p>
        </w:tc>
        <w:tc>
          <w:tcPr>
            <w:tcW w:w="1766" w:type="dxa"/>
          </w:tcPr>
          <w:p w:rsidR="00E2705A" w:rsidRPr="00E2705A" w:rsidRDefault="00E2705A" w:rsidP="00A92D87">
            <w:pPr>
              <w:jc w:val="center"/>
            </w:pPr>
          </w:p>
          <w:p w:rsidR="00E2705A" w:rsidRPr="00E2705A" w:rsidRDefault="00E2705A" w:rsidP="00A92D87">
            <w:pPr>
              <w:jc w:val="center"/>
            </w:pPr>
            <w:r w:rsidRPr="00E2705A">
              <w:t>3 x 100000 Hbts</w:t>
            </w:r>
          </w:p>
        </w:tc>
      </w:tr>
      <w:tr w:rsidR="00E2705A" w:rsidRPr="00E2705A" w:rsidTr="00000F81">
        <w:tc>
          <w:tcPr>
            <w:tcW w:w="9259" w:type="dxa"/>
            <w:gridSpan w:val="5"/>
          </w:tcPr>
          <w:p w:rsidR="00E2705A" w:rsidRPr="00E2705A" w:rsidRDefault="00E2705A" w:rsidP="00A92D87">
            <w:pPr>
              <w:rPr>
                <w:b/>
              </w:rPr>
            </w:pPr>
            <w:r w:rsidRPr="00E2705A">
              <w:rPr>
                <w:b/>
              </w:rPr>
              <w:t>Fuente y año:  OBSERVATORIO DEL DELITO</w:t>
            </w:r>
          </w:p>
        </w:tc>
      </w:tr>
    </w:tbl>
    <w:p w:rsidR="00E2705A" w:rsidRPr="00E2705A" w:rsidRDefault="00E2705A" w:rsidP="00A92D87">
      <w:pPr>
        <w:spacing w:line="240" w:lineRule="auto"/>
      </w:pPr>
    </w:p>
    <w:p w:rsidR="00E2705A" w:rsidRPr="00E2705A" w:rsidRDefault="00E2705A" w:rsidP="00A92D87">
      <w:pPr>
        <w:spacing w:line="240" w:lineRule="auto"/>
        <w:rPr>
          <w:b/>
        </w:rPr>
      </w:pPr>
      <w:r w:rsidRPr="00E2705A">
        <w:rPr>
          <w:b/>
        </w:rPr>
        <w:t xml:space="preserve">Gráfico: </w:t>
      </w:r>
    </w:p>
    <w:p w:rsidR="00E2705A" w:rsidRPr="00E2705A" w:rsidRDefault="00E2705A" w:rsidP="00A92D87">
      <w:pPr>
        <w:spacing w:line="240" w:lineRule="auto"/>
        <w:rPr>
          <w:b/>
        </w:rPr>
      </w:pPr>
      <w:r w:rsidRPr="00E2705A">
        <w:rPr>
          <w:noProof/>
          <w:lang w:val="es-ES" w:eastAsia="es-ES"/>
        </w:rPr>
        <w:drawing>
          <wp:inline distT="0" distB="0" distL="0" distR="0">
            <wp:extent cx="5524500" cy="1528445"/>
            <wp:effectExtent l="0" t="0" r="0" b="1460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705A" w:rsidRPr="00E2705A" w:rsidRDefault="00E2705A" w:rsidP="00A92D87">
      <w:pPr>
        <w:spacing w:line="240" w:lineRule="auto"/>
        <w:rPr>
          <w:b/>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Situación detectada: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El 75% de los casos presentados de suicidios son hombres, el factor desencadenante de este evento es el conflicto con la </w:t>
      </w:r>
      <w:r w:rsidR="007E5119" w:rsidRPr="00E2705A">
        <w:rPr>
          <w:rFonts w:eastAsia="Times New Roman" w:cs="Times New Roman"/>
          <w:lang w:eastAsia="es-CO"/>
        </w:rPr>
        <w:t>pareja,</w:t>
      </w:r>
      <w:r w:rsidRPr="00E2705A">
        <w:rPr>
          <w:rFonts w:eastAsia="Times New Roman" w:cs="Times New Roman"/>
          <w:lang w:eastAsia="es-CO"/>
        </w:rPr>
        <w:t xml:space="preserve"> otro tipo de eventos como depresión y en la mayoría de los casos se desconoce las causas de esta decisión, donde el medio más utilizado es el ahorcamiento y la intoxicación</w:t>
      </w:r>
      <w:r w:rsidR="007E5119" w:rsidRPr="00E2705A">
        <w:rPr>
          <w:rFonts w:eastAsia="Times New Roman" w:cs="Times New Roman"/>
          <w:lang w:eastAsia="es-CO"/>
        </w:rPr>
        <w:t>.</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 </w:t>
      </w: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E2705A" w:rsidRPr="00E2705A" w:rsidRDefault="00E2705A" w:rsidP="00A92D87">
      <w:pPr>
        <w:spacing w:after="0" w:line="240" w:lineRule="auto"/>
        <w:ind w:left="1080"/>
        <w:contextualSpacing/>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spacing w:line="240" w:lineRule="auto"/>
        <w:ind w:left="360"/>
        <w:jc w:val="both"/>
        <w:rPr>
          <w:b/>
        </w:rPr>
      </w:pPr>
      <w:r w:rsidRPr="00E2705A">
        <w:t>Este hecho social, se sabe que va en aumento,  de hecho un estudio de esta clase, muestra no solo quien está como representante y que propuestas deben cambiar, “Según la OMS, en el 2020 aproximadamente 1,53 millones de personas se suicidarán y de 10 a 20 veces más lo intentarán”. En esta región del sur de Colombia se han venido presentando tasas de suicidios que llegan a superar en varias veces el promedio  Nacional.</w:t>
      </w: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Productos: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El Observatorio del Delito, produce informes semanales, mensuales y anuales de todos los eventos monitoreados, se realiza boletines informativos trimestrales y anuales, esto con el fin </w:t>
      </w:r>
      <w:r w:rsidRPr="00E2705A">
        <w:rPr>
          <w:rFonts w:eastAsia="Times New Roman" w:cs="Times New Roman"/>
          <w:lang w:eastAsia="es-CO"/>
        </w:rPr>
        <w:lastRenderedPageBreak/>
        <w:t>de identificar población a riesgo, sectores vulnerables a nivel de barrio, comuna y cuadrante y priorizar acciones de prevención y control.</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El ámbito de enfermedades psicológicas se puede ver que son una de las causas  más importantes o con mayor relevancia, ya que esta población se ha ido incrementando en la ciudad de Pasto, en una mayor medida, la depresión. La vida de los jóvenes está cambiando constantemente y se enfrentan a un sin número de problemas y dificultades los cuales no todos los asumen de la misma manera.</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Se conoce que el alcoholismo, conlleva a tomar decisiones a la carrera, puesto que en este estado se cambia de ánimo con facilidad, además que el cerebro no funciona de la misma manera, que sin alcohol, y se descontrola el sistema nervioso central. Se habla de este factos puesto que se conoce que en Pasto los días viernes son espacios para el encuentro popular, en sitios de expendio de bebidas con alcohol.</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Impacto: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720"/>
        <w:contextualSpacing/>
        <w:jc w:val="both"/>
        <w:rPr>
          <w:rFonts w:eastAsia="Times New Roman" w:cs="Times New Roman"/>
          <w:lang w:eastAsia="es-CO"/>
        </w:rPr>
      </w:pPr>
      <w:r w:rsidRPr="00E2705A">
        <w:rPr>
          <w:rFonts w:eastAsia="Times New Roman" w:cs="Times New Roman"/>
          <w:lang w:eastAsia="es-CO"/>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Permite una descripción más exacta del problema.</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Nos obliga a ser claros y exactos en materia de priorizar acciones preventivas y correctivas.</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Permite identificar factores de riesgo.</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Nos permite tomar decisiones en base a la evidencia.</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La Secretaria de Salud, a través de la prioridad en salud mental, viene realizando seguimiento y evaluación a las diferentes IPS y EPS, en lo concerniente a la aplicación de guías y protocolos de salud mental, con el fin de garantizar la adecuada atención de estos casos.</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Se podría decir que las causas de suicidio son variadas y dependen del contexto en el que el suicida vive, puesto que, puede haber o no una causa determínate. La mayoría de veces esta causa suele estar relacionada con la perdida sentimental de la pareja, puesto que esta es una compañía esencial  en la vida, los suicidadas dependen tanto emocional y muchas veces económica de esa persona. Esta ausencia conlleva a una tristeza profunda, que posteriormente se  transforma en depresión y está ya comienza a ser un problema clínico psicológico.</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Se conoce que hay diferentes factores socio-culturales (como el alcohol y drogadicción) que conllevan a tomar decisiones a la carrera, puesto que en este estado se cambia de ánimo con </w:t>
      </w:r>
      <w:r w:rsidRPr="00E2705A">
        <w:rPr>
          <w:rFonts w:eastAsia="Times New Roman" w:cs="Times New Roman"/>
          <w:lang w:eastAsia="es-CO"/>
        </w:rPr>
        <w:lastRenderedPageBreak/>
        <w:t>facilidad, además que el cerebro no funciona de la misma manera y se descontrola el sistema nervioso central.</w:t>
      </w:r>
    </w:p>
    <w:p w:rsidR="00E2705A" w:rsidRPr="00E2705A" w:rsidRDefault="00E2705A" w:rsidP="00A92D87">
      <w:pPr>
        <w:spacing w:after="0" w:line="240" w:lineRule="auto"/>
        <w:ind w:left="360"/>
        <w:contextualSpacing/>
        <w:jc w:val="both"/>
        <w:rPr>
          <w:rFonts w:eastAsia="Times New Roman" w:cs="Times New Roman"/>
          <w:highlight w:val="yellow"/>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Aparentemente, las estadísticas nos revelan una tendencia al aumento de la frecuencia de los suicidios en los períodos de crisis económica. Lo que le interesa por encima de todo, al extremo de obsesionarlo, es en efecto la crisis de la sociedad moderna que se define por la desintegración social y la debilidad de los vínculos que relacionan al individuo con la familia o con el grupo.</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b/>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Tomar la información de Observatorio del Delito como herramienta fundamental al momento de implementar planes y/o acciones dentro del Municipio.</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E2705A">
        <w:rPr>
          <w:b/>
          <w:i/>
          <w:iCs/>
        </w:rPr>
        <w:t>DESCRIPCIÓN DEL INDICADOR No. 75</w:t>
      </w:r>
    </w:p>
    <w:tbl>
      <w:tblPr>
        <w:tblStyle w:val="Tabladecuadrcula2-nfasis51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Nombre del indicador: Tasa de muertes por otros accidentes en niños, niñas y adolescentes</w:t>
            </w:r>
          </w:p>
        </w:tc>
      </w:tr>
      <w:tr w:rsidR="00E2705A" w:rsidRPr="00E2705A" w:rsidTr="00000F81">
        <w:trPr>
          <w:trHeight w:val="332"/>
          <w:jc w:val="center"/>
        </w:trPr>
        <w:tc>
          <w:tcPr>
            <w:cnfStyle w:val="001000000000"/>
            <w:tcW w:w="8828" w:type="dxa"/>
          </w:tcPr>
          <w:p w:rsidR="00E2705A" w:rsidRPr="00E2705A" w:rsidRDefault="00E2705A" w:rsidP="00A92D87">
            <w:r w:rsidRPr="00E2705A">
              <w:t xml:space="preserve">Fuente Nacional: </w:t>
            </w:r>
          </w:p>
          <w:p w:rsidR="00E2705A" w:rsidRPr="00E2705A" w:rsidRDefault="00E2705A" w:rsidP="00A92D87">
            <w:r w:rsidRPr="00E2705A">
              <w:t>Otra Fuente: OBSERVATORIO DEL DELITO MUNICIPIO DE PASTO</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 xml:space="preserve">Categoría de derechos: </w:t>
            </w:r>
          </w:p>
        </w:tc>
      </w:tr>
      <w:tr w:rsidR="00E2705A" w:rsidRPr="00E2705A" w:rsidTr="00000F81">
        <w:trPr>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ind w:left="1080"/>
        <w:contextualSpacing/>
        <w:rPr>
          <w:rFonts w:eastAsia="Times New Roman" w:cs="Times New Roman"/>
          <w:b/>
          <w:lang w:eastAsia="es-CO"/>
        </w:rPr>
      </w:pPr>
    </w:p>
    <w:tbl>
      <w:tblPr>
        <w:tblStyle w:val="Tablaconcuadrcula61"/>
        <w:tblW w:w="0" w:type="auto"/>
        <w:tblInd w:w="-431" w:type="dxa"/>
        <w:tblLook w:val="04A0"/>
      </w:tblPr>
      <w:tblGrid>
        <w:gridCol w:w="2196"/>
        <w:gridCol w:w="1765"/>
        <w:gridCol w:w="1766"/>
        <w:gridCol w:w="1766"/>
        <w:gridCol w:w="1766"/>
      </w:tblGrid>
      <w:tr w:rsidR="00E2705A" w:rsidRPr="00E2705A" w:rsidTr="00000F81">
        <w:tc>
          <w:tcPr>
            <w:tcW w:w="2196" w:type="dxa"/>
          </w:tcPr>
          <w:p w:rsidR="00E2705A" w:rsidRPr="00E2705A" w:rsidRDefault="00E2705A" w:rsidP="00A92D87">
            <w:pPr>
              <w:jc w:val="center"/>
              <w:rPr>
                <w:b/>
              </w:rPr>
            </w:pPr>
            <w:r w:rsidRPr="00E2705A">
              <w:rPr>
                <w:b/>
              </w:rPr>
              <w:t>Indicador</w:t>
            </w:r>
          </w:p>
        </w:tc>
        <w:tc>
          <w:tcPr>
            <w:tcW w:w="1765" w:type="dxa"/>
          </w:tcPr>
          <w:p w:rsidR="00E2705A" w:rsidRPr="00E2705A" w:rsidRDefault="00E2705A" w:rsidP="00A92D87">
            <w:pPr>
              <w:jc w:val="center"/>
              <w:rPr>
                <w:b/>
              </w:rPr>
            </w:pPr>
            <w:r w:rsidRPr="00E2705A">
              <w:rPr>
                <w:b/>
              </w:rPr>
              <w:t>2011</w:t>
            </w:r>
          </w:p>
        </w:tc>
        <w:tc>
          <w:tcPr>
            <w:tcW w:w="1766" w:type="dxa"/>
          </w:tcPr>
          <w:p w:rsidR="00E2705A" w:rsidRPr="00E2705A" w:rsidRDefault="00E2705A" w:rsidP="00A92D87">
            <w:pPr>
              <w:jc w:val="center"/>
              <w:rPr>
                <w:b/>
              </w:rPr>
            </w:pPr>
            <w:r w:rsidRPr="00E2705A">
              <w:rPr>
                <w:b/>
              </w:rPr>
              <w:t>2012</w:t>
            </w:r>
          </w:p>
        </w:tc>
        <w:tc>
          <w:tcPr>
            <w:tcW w:w="1766" w:type="dxa"/>
          </w:tcPr>
          <w:p w:rsidR="00E2705A" w:rsidRPr="00E2705A" w:rsidRDefault="00E2705A" w:rsidP="00A92D87">
            <w:pPr>
              <w:jc w:val="center"/>
              <w:rPr>
                <w:b/>
              </w:rPr>
            </w:pPr>
            <w:r w:rsidRPr="00E2705A">
              <w:rPr>
                <w:b/>
              </w:rPr>
              <w:t>2013</w:t>
            </w:r>
          </w:p>
        </w:tc>
        <w:tc>
          <w:tcPr>
            <w:tcW w:w="1766" w:type="dxa"/>
          </w:tcPr>
          <w:p w:rsidR="00E2705A" w:rsidRPr="00E2705A" w:rsidRDefault="00E2705A" w:rsidP="00A92D87">
            <w:pPr>
              <w:jc w:val="center"/>
              <w:rPr>
                <w:b/>
              </w:rPr>
            </w:pPr>
            <w:r w:rsidRPr="00E2705A">
              <w:rPr>
                <w:b/>
              </w:rPr>
              <w:t>2014</w:t>
            </w:r>
          </w:p>
        </w:tc>
      </w:tr>
      <w:tr w:rsidR="00E2705A" w:rsidRPr="00E2705A" w:rsidTr="00000F81">
        <w:tc>
          <w:tcPr>
            <w:tcW w:w="2196" w:type="dxa"/>
          </w:tcPr>
          <w:p w:rsidR="00E2705A" w:rsidRPr="00E2705A" w:rsidRDefault="00E2705A" w:rsidP="00A92D87">
            <w:r w:rsidRPr="00E2705A">
              <w:t>Tasa de muertes por otros accidentes en niños, niñas y adolescentes</w:t>
            </w:r>
          </w:p>
        </w:tc>
        <w:tc>
          <w:tcPr>
            <w:tcW w:w="1765" w:type="dxa"/>
          </w:tcPr>
          <w:p w:rsidR="00E2705A" w:rsidRPr="00E2705A" w:rsidRDefault="00E2705A" w:rsidP="00A92D87">
            <w:pPr>
              <w:jc w:val="center"/>
            </w:pPr>
          </w:p>
          <w:p w:rsidR="00E2705A" w:rsidRPr="00E2705A" w:rsidRDefault="00E2705A" w:rsidP="00A92D87">
            <w:pPr>
              <w:jc w:val="center"/>
            </w:pPr>
            <w:r w:rsidRPr="00E2705A">
              <w:t>6 x 100000 Hbts</w:t>
            </w:r>
          </w:p>
        </w:tc>
        <w:tc>
          <w:tcPr>
            <w:tcW w:w="1766" w:type="dxa"/>
          </w:tcPr>
          <w:p w:rsidR="00E2705A" w:rsidRPr="00E2705A" w:rsidRDefault="00E2705A" w:rsidP="00A92D87">
            <w:pPr>
              <w:jc w:val="center"/>
            </w:pPr>
          </w:p>
          <w:p w:rsidR="00E2705A" w:rsidRPr="00E2705A" w:rsidRDefault="00E2705A" w:rsidP="00A92D87">
            <w:pPr>
              <w:jc w:val="center"/>
            </w:pPr>
            <w:r w:rsidRPr="00E2705A">
              <w:t>4 x 100000 Hbts</w:t>
            </w:r>
          </w:p>
        </w:tc>
        <w:tc>
          <w:tcPr>
            <w:tcW w:w="1766" w:type="dxa"/>
          </w:tcPr>
          <w:p w:rsidR="00E2705A" w:rsidRPr="00E2705A" w:rsidRDefault="00E2705A" w:rsidP="00A92D87">
            <w:pPr>
              <w:jc w:val="center"/>
            </w:pPr>
          </w:p>
          <w:p w:rsidR="00E2705A" w:rsidRPr="00E2705A" w:rsidRDefault="00E2705A" w:rsidP="00A92D87">
            <w:pPr>
              <w:jc w:val="center"/>
            </w:pPr>
            <w:r w:rsidRPr="00E2705A">
              <w:t>9 x 100000 Hbts</w:t>
            </w:r>
          </w:p>
        </w:tc>
        <w:tc>
          <w:tcPr>
            <w:tcW w:w="1766" w:type="dxa"/>
          </w:tcPr>
          <w:p w:rsidR="00E2705A" w:rsidRPr="00E2705A" w:rsidRDefault="00E2705A" w:rsidP="00A92D87">
            <w:pPr>
              <w:jc w:val="center"/>
            </w:pPr>
          </w:p>
          <w:p w:rsidR="00E2705A" w:rsidRPr="00E2705A" w:rsidRDefault="00E2705A" w:rsidP="00A92D87">
            <w:pPr>
              <w:jc w:val="center"/>
            </w:pPr>
            <w:r w:rsidRPr="00E2705A">
              <w:t>6 x 100000 Hbts</w:t>
            </w:r>
          </w:p>
        </w:tc>
      </w:tr>
      <w:tr w:rsidR="00E2705A" w:rsidRPr="00E2705A" w:rsidTr="00000F81">
        <w:tc>
          <w:tcPr>
            <w:tcW w:w="9259" w:type="dxa"/>
            <w:gridSpan w:val="5"/>
          </w:tcPr>
          <w:p w:rsidR="00E2705A" w:rsidRPr="00E2705A" w:rsidRDefault="00E2705A" w:rsidP="00A92D87">
            <w:pPr>
              <w:rPr>
                <w:b/>
              </w:rPr>
            </w:pPr>
            <w:r w:rsidRPr="00E2705A">
              <w:rPr>
                <w:b/>
              </w:rPr>
              <w:t>Fuente y año:  OBSERVATORIO DEL DELITO</w:t>
            </w:r>
          </w:p>
        </w:tc>
      </w:tr>
    </w:tbl>
    <w:p w:rsidR="00064BA9" w:rsidRDefault="00064BA9" w:rsidP="00A92D87">
      <w:pPr>
        <w:spacing w:line="240" w:lineRule="auto"/>
      </w:pPr>
    </w:p>
    <w:p w:rsidR="00064BA9" w:rsidRDefault="00064BA9">
      <w:r>
        <w:br w:type="page"/>
      </w:r>
    </w:p>
    <w:p w:rsidR="00E2705A" w:rsidRPr="00E2705A" w:rsidRDefault="00E2705A" w:rsidP="00A92D87">
      <w:pPr>
        <w:spacing w:line="240" w:lineRule="auto"/>
      </w:pPr>
    </w:p>
    <w:p w:rsidR="00E2705A" w:rsidRPr="00E2705A" w:rsidRDefault="00E2705A" w:rsidP="00A92D87">
      <w:pPr>
        <w:spacing w:line="240" w:lineRule="auto"/>
        <w:rPr>
          <w:b/>
        </w:rPr>
      </w:pPr>
      <w:r w:rsidRPr="00E2705A">
        <w:rPr>
          <w:b/>
        </w:rPr>
        <w:t xml:space="preserve">Gráfico: </w:t>
      </w:r>
    </w:p>
    <w:p w:rsidR="00E2705A" w:rsidRPr="00E2705A" w:rsidRDefault="00E2705A" w:rsidP="00A92D87">
      <w:pPr>
        <w:spacing w:line="240" w:lineRule="auto"/>
        <w:rPr>
          <w:b/>
        </w:rPr>
      </w:pPr>
      <w:r w:rsidRPr="00E2705A">
        <w:rPr>
          <w:noProof/>
          <w:lang w:val="es-ES" w:eastAsia="es-ES"/>
        </w:rPr>
        <w:drawing>
          <wp:inline distT="0" distB="0" distL="0" distR="0">
            <wp:extent cx="5619750" cy="230505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2705A" w:rsidRPr="00E2705A" w:rsidRDefault="00E2705A" w:rsidP="00A92D87">
      <w:pPr>
        <w:spacing w:line="240" w:lineRule="auto"/>
        <w:rPr>
          <w:b/>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Situación detectada: </w:t>
      </w:r>
    </w:p>
    <w:p w:rsidR="00E2705A" w:rsidRPr="00E2705A" w:rsidRDefault="00E2705A" w:rsidP="00A92D87">
      <w:pPr>
        <w:spacing w:after="0" w:line="240" w:lineRule="auto"/>
        <w:ind w:left="360"/>
        <w:contextualSpacing/>
        <w:jc w:val="both"/>
        <w:rPr>
          <w:rFonts w:eastAsia="Times New Roman" w:cs="Times New Roman"/>
          <w:b/>
          <w:lang w:eastAsia="es-CO"/>
        </w:rPr>
      </w:pPr>
    </w:p>
    <w:tbl>
      <w:tblPr>
        <w:tblW w:w="5091" w:type="pct"/>
        <w:tblCellMar>
          <w:left w:w="70" w:type="dxa"/>
          <w:right w:w="70" w:type="dxa"/>
        </w:tblCellMar>
        <w:tblLook w:val="04A0"/>
      </w:tblPr>
      <w:tblGrid>
        <w:gridCol w:w="3341"/>
        <w:gridCol w:w="811"/>
        <w:gridCol w:w="762"/>
        <w:gridCol w:w="647"/>
        <w:gridCol w:w="762"/>
        <w:gridCol w:w="647"/>
        <w:gridCol w:w="762"/>
        <w:gridCol w:w="647"/>
        <w:gridCol w:w="762"/>
      </w:tblGrid>
      <w:tr w:rsidR="00E2705A" w:rsidRPr="00E2705A" w:rsidTr="00000F81">
        <w:trPr>
          <w:trHeight w:val="300"/>
        </w:trPr>
        <w:tc>
          <w:tcPr>
            <w:tcW w:w="18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rPr>
                <w:rFonts w:eastAsia="Times New Roman" w:cs="Arial"/>
                <w:b/>
                <w:lang w:eastAsia="es-CO"/>
              </w:rPr>
            </w:pPr>
            <w:r w:rsidRPr="00E2705A">
              <w:rPr>
                <w:rFonts w:eastAsia="Times New Roman" w:cs="Arial"/>
                <w:b/>
                <w:lang w:eastAsia="es-CO"/>
              </w:rPr>
              <w:t>LESION FATAL</w:t>
            </w:r>
          </w:p>
        </w:tc>
        <w:tc>
          <w:tcPr>
            <w:tcW w:w="44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2011</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TASA</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2012</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TASA</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2013</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TASA</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2014</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TASA</w:t>
            </w:r>
          </w:p>
        </w:tc>
      </w:tr>
      <w:tr w:rsidR="00E2705A" w:rsidRPr="00E2705A" w:rsidTr="00000F81">
        <w:trPr>
          <w:trHeight w:val="300"/>
        </w:trPr>
        <w:tc>
          <w:tcPr>
            <w:tcW w:w="18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Otras Muertes No Intencionales</w:t>
            </w:r>
          </w:p>
        </w:tc>
        <w:tc>
          <w:tcPr>
            <w:tcW w:w="44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8</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6</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5</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11</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9</w:t>
            </w:r>
          </w:p>
        </w:tc>
        <w:tc>
          <w:tcPr>
            <w:tcW w:w="354"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8</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6</w:t>
            </w:r>
          </w:p>
        </w:tc>
      </w:tr>
    </w:tbl>
    <w:p w:rsidR="00E2705A" w:rsidRPr="00E2705A" w:rsidRDefault="00E2705A" w:rsidP="00A92D87">
      <w:pPr>
        <w:spacing w:line="240" w:lineRule="auto"/>
        <w:ind w:left="360"/>
        <w:jc w:val="both"/>
      </w:pPr>
      <w:r w:rsidRPr="00E2705A">
        <w:t xml:space="preserve">El 63% de los casos presentados de otras muertes no intencionales son hombres, el mecanismo de este tipo de muertes es la asfixia con </w:t>
      </w:r>
      <w:r w:rsidR="007E5119" w:rsidRPr="00E2705A">
        <w:t>los 56%, ocurridas</w:t>
      </w:r>
      <w:r w:rsidRPr="00E2705A">
        <w:t xml:space="preserve"> principalmente en la casa. </w:t>
      </w: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E2705A" w:rsidRPr="00E2705A" w:rsidRDefault="00E2705A" w:rsidP="00A92D87">
      <w:pPr>
        <w:spacing w:after="0" w:line="240" w:lineRule="auto"/>
        <w:ind w:left="1080"/>
        <w:contextualSpacing/>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spacing w:line="240" w:lineRule="auto"/>
        <w:ind w:left="360"/>
        <w:jc w:val="both"/>
        <w:rPr>
          <w:b/>
        </w:rPr>
      </w:pPr>
      <w:r w:rsidRPr="00E2705A">
        <w:t>Desde la Secretaria de salud, se viene trabajando en acciones como IAMI, técnicas de lactancia dirigida a madres lactantes, los decretos de prohibición en expendio, distribución y consumo de pólvora y lo de riesgo en el ambiente laboral, por parte de la Secretaria de Gobierno en lo del Decreto 0240 del CECON, donde son medidas de conducción a personas en alto grado de alicoramiento y exaltación; el Decreto 0400, donde se protege a los menores que están en la vía publica después de las 10 de la noche.</w:t>
      </w: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Productos: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lastRenderedPageBreak/>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En </w:t>
      </w:r>
      <w:r w:rsidR="007E5119" w:rsidRPr="00E2705A">
        <w:rPr>
          <w:rFonts w:eastAsia="Times New Roman" w:cs="Times New Roman"/>
          <w:lang w:eastAsia="es-CO"/>
        </w:rPr>
        <w:t>término</w:t>
      </w:r>
      <w:r w:rsidRPr="00E2705A">
        <w:rPr>
          <w:rFonts w:eastAsia="Times New Roman" w:cs="Times New Roman"/>
          <w:lang w:eastAsia="es-CO"/>
        </w:rPr>
        <w:t xml:space="preserve"> de otras muertes no intencionales en menores de 17 años se presenta una disminución de 3 puntos en la tasa para el año 2014.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Impacto: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720"/>
        <w:contextualSpacing/>
        <w:jc w:val="both"/>
        <w:rPr>
          <w:rFonts w:eastAsia="Times New Roman" w:cs="Times New Roman"/>
          <w:lang w:eastAsia="es-CO"/>
        </w:rPr>
      </w:pPr>
      <w:r w:rsidRPr="00E2705A">
        <w:rPr>
          <w:rFonts w:eastAsia="Times New Roman" w:cs="Times New Roman"/>
          <w:lang w:eastAsia="es-CO"/>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Permite una descripción más exacta del problema.</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Nos obliga a ser claros y exactos en materia de priorizar acciones preventivas y correctivas.</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Permite identificar factores de riesgo.</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Nos permite tomar decisiones en base a la evidencia.</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La Secretaria de Salud, a través de la dimensión en salud y ámbito laboral, conjuntamente con el Instituto Colombiano de Bienestar Familiar, </w:t>
      </w:r>
      <w:r w:rsidR="007E5119" w:rsidRPr="00E2705A">
        <w:rPr>
          <w:rFonts w:eastAsia="Times New Roman" w:cs="Times New Roman"/>
          <w:lang w:eastAsia="es-CO"/>
        </w:rPr>
        <w:t>está</w:t>
      </w:r>
      <w:r w:rsidRPr="00E2705A">
        <w:rPr>
          <w:rFonts w:eastAsia="Times New Roman" w:cs="Times New Roman"/>
          <w:lang w:eastAsia="es-CO"/>
        </w:rPr>
        <w:t xml:space="preserve"> focalizando a los niños, niñas y adolescentes que están trabajando y por medio de las EPS asegurar la promoción y prevención y la protección de derechos a estos menores.</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b/>
          <w:lang w:eastAsia="es-CO"/>
        </w:rPr>
      </w:pPr>
      <w:r w:rsidRPr="00E2705A">
        <w:rPr>
          <w:rFonts w:eastAsia="Times New Roman" w:cs="Times New Roman"/>
          <w:b/>
          <w:lang w:eastAsia="es-CO"/>
        </w:rPr>
        <w:t xml:space="preserve"> Prioridades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Es importante no descuidar las bronco </w:t>
      </w:r>
      <w:r w:rsidR="007E5119" w:rsidRPr="00E2705A">
        <w:rPr>
          <w:rFonts w:eastAsia="Times New Roman" w:cs="Times New Roman"/>
          <w:lang w:eastAsia="es-CO"/>
        </w:rPr>
        <w:t>aspiraciones en</w:t>
      </w:r>
      <w:r w:rsidRPr="00E2705A">
        <w:rPr>
          <w:rFonts w:eastAsia="Times New Roman" w:cs="Times New Roman"/>
          <w:lang w:eastAsia="es-CO"/>
        </w:rPr>
        <w:t xml:space="preserve"> menores, esto por malas técnicas de alimentación.</w:t>
      </w:r>
    </w:p>
    <w:p w:rsidR="00E2705A" w:rsidRPr="00E2705A" w:rsidRDefault="00E2705A" w:rsidP="00A92D87">
      <w:pPr>
        <w:spacing w:after="0" w:line="240" w:lineRule="auto"/>
        <w:ind w:left="360"/>
        <w:contextualSpacing/>
        <w:jc w:val="both"/>
        <w:rPr>
          <w:rFonts w:eastAsia="Times New Roman" w:cs="Times New Roman"/>
          <w:b/>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Tomar la información de Observatorio del Delito como herramienta fundamental al momento de implementar planes y/o acciones dentro del Municipio.</w:t>
      </w: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E2705A">
        <w:rPr>
          <w:b/>
          <w:i/>
          <w:iCs/>
        </w:rPr>
        <w:t>DESCRIPCIÓN DEL INDICADOR No. 76</w:t>
      </w:r>
    </w:p>
    <w:tbl>
      <w:tblPr>
        <w:tblStyle w:val="Tabladecuadrcula2-nfasis516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Nombre del indicador: Tasa de muertes por accidentes de tránsito en niños, niñas y adolescentes</w:t>
            </w:r>
          </w:p>
        </w:tc>
      </w:tr>
      <w:tr w:rsidR="00E2705A" w:rsidRPr="00E2705A" w:rsidTr="00000F81">
        <w:trPr>
          <w:trHeight w:val="332"/>
          <w:jc w:val="center"/>
        </w:trPr>
        <w:tc>
          <w:tcPr>
            <w:cnfStyle w:val="001000000000"/>
            <w:tcW w:w="8828" w:type="dxa"/>
          </w:tcPr>
          <w:p w:rsidR="00E2705A" w:rsidRPr="00E2705A" w:rsidRDefault="00E2705A" w:rsidP="00A92D87">
            <w:r w:rsidRPr="00E2705A">
              <w:lastRenderedPageBreak/>
              <w:t xml:space="preserve">Fuente Nacional: </w:t>
            </w:r>
          </w:p>
          <w:p w:rsidR="00E2705A" w:rsidRPr="00E2705A" w:rsidRDefault="00E2705A" w:rsidP="00A92D87">
            <w:r w:rsidRPr="00E2705A">
              <w:t>Otra Fuente: OBSERVATORIO DEL DELITO MUNICIPIO DE PASTO</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 xml:space="preserve">Categoría de derechos: </w:t>
            </w:r>
          </w:p>
        </w:tc>
      </w:tr>
      <w:tr w:rsidR="00E2705A" w:rsidRPr="00E2705A" w:rsidTr="00000F81">
        <w:trPr>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ind w:left="1080"/>
        <w:contextualSpacing/>
        <w:rPr>
          <w:rFonts w:eastAsia="Times New Roman" w:cs="Times New Roman"/>
          <w:b/>
          <w:lang w:eastAsia="es-CO"/>
        </w:rPr>
      </w:pPr>
    </w:p>
    <w:tbl>
      <w:tblPr>
        <w:tblStyle w:val="Tablaconcuadrcula62"/>
        <w:tblW w:w="0" w:type="auto"/>
        <w:tblInd w:w="-431" w:type="dxa"/>
        <w:tblLook w:val="04A0"/>
      </w:tblPr>
      <w:tblGrid>
        <w:gridCol w:w="2196"/>
        <w:gridCol w:w="1765"/>
        <w:gridCol w:w="1766"/>
        <w:gridCol w:w="1766"/>
        <w:gridCol w:w="1766"/>
      </w:tblGrid>
      <w:tr w:rsidR="00E2705A" w:rsidRPr="00E2705A" w:rsidTr="00000F81">
        <w:tc>
          <w:tcPr>
            <w:tcW w:w="2196" w:type="dxa"/>
          </w:tcPr>
          <w:p w:rsidR="00E2705A" w:rsidRPr="00E2705A" w:rsidRDefault="00E2705A" w:rsidP="00A92D87">
            <w:pPr>
              <w:jc w:val="center"/>
              <w:rPr>
                <w:b/>
              </w:rPr>
            </w:pPr>
            <w:r w:rsidRPr="00E2705A">
              <w:rPr>
                <w:b/>
              </w:rPr>
              <w:t>Indicador</w:t>
            </w:r>
          </w:p>
        </w:tc>
        <w:tc>
          <w:tcPr>
            <w:tcW w:w="1765" w:type="dxa"/>
          </w:tcPr>
          <w:p w:rsidR="00E2705A" w:rsidRPr="00E2705A" w:rsidRDefault="00E2705A" w:rsidP="00A92D87">
            <w:pPr>
              <w:jc w:val="center"/>
              <w:rPr>
                <w:b/>
              </w:rPr>
            </w:pPr>
            <w:r w:rsidRPr="00E2705A">
              <w:rPr>
                <w:b/>
              </w:rPr>
              <w:t>2011</w:t>
            </w:r>
          </w:p>
        </w:tc>
        <w:tc>
          <w:tcPr>
            <w:tcW w:w="1766" w:type="dxa"/>
          </w:tcPr>
          <w:p w:rsidR="00E2705A" w:rsidRPr="00E2705A" w:rsidRDefault="00E2705A" w:rsidP="00A92D87">
            <w:pPr>
              <w:jc w:val="center"/>
              <w:rPr>
                <w:b/>
              </w:rPr>
            </w:pPr>
            <w:r w:rsidRPr="00E2705A">
              <w:rPr>
                <w:b/>
              </w:rPr>
              <w:t>2012</w:t>
            </w:r>
          </w:p>
        </w:tc>
        <w:tc>
          <w:tcPr>
            <w:tcW w:w="1766" w:type="dxa"/>
          </w:tcPr>
          <w:p w:rsidR="00E2705A" w:rsidRPr="00E2705A" w:rsidRDefault="00E2705A" w:rsidP="00A92D87">
            <w:pPr>
              <w:jc w:val="center"/>
              <w:rPr>
                <w:b/>
              </w:rPr>
            </w:pPr>
            <w:r w:rsidRPr="00E2705A">
              <w:rPr>
                <w:b/>
              </w:rPr>
              <w:t>2013</w:t>
            </w:r>
          </w:p>
        </w:tc>
        <w:tc>
          <w:tcPr>
            <w:tcW w:w="1766" w:type="dxa"/>
          </w:tcPr>
          <w:p w:rsidR="00E2705A" w:rsidRPr="00E2705A" w:rsidRDefault="00E2705A" w:rsidP="00A92D87">
            <w:pPr>
              <w:jc w:val="center"/>
              <w:rPr>
                <w:b/>
              </w:rPr>
            </w:pPr>
            <w:r w:rsidRPr="00E2705A">
              <w:rPr>
                <w:b/>
              </w:rPr>
              <w:t>2014</w:t>
            </w:r>
          </w:p>
        </w:tc>
      </w:tr>
      <w:tr w:rsidR="00E2705A" w:rsidRPr="00E2705A" w:rsidTr="00000F81">
        <w:tc>
          <w:tcPr>
            <w:tcW w:w="2196" w:type="dxa"/>
          </w:tcPr>
          <w:p w:rsidR="00E2705A" w:rsidRPr="00E2705A" w:rsidRDefault="00E2705A" w:rsidP="00A92D87">
            <w:r w:rsidRPr="00E2705A">
              <w:t>Tasa de muertes por accidentes de tránsito en niños, niñas y adolescentes</w:t>
            </w:r>
          </w:p>
        </w:tc>
        <w:tc>
          <w:tcPr>
            <w:tcW w:w="1765" w:type="dxa"/>
          </w:tcPr>
          <w:p w:rsidR="00E2705A" w:rsidRPr="00E2705A" w:rsidRDefault="00E2705A" w:rsidP="00A92D87">
            <w:pPr>
              <w:jc w:val="center"/>
            </w:pPr>
          </w:p>
          <w:p w:rsidR="00E2705A" w:rsidRPr="00E2705A" w:rsidRDefault="00E2705A" w:rsidP="00A92D87">
            <w:pPr>
              <w:jc w:val="center"/>
            </w:pPr>
            <w:r w:rsidRPr="00E2705A">
              <w:t>2 x 100000 Hbts</w:t>
            </w:r>
          </w:p>
        </w:tc>
        <w:tc>
          <w:tcPr>
            <w:tcW w:w="1766" w:type="dxa"/>
          </w:tcPr>
          <w:p w:rsidR="00E2705A" w:rsidRPr="00E2705A" w:rsidRDefault="00E2705A" w:rsidP="00A92D87">
            <w:pPr>
              <w:jc w:val="center"/>
            </w:pPr>
          </w:p>
          <w:p w:rsidR="00E2705A" w:rsidRPr="00E2705A" w:rsidRDefault="00E2705A" w:rsidP="00A92D87">
            <w:pPr>
              <w:jc w:val="center"/>
            </w:pPr>
            <w:r w:rsidRPr="00E2705A">
              <w:t>5 x 100000 Hbts</w:t>
            </w:r>
          </w:p>
        </w:tc>
        <w:tc>
          <w:tcPr>
            <w:tcW w:w="1766" w:type="dxa"/>
          </w:tcPr>
          <w:p w:rsidR="00E2705A" w:rsidRPr="00E2705A" w:rsidRDefault="00E2705A" w:rsidP="00A92D87">
            <w:pPr>
              <w:jc w:val="center"/>
            </w:pPr>
          </w:p>
          <w:p w:rsidR="00E2705A" w:rsidRPr="00E2705A" w:rsidRDefault="00E2705A" w:rsidP="00A92D87">
            <w:pPr>
              <w:jc w:val="center"/>
            </w:pPr>
            <w:r w:rsidRPr="00E2705A">
              <w:t>4 x 100000 Hbts</w:t>
            </w:r>
          </w:p>
        </w:tc>
        <w:tc>
          <w:tcPr>
            <w:tcW w:w="1766" w:type="dxa"/>
          </w:tcPr>
          <w:p w:rsidR="00E2705A" w:rsidRPr="00E2705A" w:rsidRDefault="00E2705A" w:rsidP="00A92D87">
            <w:pPr>
              <w:jc w:val="center"/>
            </w:pPr>
          </w:p>
          <w:p w:rsidR="00E2705A" w:rsidRPr="00E2705A" w:rsidRDefault="00E2705A" w:rsidP="00A92D87">
            <w:pPr>
              <w:jc w:val="center"/>
            </w:pPr>
            <w:r w:rsidRPr="00E2705A">
              <w:t>2 x 100000 Hbts</w:t>
            </w:r>
          </w:p>
        </w:tc>
      </w:tr>
      <w:tr w:rsidR="00E2705A" w:rsidRPr="00E2705A" w:rsidTr="00000F81">
        <w:tc>
          <w:tcPr>
            <w:tcW w:w="9259" w:type="dxa"/>
            <w:gridSpan w:val="5"/>
          </w:tcPr>
          <w:p w:rsidR="00E2705A" w:rsidRPr="00E2705A" w:rsidRDefault="00E2705A" w:rsidP="00A92D87">
            <w:pPr>
              <w:rPr>
                <w:b/>
              </w:rPr>
            </w:pPr>
            <w:r w:rsidRPr="00E2705A">
              <w:rPr>
                <w:b/>
              </w:rPr>
              <w:t>Fuente y año:  OBSERVATORIO DEL DELITO</w:t>
            </w:r>
          </w:p>
        </w:tc>
      </w:tr>
    </w:tbl>
    <w:p w:rsidR="00E2705A" w:rsidRPr="00E2705A" w:rsidRDefault="00E2705A" w:rsidP="00A92D87">
      <w:pPr>
        <w:spacing w:line="240" w:lineRule="auto"/>
      </w:pPr>
    </w:p>
    <w:p w:rsidR="00E2705A" w:rsidRPr="00E2705A" w:rsidRDefault="00E2705A" w:rsidP="00A92D87">
      <w:pPr>
        <w:spacing w:line="240" w:lineRule="auto"/>
        <w:rPr>
          <w:b/>
        </w:rPr>
      </w:pPr>
      <w:r w:rsidRPr="00E2705A">
        <w:rPr>
          <w:b/>
        </w:rPr>
        <w:t xml:space="preserve">Gráfico: </w:t>
      </w:r>
    </w:p>
    <w:p w:rsidR="00E2705A" w:rsidRPr="00E2705A" w:rsidRDefault="00E2705A" w:rsidP="00A92D87">
      <w:pPr>
        <w:spacing w:line="240" w:lineRule="auto"/>
        <w:rPr>
          <w:b/>
        </w:rPr>
      </w:pPr>
      <w:r w:rsidRPr="00E2705A">
        <w:rPr>
          <w:noProof/>
          <w:lang w:val="es-ES" w:eastAsia="es-ES"/>
        </w:rPr>
        <w:drawing>
          <wp:inline distT="0" distB="0" distL="0" distR="0">
            <wp:extent cx="5524500" cy="21336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2705A" w:rsidRPr="00E2705A" w:rsidRDefault="00E2705A" w:rsidP="00A92D87">
      <w:pPr>
        <w:spacing w:line="240" w:lineRule="auto"/>
        <w:rPr>
          <w:b/>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Situación detectada: </w:t>
      </w:r>
    </w:p>
    <w:p w:rsidR="00E2705A" w:rsidRPr="00E2705A" w:rsidRDefault="00E2705A" w:rsidP="00A92D87">
      <w:pPr>
        <w:spacing w:after="0" w:line="240" w:lineRule="auto"/>
        <w:ind w:left="360"/>
        <w:contextualSpacing/>
        <w:jc w:val="both"/>
        <w:rPr>
          <w:rFonts w:eastAsia="Times New Roman" w:cs="Times New Roman"/>
          <w:b/>
          <w:lang w:eastAsia="es-CO"/>
        </w:rPr>
      </w:pPr>
    </w:p>
    <w:tbl>
      <w:tblPr>
        <w:tblW w:w="5317" w:type="pct"/>
        <w:tblCellMar>
          <w:left w:w="70" w:type="dxa"/>
          <w:right w:w="70" w:type="dxa"/>
        </w:tblCellMar>
        <w:tblLook w:val="04A0"/>
      </w:tblPr>
      <w:tblGrid>
        <w:gridCol w:w="3575"/>
        <w:gridCol w:w="685"/>
        <w:gridCol w:w="808"/>
        <w:gridCol w:w="685"/>
        <w:gridCol w:w="808"/>
        <w:gridCol w:w="685"/>
        <w:gridCol w:w="808"/>
        <w:gridCol w:w="685"/>
        <w:gridCol w:w="808"/>
      </w:tblGrid>
      <w:tr w:rsidR="00E2705A" w:rsidRPr="00E2705A" w:rsidTr="00000F81">
        <w:trPr>
          <w:trHeight w:val="300"/>
        </w:trPr>
        <w:tc>
          <w:tcPr>
            <w:tcW w:w="18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rPr>
                <w:rFonts w:eastAsia="Times New Roman" w:cs="Arial"/>
                <w:b/>
                <w:lang w:eastAsia="es-CO"/>
              </w:rPr>
            </w:pPr>
            <w:r w:rsidRPr="00E2705A">
              <w:rPr>
                <w:rFonts w:eastAsia="Times New Roman" w:cs="Arial"/>
                <w:b/>
                <w:lang w:eastAsia="es-CO"/>
              </w:rPr>
              <w:t>LESION FATAL</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2011</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TASA</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2012</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TASA</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2013</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TASA</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2014</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after="0" w:line="240" w:lineRule="auto"/>
              <w:jc w:val="center"/>
              <w:rPr>
                <w:rFonts w:eastAsia="Times New Roman" w:cs="Arial"/>
                <w:b/>
                <w:lang w:eastAsia="es-CO"/>
              </w:rPr>
            </w:pPr>
            <w:r w:rsidRPr="00E2705A">
              <w:rPr>
                <w:rFonts w:eastAsia="Times New Roman" w:cs="Arial"/>
                <w:b/>
                <w:lang w:eastAsia="es-CO"/>
              </w:rPr>
              <w:t>TASA</w:t>
            </w:r>
          </w:p>
        </w:tc>
      </w:tr>
      <w:tr w:rsidR="00E2705A" w:rsidRPr="00E2705A" w:rsidTr="00000F81">
        <w:trPr>
          <w:trHeight w:val="281"/>
        </w:trPr>
        <w:tc>
          <w:tcPr>
            <w:tcW w:w="187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2705A" w:rsidRPr="00E2705A" w:rsidRDefault="00E2705A" w:rsidP="00A92D87">
            <w:pPr>
              <w:spacing w:line="240" w:lineRule="auto"/>
              <w:rPr>
                <w:rFonts w:cs="Arial"/>
              </w:rPr>
            </w:pPr>
            <w:r w:rsidRPr="00E2705A">
              <w:rPr>
                <w:rFonts w:cs="Arial"/>
              </w:rPr>
              <w:t>TRANSITO</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line="240" w:lineRule="auto"/>
              <w:jc w:val="center"/>
              <w:rPr>
                <w:rFonts w:cs="Arial"/>
              </w:rPr>
            </w:pPr>
            <w:r w:rsidRPr="00E2705A">
              <w:rPr>
                <w:rFonts w:cs="Arial"/>
              </w:rPr>
              <w:t>3</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line="240" w:lineRule="auto"/>
              <w:jc w:val="center"/>
              <w:rPr>
                <w:rFonts w:cs="Arial"/>
              </w:rPr>
            </w:pPr>
            <w:r w:rsidRPr="00E2705A">
              <w:rPr>
                <w:rFonts w:cs="Arial"/>
              </w:rPr>
              <w:t>2</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line="240" w:lineRule="auto"/>
              <w:jc w:val="center"/>
              <w:rPr>
                <w:rFonts w:cs="Arial"/>
              </w:rPr>
            </w:pPr>
            <w:r w:rsidRPr="00E2705A">
              <w:rPr>
                <w:rFonts w:cs="Arial"/>
              </w:rPr>
              <w:t>6</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line="240" w:lineRule="auto"/>
              <w:jc w:val="center"/>
              <w:rPr>
                <w:rFonts w:cs="Arial"/>
              </w:rPr>
            </w:pPr>
            <w:r w:rsidRPr="00E2705A">
              <w:rPr>
                <w:rFonts w:cs="Arial"/>
              </w:rPr>
              <w:t>5</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line="240" w:lineRule="auto"/>
              <w:jc w:val="center"/>
              <w:rPr>
                <w:rFonts w:cs="Arial"/>
              </w:rPr>
            </w:pPr>
            <w:r w:rsidRPr="00E2705A">
              <w:rPr>
                <w:rFonts w:cs="Arial"/>
              </w:rPr>
              <w:t>5</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line="240" w:lineRule="auto"/>
              <w:jc w:val="center"/>
              <w:rPr>
                <w:rFonts w:cs="Arial"/>
              </w:rPr>
            </w:pPr>
            <w:r w:rsidRPr="00E2705A">
              <w:rPr>
                <w:rFonts w:cs="Arial"/>
              </w:rPr>
              <w:t>4</w:t>
            </w:r>
          </w:p>
        </w:tc>
        <w:tc>
          <w:tcPr>
            <w:tcW w:w="359"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line="240" w:lineRule="auto"/>
              <w:jc w:val="center"/>
              <w:rPr>
                <w:rFonts w:cs="Arial"/>
              </w:rPr>
            </w:pPr>
            <w:r w:rsidRPr="00E2705A">
              <w:rPr>
                <w:rFonts w:cs="Arial"/>
              </w:rPr>
              <w:t>2</w:t>
            </w:r>
          </w:p>
        </w:tc>
        <w:tc>
          <w:tcPr>
            <w:tcW w:w="423" w:type="pct"/>
            <w:tcBorders>
              <w:top w:val="single" w:sz="4" w:space="0" w:color="auto"/>
              <w:left w:val="nil"/>
              <w:bottom w:val="single" w:sz="4" w:space="0" w:color="auto"/>
              <w:right w:val="single" w:sz="4" w:space="0" w:color="auto"/>
            </w:tcBorders>
            <w:shd w:val="clear" w:color="000000" w:fill="FFFFFF"/>
            <w:noWrap/>
            <w:vAlign w:val="bottom"/>
            <w:hideMark/>
          </w:tcPr>
          <w:p w:rsidR="00E2705A" w:rsidRPr="00E2705A" w:rsidRDefault="00E2705A" w:rsidP="00A92D87">
            <w:pPr>
              <w:spacing w:line="240" w:lineRule="auto"/>
              <w:jc w:val="center"/>
              <w:rPr>
                <w:rFonts w:cs="Arial"/>
              </w:rPr>
            </w:pPr>
            <w:r w:rsidRPr="00E2705A">
              <w:rPr>
                <w:rFonts w:cs="Arial"/>
              </w:rPr>
              <w:t>2</w:t>
            </w:r>
          </w:p>
        </w:tc>
      </w:tr>
    </w:tbl>
    <w:p w:rsidR="00E2705A" w:rsidRPr="00E2705A" w:rsidRDefault="00E2705A" w:rsidP="00A92D87">
      <w:pPr>
        <w:spacing w:line="240" w:lineRule="auto"/>
        <w:ind w:left="360"/>
        <w:jc w:val="both"/>
      </w:pPr>
    </w:p>
    <w:p w:rsidR="00064BA9" w:rsidRDefault="00E2705A" w:rsidP="00A92D87">
      <w:pPr>
        <w:spacing w:line="240" w:lineRule="auto"/>
        <w:ind w:left="360"/>
        <w:jc w:val="both"/>
      </w:pPr>
      <w:r w:rsidRPr="00E2705A">
        <w:t>El 76% de los casos presentados de muertes por accidentes de tránsito son hombres, en el 43% de las muertes están involucradas las motocicletas y el 36% son peatones, se presentan generalmente los fines de semana.</w:t>
      </w:r>
    </w:p>
    <w:p w:rsidR="00064BA9" w:rsidRDefault="00064BA9">
      <w:r>
        <w:br w:type="page"/>
      </w:r>
    </w:p>
    <w:p w:rsidR="00E2705A" w:rsidRPr="00E2705A" w:rsidRDefault="00E2705A" w:rsidP="00A92D87">
      <w:pPr>
        <w:spacing w:line="240" w:lineRule="auto"/>
        <w:ind w:left="360"/>
        <w:jc w:val="both"/>
      </w:pPr>
      <w:r w:rsidRPr="00E2705A">
        <w:lastRenderedPageBreak/>
        <w:t xml:space="preserve">  </w:t>
      </w:r>
    </w:p>
    <w:p w:rsidR="00E2705A" w:rsidRPr="00E2705A" w:rsidRDefault="00E2705A" w:rsidP="00A92D87">
      <w:pPr>
        <w:spacing w:line="240" w:lineRule="auto"/>
        <w:ind w:left="360"/>
        <w:jc w:val="both"/>
        <w:rPr>
          <w:b/>
        </w:rPr>
      </w:pPr>
      <w:r w:rsidRPr="00E2705A">
        <w:rPr>
          <w:b/>
        </w:rPr>
        <w:t xml:space="preserve">Insumos: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E2705A" w:rsidRPr="00E2705A" w:rsidRDefault="00E2705A" w:rsidP="00A92D87">
      <w:pPr>
        <w:spacing w:after="0" w:line="240" w:lineRule="auto"/>
        <w:ind w:left="1080"/>
        <w:contextualSpacing/>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spacing w:line="240" w:lineRule="auto"/>
        <w:ind w:left="360"/>
        <w:jc w:val="both"/>
        <w:rPr>
          <w:b/>
        </w:rPr>
      </w:pPr>
      <w:r w:rsidRPr="00E2705A">
        <w:t>Campañas de prevención y control por parte de la Secretaria de Tránsito y transporte y Policía de carreteras en la parte rural del Municipio.</w:t>
      </w: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Productos: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En </w:t>
      </w:r>
      <w:r w:rsidR="007E5119" w:rsidRPr="00E2705A">
        <w:rPr>
          <w:rFonts w:eastAsia="Times New Roman" w:cs="Times New Roman"/>
          <w:lang w:eastAsia="es-CO"/>
        </w:rPr>
        <w:t>término</w:t>
      </w:r>
      <w:r w:rsidRPr="00E2705A">
        <w:rPr>
          <w:rFonts w:eastAsia="Times New Roman" w:cs="Times New Roman"/>
          <w:lang w:eastAsia="es-CO"/>
        </w:rPr>
        <w:t xml:space="preserve"> de resultados en menores de 17 años el año 2014, es el que presenta mayor reducción tanto en el número de casos como en tasa por 100.000 habitantes.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 </w:t>
      </w: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Impacto: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720"/>
        <w:contextualSpacing/>
        <w:jc w:val="both"/>
        <w:rPr>
          <w:rFonts w:eastAsia="Times New Roman" w:cs="Times New Roman"/>
          <w:lang w:eastAsia="es-CO"/>
        </w:rPr>
      </w:pPr>
      <w:r w:rsidRPr="00E2705A">
        <w:rPr>
          <w:rFonts w:eastAsia="Times New Roman" w:cs="Times New Roman"/>
          <w:lang w:eastAsia="es-CO"/>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E2705A" w:rsidRPr="00E2705A" w:rsidRDefault="00E2705A" w:rsidP="00A92D87">
      <w:pPr>
        <w:spacing w:after="0" w:line="240" w:lineRule="auto"/>
        <w:ind w:left="720"/>
        <w:contextualSpacing/>
        <w:jc w:val="both"/>
        <w:rPr>
          <w:rFonts w:eastAsia="Times New Roman" w:cs="Times New Roman"/>
          <w:lang w:eastAsia="es-CO"/>
        </w:rPr>
      </w:pP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Permite una descripción más exacta del problema.</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Nos obliga a ser claros y exactos en materia de priorizar acciones preventivas y correctivas.</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Permite identificar factores de riesgo.</w:t>
      </w:r>
    </w:p>
    <w:p w:rsidR="00E2705A" w:rsidRPr="00E2705A" w:rsidRDefault="00E2705A" w:rsidP="00A92D87">
      <w:pPr>
        <w:numPr>
          <w:ilvl w:val="0"/>
          <w:numId w:val="16"/>
        </w:numPr>
        <w:spacing w:after="0" w:line="240" w:lineRule="auto"/>
        <w:contextualSpacing/>
        <w:rPr>
          <w:rFonts w:eastAsia="Times New Roman" w:cs="Times New Roman"/>
          <w:lang w:eastAsia="es-CO"/>
        </w:rPr>
      </w:pPr>
      <w:r w:rsidRPr="00E2705A">
        <w:rPr>
          <w:rFonts w:eastAsia="Times New Roman" w:cs="Times New Roman"/>
          <w:lang w:eastAsia="es-CO"/>
        </w:rPr>
        <w:t>Nos permite tomar decisiones en base a la evidencia.</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La secretaria de tránsito y transporte y la policía de tránsito vienen trabajando en campañas de prevención y control vial.</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lastRenderedPageBreak/>
        <w:t>Tener en cuenta los peatones y los motociclistas, ya que son los más afectados en este tipo de muertes.</w:t>
      </w:r>
    </w:p>
    <w:p w:rsidR="00E2705A" w:rsidRPr="00E2705A" w:rsidRDefault="00E2705A" w:rsidP="00A92D87">
      <w:pPr>
        <w:spacing w:after="0" w:line="240" w:lineRule="auto"/>
        <w:ind w:left="360"/>
        <w:contextualSpacing/>
        <w:jc w:val="both"/>
        <w:rPr>
          <w:rFonts w:eastAsia="Times New Roman" w:cs="Times New Roman"/>
          <w:b/>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Tomar la información de Observatorio del Delito como herramienta fundamental al momento de implementar planes y/o acciones dentro del Municipio.</w:t>
      </w:r>
    </w:p>
    <w:p w:rsidR="00064BA9" w:rsidRDefault="00064BA9" w:rsidP="0090015F">
      <w:pPr>
        <w:pStyle w:val="Ttulo2"/>
        <w:rPr>
          <w:rFonts w:asciiTheme="minorHAnsi" w:hAnsiTheme="minorHAnsi"/>
          <w:color w:val="auto"/>
          <w:sz w:val="22"/>
          <w:szCs w:val="22"/>
        </w:rPr>
      </w:pPr>
      <w:bookmarkStart w:id="118" w:name="_Toc437376063"/>
    </w:p>
    <w:p w:rsidR="00E2705A" w:rsidRPr="00064BA9" w:rsidRDefault="0090015F" w:rsidP="0090015F">
      <w:pPr>
        <w:pStyle w:val="Ttulo2"/>
        <w:rPr>
          <w:rFonts w:asciiTheme="minorHAnsi" w:hAnsiTheme="minorHAnsi"/>
          <w:color w:val="auto"/>
          <w:sz w:val="22"/>
          <w:szCs w:val="22"/>
        </w:rPr>
      </w:pPr>
      <w:r w:rsidRPr="00064BA9">
        <w:rPr>
          <w:rFonts w:asciiTheme="minorHAnsi" w:hAnsiTheme="minorHAnsi"/>
          <w:color w:val="auto"/>
          <w:sz w:val="22"/>
          <w:szCs w:val="22"/>
        </w:rPr>
        <w:t xml:space="preserve">6.3.2 </w:t>
      </w:r>
      <w:r w:rsidR="006E6C52" w:rsidRPr="00064BA9">
        <w:rPr>
          <w:rFonts w:asciiTheme="minorHAnsi" w:hAnsiTheme="minorHAnsi"/>
          <w:color w:val="auto"/>
          <w:sz w:val="22"/>
          <w:szCs w:val="22"/>
        </w:rPr>
        <w:t xml:space="preserve">CATEGORÍA </w:t>
      </w:r>
      <w:r w:rsidR="00E2705A" w:rsidRPr="00064BA9">
        <w:rPr>
          <w:rFonts w:asciiTheme="minorHAnsi" w:hAnsiTheme="minorHAnsi"/>
          <w:color w:val="auto"/>
          <w:sz w:val="22"/>
          <w:szCs w:val="22"/>
        </w:rPr>
        <w:t>DERECHO AL DESARROLLO</w:t>
      </w:r>
      <w:bookmarkEnd w:id="118"/>
    </w:p>
    <w:p w:rsidR="00E2705A" w:rsidRPr="00E2705A" w:rsidRDefault="00E2705A" w:rsidP="00A92D87">
      <w:pPr>
        <w:spacing w:line="240" w:lineRule="auto"/>
        <w:rPr>
          <w:b/>
        </w:rPr>
      </w:pP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E2705A">
        <w:rPr>
          <w:b/>
          <w:i/>
          <w:iCs/>
        </w:rPr>
        <w:t>DESCRIPCIÓN DEL INDICADOR No. 48</w:t>
      </w:r>
    </w:p>
    <w:tbl>
      <w:tblPr>
        <w:tblStyle w:val="Tabladecuadrcula2-nfasis51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 xml:space="preserve">MUNICIPIO: PASTO </w:t>
            </w:r>
          </w:p>
          <w:p w:rsidR="00E2705A" w:rsidRPr="00E2705A" w:rsidRDefault="00E2705A" w:rsidP="00A92D87">
            <w:r w:rsidRPr="00E2705A">
              <w:t>ALCALDIA DE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 xml:space="preserve">Nombre del indicador: </w:t>
            </w:r>
          </w:p>
          <w:p w:rsidR="00E2705A" w:rsidRPr="00E2705A" w:rsidRDefault="00E2705A" w:rsidP="00A92D87">
            <w:r w:rsidRPr="00E2705A">
              <w:t>Cobertura escolar neta para educación básica secundaria</w:t>
            </w:r>
          </w:p>
        </w:tc>
      </w:tr>
      <w:tr w:rsidR="00E2705A" w:rsidRPr="00E2705A" w:rsidTr="00000F81">
        <w:trPr>
          <w:trHeight w:val="332"/>
          <w:jc w:val="center"/>
        </w:trPr>
        <w:tc>
          <w:tcPr>
            <w:cnfStyle w:val="001000000000"/>
            <w:tcW w:w="8828" w:type="dxa"/>
          </w:tcPr>
          <w:p w:rsidR="00E2705A" w:rsidRPr="00E2705A" w:rsidRDefault="00E2705A" w:rsidP="00A92D87">
            <w:r w:rsidRPr="00E2705A">
              <w:t>Fuente Nacional: Ministerio de Educación Nacional - SIMAT</w:t>
            </w:r>
          </w:p>
          <w:p w:rsidR="00E2705A" w:rsidRPr="00E2705A" w:rsidRDefault="00E2705A" w:rsidP="00A92D87">
            <w:r w:rsidRPr="00E2705A">
              <w:t>Otra Fuente: DANE</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Derechos:  Derecho al Desarrollo</w:t>
            </w:r>
          </w:p>
        </w:tc>
      </w:tr>
      <w:tr w:rsidR="00E2705A" w:rsidRPr="00E2705A" w:rsidTr="00000F81">
        <w:trPr>
          <w:trHeight w:val="458"/>
          <w:jc w:val="center"/>
        </w:trPr>
        <w:tc>
          <w:tcPr>
            <w:cnfStyle w:val="001000000000"/>
            <w:tcW w:w="8828" w:type="dxa"/>
          </w:tcPr>
          <w:p w:rsidR="00E2705A" w:rsidRPr="00E2705A" w:rsidRDefault="00E2705A" w:rsidP="00A92D87">
            <w:r w:rsidRPr="00E2705A">
              <w:t>Temas relacionados: Educación</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A92D87">
      <w:pPr>
        <w:spacing w:line="240" w:lineRule="auto"/>
      </w:pP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ind w:left="1080"/>
        <w:contextualSpacing/>
        <w:rPr>
          <w:rFonts w:eastAsia="Times New Roman" w:cs="Times New Roman"/>
          <w:b/>
          <w:lang w:eastAsia="es-CO"/>
        </w:rPr>
      </w:pPr>
    </w:p>
    <w:tbl>
      <w:tblPr>
        <w:tblStyle w:val="Tablaconcuadrcula10"/>
        <w:tblW w:w="0" w:type="auto"/>
        <w:tblInd w:w="-431" w:type="dxa"/>
        <w:tblLook w:val="04A0"/>
      </w:tblPr>
      <w:tblGrid>
        <w:gridCol w:w="5813"/>
        <w:gridCol w:w="850"/>
        <w:gridCol w:w="851"/>
        <w:gridCol w:w="709"/>
        <w:gridCol w:w="1036"/>
      </w:tblGrid>
      <w:tr w:rsidR="00E2705A" w:rsidRPr="00E2705A" w:rsidTr="00000F81">
        <w:tc>
          <w:tcPr>
            <w:tcW w:w="5813" w:type="dxa"/>
          </w:tcPr>
          <w:p w:rsidR="00E2705A" w:rsidRPr="00E2705A" w:rsidRDefault="00E2705A" w:rsidP="00A92D87">
            <w:pPr>
              <w:jc w:val="center"/>
              <w:rPr>
                <w:b/>
              </w:rPr>
            </w:pPr>
            <w:r w:rsidRPr="00E2705A">
              <w:rPr>
                <w:b/>
              </w:rPr>
              <w:t>Indicador</w:t>
            </w:r>
          </w:p>
        </w:tc>
        <w:tc>
          <w:tcPr>
            <w:tcW w:w="850" w:type="dxa"/>
          </w:tcPr>
          <w:p w:rsidR="00E2705A" w:rsidRPr="00E2705A" w:rsidRDefault="00E2705A" w:rsidP="00A92D87">
            <w:pPr>
              <w:jc w:val="center"/>
              <w:rPr>
                <w:b/>
              </w:rPr>
            </w:pPr>
            <w:r w:rsidRPr="00E2705A">
              <w:rPr>
                <w:b/>
              </w:rPr>
              <w:t>2011</w:t>
            </w:r>
          </w:p>
        </w:tc>
        <w:tc>
          <w:tcPr>
            <w:tcW w:w="851" w:type="dxa"/>
          </w:tcPr>
          <w:p w:rsidR="00E2705A" w:rsidRPr="00E2705A" w:rsidRDefault="00E2705A" w:rsidP="00A92D87">
            <w:pPr>
              <w:jc w:val="center"/>
              <w:rPr>
                <w:b/>
              </w:rPr>
            </w:pPr>
            <w:r w:rsidRPr="00E2705A">
              <w:rPr>
                <w:b/>
              </w:rPr>
              <w:t>2012</w:t>
            </w:r>
          </w:p>
        </w:tc>
        <w:tc>
          <w:tcPr>
            <w:tcW w:w="709" w:type="dxa"/>
          </w:tcPr>
          <w:p w:rsidR="00E2705A" w:rsidRPr="00E2705A" w:rsidRDefault="00E2705A" w:rsidP="00A92D87">
            <w:pPr>
              <w:jc w:val="center"/>
              <w:rPr>
                <w:b/>
              </w:rPr>
            </w:pPr>
            <w:r w:rsidRPr="00E2705A">
              <w:rPr>
                <w:b/>
              </w:rPr>
              <w:t>2013</w:t>
            </w:r>
          </w:p>
        </w:tc>
        <w:tc>
          <w:tcPr>
            <w:tcW w:w="1036" w:type="dxa"/>
          </w:tcPr>
          <w:p w:rsidR="00E2705A" w:rsidRPr="00E2705A" w:rsidRDefault="00E2705A" w:rsidP="00A92D87">
            <w:pPr>
              <w:jc w:val="center"/>
              <w:rPr>
                <w:b/>
              </w:rPr>
            </w:pPr>
            <w:r w:rsidRPr="00E2705A">
              <w:rPr>
                <w:b/>
              </w:rPr>
              <w:t>2014</w:t>
            </w:r>
          </w:p>
        </w:tc>
      </w:tr>
      <w:tr w:rsidR="00E2705A" w:rsidRPr="00E2705A" w:rsidTr="00000F81">
        <w:tc>
          <w:tcPr>
            <w:tcW w:w="5813" w:type="dxa"/>
          </w:tcPr>
          <w:p w:rsidR="00E2705A" w:rsidRPr="00E2705A" w:rsidRDefault="00E2705A" w:rsidP="00A92D87">
            <w:r w:rsidRPr="00E2705A">
              <w:t>Cobertura escolar neta para educación básica secundaria</w:t>
            </w:r>
          </w:p>
          <w:p w:rsidR="00E2705A" w:rsidRPr="00E2705A" w:rsidRDefault="00E2705A" w:rsidP="00A92D87">
            <w:r w:rsidRPr="00E2705A">
              <w:t>11-14 Años</w:t>
            </w:r>
          </w:p>
        </w:tc>
        <w:tc>
          <w:tcPr>
            <w:tcW w:w="850" w:type="dxa"/>
          </w:tcPr>
          <w:p w:rsidR="00E2705A" w:rsidRPr="00E2705A" w:rsidRDefault="00E2705A" w:rsidP="00A92D87">
            <w:pPr>
              <w:jc w:val="center"/>
            </w:pPr>
            <w:r w:rsidRPr="00E2705A">
              <w:t>74%</w:t>
            </w:r>
          </w:p>
        </w:tc>
        <w:tc>
          <w:tcPr>
            <w:tcW w:w="851" w:type="dxa"/>
          </w:tcPr>
          <w:p w:rsidR="00E2705A" w:rsidRPr="00E2705A" w:rsidRDefault="00E2705A" w:rsidP="00A92D87">
            <w:pPr>
              <w:jc w:val="center"/>
            </w:pPr>
            <w:r w:rsidRPr="00E2705A">
              <w:t>73 %</w:t>
            </w:r>
          </w:p>
        </w:tc>
        <w:tc>
          <w:tcPr>
            <w:tcW w:w="709" w:type="dxa"/>
          </w:tcPr>
          <w:p w:rsidR="00E2705A" w:rsidRPr="00E2705A" w:rsidRDefault="00E2705A" w:rsidP="00A92D87">
            <w:pPr>
              <w:jc w:val="center"/>
            </w:pPr>
            <w:r w:rsidRPr="00E2705A">
              <w:t>73%</w:t>
            </w:r>
          </w:p>
        </w:tc>
        <w:tc>
          <w:tcPr>
            <w:tcW w:w="1036" w:type="dxa"/>
          </w:tcPr>
          <w:p w:rsidR="00E2705A" w:rsidRPr="00E2705A" w:rsidRDefault="00E2705A" w:rsidP="00A92D87">
            <w:pPr>
              <w:jc w:val="center"/>
            </w:pPr>
            <w:r w:rsidRPr="00E2705A">
              <w:t>73%</w:t>
            </w:r>
          </w:p>
        </w:tc>
      </w:tr>
      <w:tr w:rsidR="00E2705A" w:rsidRPr="00E2705A" w:rsidTr="00000F81">
        <w:tc>
          <w:tcPr>
            <w:tcW w:w="9259" w:type="dxa"/>
            <w:gridSpan w:val="5"/>
          </w:tcPr>
          <w:p w:rsidR="00E2705A" w:rsidRPr="00E2705A" w:rsidRDefault="00E2705A" w:rsidP="00A92D87">
            <w:pPr>
              <w:rPr>
                <w:b/>
              </w:rPr>
            </w:pPr>
            <w:r w:rsidRPr="00E2705A">
              <w:rPr>
                <w:b/>
              </w:rPr>
              <w:t xml:space="preserve">Fuente:  </w:t>
            </w:r>
            <w:r w:rsidRPr="00E2705A">
              <w:t xml:space="preserve">Ministerio de Educación Nacional – SIMAT - </w:t>
            </w:r>
            <w:r w:rsidRPr="00E2705A">
              <w:rPr>
                <w:b/>
              </w:rPr>
              <w:t>Pasto en Cifras 2011 -2014</w:t>
            </w:r>
          </w:p>
        </w:tc>
      </w:tr>
    </w:tbl>
    <w:p w:rsidR="00E2705A" w:rsidRPr="00E2705A" w:rsidRDefault="00E2705A" w:rsidP="00A92D87">
      <w:pPr>
        <w:spacing w:line="240" w:lineRule="auto"/>
        <w:rPr>
          <w:b/>
        </w:rPr>
      </w:pPr>
    </w:p>
    <w:p w:rsidR="00E2705A" w:rsidRPr="00E2705A" w:rsidRDefault="00E2705A" w:rsidP="00A92D87">
      <w:pPr>
        <w:spacing w:line="240" w:lineRule="auto"/>
        <w:rPr>
          <w:b/>
        </w:rPr>
      </w:pPr>
      <w:r w:rsidRPr="00E2705A">
        <w:rPr>
          <w:noProof/>
          <w:lang w:val="es-ES" w:eastAsia="es-ES"/>
        </w:rPr>
        <w:lastRenderedPageBreak/>
        <w:drawing>
          <wp:inline distT="0" distB="0" distL="0" distR="0">
            <wp:extent cx="5663821" cy="2007046"/>
            <wp:effectExtent l="0" t="0" r="13335" b="1270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lang w:eastAsia="es-CO"/>
        </w:rPr>
      </w:pPr>
      <w:r w:rsidRPr="00E2705A">
        <w:rPr>
          <w:rFonts w:eastAsia="Times New Roman" w:cs="Times New Roman"/>
          <w:b/>
          <w:lang w:eastAsia="es-CO"/>
        </w:rPr>
        <w:t xml:space="preserve">Situación detectada: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line="240" w:lineRule="auto"/>
        <w:jc w:val="both"/>
      </w:pPr>
      <w:r w:rsidRPr="00E2705A">
        <w:t>La fuente del cálculo se obtiene a partir de los estudiantes de grado de sexto a noveno con una edad de once a catorce años registrados en el Sistema Integrado de Matrícula – SIMAT, sobre la proyección DANE de la población entre once y catorce años correspondiente al Censo 2005.</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Se observa una leve tendencia decreciente debido a las políticas de planificación familiar efectivas e implementadas en el municipio de Pasto que han logrado una reducción en la tasa de natalidad.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line="240" w:lineRule="auto"/>
        <w:jc w:val="both"/>
      </w:pPr>
      <w:r w:rsidRPr="00E2705A">
        <w:t>Analizando el resultado del indicador en cuento a género no evidenciamos variaciones significativas en la cobertura entre hombres y mujeres adolescentes, ya que la participación de los estudiantes registrados en SIMAT con relación a la población se mantiene bajo los mismos porcentajes entre 72% al 74%.</w:t>
      </w:r>
    </w:p>
    <w:p w:rsidR="00E2705A" w:rsidRPr="00E2705A" w:rsidRDefault="00E2705A" w:rsidP="00A92D87">
      <w:pPr>
        <w:spacing w:line="240" w:lineRule="auto"/>
        <w:jc w:val="both"/>
      </w:pPr>
      <w:r w:rsidRPr="00E2705A">
        <w:t>Dada la política de inclusión según el Decreto 366 del 2009, se refleja un incremento en estudiantes de edades entre once y catorce años, matriculados en la básica secundaria con diversidad funcional en el sistema educativo del municipio de Pasto.</w:t>
      </w:r>
    </w:p>
    <w:p w:rsidR="00E2705A" w:rsidRPr="00E2705A" w:rsidRDefault="00E2705A" w:rsidP="00A92D87">
      <w:pPr>
        <w:spacing w:line="240" w:lineRule="auto"/>
        <w:jc w:val="both"/>
      </w:pPr>
      <w:r w:rsidRPr="00E2705A">
        <w:t>Dentro del análisis se puede determinar que el municipio de Pasto presenta un alto factor de riesgo por cuanto es un municipio receptor y expulsor de familias en situación de desplazamiento por motivos del conflicto armado.</w:t>
      </w: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line="240" w:lineRule="auto"/>
        <w:jc w:val="both"/>
      </w:pPr>
      <w:r w:rsidRPr="00E2705A">
        <w:t xml:space="preserve">El municipio de Pasto cuenta con 51 establecimientos educativos oficiales en los cuales se presta el servicio educativo en los grados de transición; localizados 26 en la zona rural garantizando el derecho a la educación a esta población.  </w:t>
      </w:r>
    </w:p>
    <w:p w:rsidR="00E2705A" w:rsidRPr="00E2705A" w:rsidRDefault="00E2705A" w:rsidP="00A92D87">
      <w:pPr>
        <w:spacing w:line="240" w:lineRule="auto"/>
        <w:jc w:val="both"/>
      </w:pPr>
      <w:r w:rsidRPr="00E2705A">
        <w:t>Con el objetivo de promover y mantener la matrícula en el nivel educativo de básica secundaria, la SEM Pasto ha desarrollado las siguientes inversiones:</w:t>
      </w:r>
    </w:p>
    <w:p w:rsidR="00E2705A" w:rsidRPr="00E2705A" w:rsidRDefault="00E2705A" w:rsidP="00A92D87">
      <w:pPr>
        <w:spacing w:line="240" w:lineRule="auto"/>
        <w:jc w:val="both"/>
      </w:pPr>
      <w:r w:rsidRPr="00E2705A">
        <w:t xml:space="preserve">La entidad Territorial garantiza el servicio de restaurante escolar al 100% en el sector rural de este grupo, mientras tanto en el sector urbano la cobertura se efectúa hasta el grado séptimo, </w:t>
      </w:r>
      <w:r w:rsidRPr="00E2705A">
        <w:lastRenderedPageBreak/>
        <w:t xml:space="preserve">incluyendo los titulares de derecho (etnias, desplazados, discapacitados y población vulnerable) esto con recursos del SGP del Ministerio de Educación Nacional.   Mas sin embargo, con l ampliación de la estrategia con recursos canalizados a través del ente territorial se logra darle cobertura al 100% en el sector rural; de la misma forma el municipio aporta cerca del 80% en el servicio de transporte escolar en las zonas rurales y de difícil acceso. </w:t>
      </w:r>
    </w:p>
    <w:p w:rsidR="00E2705A" w:rsidRPr="00E2705A" w:rsidRDefault="00E2705A" w:rsidP="00A92D87">
      <w:pPr>
        <w:spacing w:line="240" w:lineRule="auto"/>
        <w:jc w:val="both"/>
      </w:pPr>
      <w:r w:rsidRPr="00E2705A">
        <w:t>Con respecto a insumos para mejorar la calidad educativa de este grupo de estudiantes, la entidad territorial desarrolla programas de dotación de bibliotecas escolares como fortalecimiento del plan nacional de lectura y escritura.</w:t>
      </w:r>
    </w:p>
    <w:p w:rsidR="00E2705A" w:rsidRPr="00E2705A" w:rsidRDefault="00E2705A" w:rsidP="00A92D87">
      <w:pPr>
        <w:spacing w:line="240" w:lineRule="auto"/>
        <w:jc w:val="both"/>
      </w:pPr>
      <w:r w:rsidRPr="00E2705A">
        <w:t xml:space="preserve">En el proceso de planeación de la SEMPASTO, al comparar la oferta educativa con respecto a la demanda, determina una insuficiencia de infraestructura para poder garantizar el acceso y la permanencia de los estudiantes, dando como resultado la contratación tanto de administración del servicio educativo como la modalidad de prestación de servicio educativo.  </w:t>
      </w:r>
    </w:p>
    <w:p w:rsidR="00E2705A" w:rsidRPr="00E2705A" w:rsidRDefault="00E2705A" w:rsidP="00A92D87">
      <w:pPr>
        <w:spacing w:after="0" w:line="240" w:lineRule="auto"/>
        <w:ind w:left="1080"/>
        <w:contextualSpacing/>
        <w:rPr>
          <w:rFonts w:eastAsia="Times New Roman" w:cs="Times New Roman"/>
          <w:lang w:eastAsia="es-CO"/>
        </w:rPr>
      </w:pP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autoSpaceDE w:val="0"/>
        <w:autoSpaceDN w:val="0"/>
        <w:adjustRightInd w:val="0"/>
        <w:spacing w:after="0" w:line="240" w:lineRule="auto"/>
        <w:jc w:val="both"/>
      </w:pPr>
    </w:p>
    <w:p w:rsidR="00E2705A" w:rsidRPr="00E2705A" w:rsidRDefault="00E2705A" w:rsidP="00A92D87">
      <w:pPr>
        <w:autoSpaceDE w:val="0"/>
        <w:autoSpaceDN w:val="0"/>
        <w:adjustRightInd w:val="0"/>
        <w:spacing w:after="0" w:line="240" w:lineRule="auto"/>
        <w:jc w:val="both"/>
      </w:pPr>
      <w:r w:rsidRPr="00E2705A">
        <w:t>La SEMPASTO viene implementando los siguientes Programas y proyectos:</w:t>
      </w:r>
    </w:p>
    <w:p w:rsidR="00E2705A" w:rsidRPr="00E2705A" w:rsidRDefault="00E2705A" w:rsidP="00A92D87">
      <w:pPr>
        <w:autoSpaceDE w:val="0"/>
        <w:autoSpaceDN w:val="0"/>
        <w:adjustRightInd w:val="0"/>
        <w:spacing w:after="0" w:line="240" w:lineRule="auto"/>
        <w:jc w:val="both"/>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color w:val="000000"/>
          <w:lang w:eastAsia="es-CO"/>
        </w:rPr>
      </w:pPr>
      <w:r w:rsidRPr="00E2705A">
        <w:rPr>
          <w:rFonts w:eastAsia="Times New Roman" w:cs="GoudySansITCbyBT-Light"/>
          <w:color w:val="000000"/>
          <w:lang w:eastAsia="es-CO"/>
        </w:rPr>
        <w:t>FORTALECIMIENTO DE MODELOS FLEXIBLES – TELESENCUNDARIA, POS PRIMARIA</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color w:val="000000"/>
          <w:lang w:eastAsia="es-CO"/>
        </w:rPr>
      </w:pPr>
    </w:p>
    <w:p w:rsidR="00E2705A" w:rsidRPr="00E2705A" w:rsidRDefault="00E2705A" w:rsidP="00A92D87">
      <w:pPr>
        <w:autoSpaceDE w:val="0"/>
        <w:autoSpaceDN w:val="0"/>
        <w:adjustRightInd w:val="0"/>
        <w:spacing w:after="0" w:line="240" w:lineRule="auto"/>
        <w:jc w:val="both"/>
        <w:rPr>
          <w:rFonts w:cs="GoudySansITCbyBT-Light"/>
          <w:color w:val="000000"/>
        </w:rPr>
      </w:pPr>
      <w:r w:rsidRPr="00E2705A">
        <w:rPr>
          <w:rFonts w:cs="GoudySansITCbyBT-Light"/>
          <w:color w:val="000000"/>
        </w:rPr>
        <w:t>La Secretaria de Educación de Pasto presta este servicio con asesoría y apoyo permanente para garantizar una educación de calidad, para lograr esta meta se propone implementar una estructura curricular y de promoción flexible, que permita generar en el estudiante un ambiente de autonomía y desarrollo de sus propios tiempos y ritmos de aprendizaje; contextualizar y garantizar la permanecía de los estudiantes.</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ALIMENTACIÓN ESCOLAR</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El objetivo del programa es proveer asistencia alimentaria a los niños y niñas que asisten a los establecimientos educativos del sector oficial urbanos y rurales en alianza con la Secretaria de Bienestar Social y el Instituto Colombiano de Bienestar Familiar, donde se prioriza los niveles 1 y 2 del SISBEN. Esto con el fin de contribuir al mejoramiento de la calidad de vida de la población en edad escolar y a la vez incide en la permanencia en los establecimientos educativos.</w:t>
      </w:r>
    </w:p>
    <w:p w:rsidR="00E2705A" w:rsidRPr="00E2705A" w:rsidRDefault="00E2705A" w:rsidP="00A92D87">
      <w:pPr>
        <w:autoSpaceDE w:val="0"/>
        <w:autoSpaceDN w:val="0"/>
        <w:adjustRightInd w:val="0"/>
        <w:spacing w:after="0" w:line="240" w:lineRule="auto"/>
        <w:jc w:val="both"/>
        <w:rPr>
          <w:rFonts w:cs="GoudySansITCbyBT-Light"/>
          <w:color w:val="000000"/>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color w:val="000000"/>
          <w:lang w:eastAsia="es-CO"/>
        </w:rPr>
      </w:pPr>
      <w:r w:rsidRPr="00E2705A">
        <w:rPr>
          <w:rFonts w:eastAsia="Times New Roman" w:cs="GoudySansITCbyBT-Light"/>
          <w:color w:val="000000"/>
          <w:lang w:eastAsia="es-CO"/>
        </w:rPr>
        <w:t>AUXILIO DE TRANSPORTE ESCOLAR</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color w:val="000000"/>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 xml:space="preserve">La Secretaría de Educación Municipal viene aportando con un auxilio de transporte a los establecimientos educativos donde, por su ubicación, los estudiantes tienen que desplazarse desde diferentes sectores en los que no se cuentan con suficientes medios de comunicación terrestre, para esto la oficina de planeación realizó la caracterización del contexto y mediante acto administrativo se hizo la asignación correspondiente a los sectores más necesitados. Se espera </w:t>
      </w:r>
      <w:r w:rsidRPr="00E2705A">
        <w:rPr>
          <w:rFonts w:cs="GoudySansITCbyBT-Light"/>
        </w:rPr>
        <w:lastRenderedPageBreak/>
        <w:t>continuar con esta estrategia que permita continuidad de estos estudiantes en el próximo cuatrienio.</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rPr>
          <w:rFonts w:eastAsia="Times New Roman" w:cs="GoudySansITCbyBT-Light"/>
          <w:lang w:eastAsia="es-CO"/>
        </w:rPr>
      </w:pPr>
      <w:r w:rsidRPr="00E2705A">
        <w:rPr>
          <w:rFonts w:eastAsia="Times New Roman" w:cs="GoudySansITCbyBT-Light"/>
          <w:lang w:eastAsia="es-CO"/>
        </w:rPr>
        <w:t>APORTES DEL SECTOR SOLIDARIO AL SECTOR EDUCATIVO</w:t>
      </w:r>
    </w:p>
    <w:p w:rsidR="00E2705A" w:rsidRPr="00E2705A" w:rsidRDefault="00E2705A" w:rsidP="00A92D87">
      <w:pPr>
        <w:autoSpaceDE w:val="0"/>
        <w:autoSpaceDN w:val="0"/>
        <w:adjustRightInd w:val="0"/>
        <w:spacing w:after="0" w:line="240" w:lineRule="auto"/>
        <w:rPr>
          <w:rFonts w:cs="GoudySansITCbyBT-Light"/>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 xml:space="preserve">Año tras año, algunas cooperativas o entidades del sector privado se vinculan en pro de la educación de los sectores más necesitados mediante aportes económicos destinados a la compra de kits escolares, uniformes, implementos deportivos y construcción o dotación de espacios, que permiten mejorar los ambientes escolares de los establecimientos educativos oficiales y lograr, con ello el acceso y la permanencia de dichos estudiantes. Estos aportes se destinan deduciéndolos de los dineros que tienen la obligación de pagar por dividendos financieros. </w:t>
      </w: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BIBLIOTECAS VIRTUALES PARA EL SECTOR RURAL</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Teniendo en cuenta que el sector rural no cuenta con las mismas oportunidades del sector urbano en cuanto al acceso a la información y medios tecnológicos, la Secretaria de Educación ha visto la necesidad de implementar 8 bibliotecas virtuales durante el cuatrienio, con la finalidad de brindarles oportunidad de acceso a la información y al conocimiento a los estudiantes del sector rural y permitirles desarrollar con menos dificultad el currículo programado por los docentes. Estas alternativas de conocimiento motivan a los estudiantes y les permiten utilizar mejor el tiempo libre y a los padres de familia la tarea de colaborar en el desarrollo de actividades escolares. Así mismo, permitirá disminuir la brecha de inequidad entre las comunidades rurales y urbanas.</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TECNOLOGÍA - TIC´S</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Los programas encaminados a la apropiación de las TIC, se ha basado en las directrices del nivel central, normatividad y metas del gobierno nacional, teniendo en cuenta los macro objetivos del plan decenal 2006 – 2016.  Por lo tanto, este proyecto apunta a ofrecer a los estudiantes ambientes de aprendizaje que estén acordes a la movilidad del momento, dotando a los establecimientos educativos de conectividad, equipos de cómputo y acompañando, esta dotación de un proceso pertinente de formación docente que permita, entre otros logros, la elaboración de contenidos digitales para facilitar el aprendizaje de los estudiantes.</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ATENCIÓN EDUCATIVA A LA POBLACIÓN VÍCTIMA DEL CONFLICTO</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Cumpliendo con la sentencia T-025 del 2004 emanada de la Corte Constitucional, con la Ley 387 de 1997 y la Ley de Víctimas 1448 del 2011, la Secretaría de Educación Municipal atenderá a la población en edad escolar en situación de desplazamiento, identificando y caracterizando a esta población matriculada en los establecimientos educativos oficiales, garantizándoles la asesoría y seguimiento y comunicando a los establecimientos educativos sobre la no exigencia de uniformes y certificados de estudio.</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En la actualidad los establecimientos educativos cuentan con orientadores escolares con los cuales se realizará el acompañamiento y estrategias de atención psicosocial.</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lastRenderedPageBreak/>
        <w:t>ASESORÍA Y SEGUIMIENTO PEDAGÓGICO A DOCENTES DE LOS ESTABLECIMIENTOS EDUCATIVOS EN INCLUSIÓN EDUCATIVA</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color w:val="000000"/>
        </w:rPr>
      </w:pPr>
      <w:r w:rsidRPr="00E2705A">
        <w:rPr>
          <w:rFonts w:cs="GoudySansITCbyBT-Light"/>
          <w:color w:val="000000"/>
        </w:rPr>
        <w:t>En Colombia es múltiple el direccionamiento y desarrollo de la política pública de inclusión que reconoce una apertura discursiva y se ratifica desde la constitución política de 1991, artículos 5 y 13, como una acción de derecho y de igualdades a los servicios que fortalecen las potencialidades humanas. Con el propósito de superar la exclusión e invisibilidad social de las personas en situación de discapacidad, la Convención sobre los Derechos de las Personas con Discapacidad fue adoptada en 2006 y entró en vigor en mayo de 2008 como el primero de los tratados internacionales del Siglo XXI. Por su parte, el Ministerio de Educación Nacional expide el decreto 366 del 9 de febrero de 2009 “Por medio del cual se reglamenta la organización del servicio de apoyo pedagógico para la atención de los estudiantes con discapacidad y con capacidades o con talentos excepcionales en el marco de la educación inclusiva”.</w:t>
      </w:r>
    </w:p>
    <w:p w:rsidR="00E2705A" w:rsidRPr="00E2705A" w:rsidRDefault="00E2705A" w:rsidP="00A92D87">
      <w:pPr>
        <w:autoSpaceDE w:val="0"/>
        <w:autoSpaceDN w:val="0"/>
        <w:adjustRightInd w:val="0"/>
        <w:spacing w:after="0" w:line="240" w:lineRule="auto"/>
        <w:jc w:val="both"/>
        <w:rPr>
          <w:rFonts w:cs="CastleT-Ligh"/>
          <w:color w:val="000000"/>
        </w:rPr>
      </w:pPr>
    </w:p>
    <w:p w:rsidR="00E2705A" w:rsidRPr="00E2705A" w:rsidRDefault="00E2705A" w:rsidP="00A92D87">
      <w:pPr>
        <w:autoSpaceDE w:val="0"/>
        <w:autoSpaceDN w:val="0"/>
        <w:adjustRightInd w:val="0"/>
        <w:spacing w:after="0" w:line="240" w:lineRule="auto"/>
        <w:jc w:val="both"/>
        <w:rPr>
          <w:rFonts w:cs="GoudySansITCbyBT-Light"/>
          <w:color w:val="0089BC"/>
        </w:rPr>
      </w:pPr>
      <w:r w:rsidRPr="00E2705A">
        <w:rPr>
          <w:rFonts w:cs="GoudySansITCbyBT-Light"/>
          <w:color w:val="000000"/>
        </w:rPr>
        <w:t>Frente a la política de inclusión, la Secretaria de Educación Municipal construye la propuesta de apoyo pedagógico, no solo para atender el cumplimiento tácito de la norma, sino para trascender a otras formas de ver a los “otros”, reconocer y valorar las diferencias. Precisamente para permitir otras miradas de realidad frente a la situación de discapacidad; en el presente Plan de Educación se adoptan otros discursos que se basan en la dignidad, en donde el término ““deficiencia” es sustituido por “diferencia orgánica” o “diferencia funcional” con el fin de eliminar la carga negativa de las palabras que aluden a las características de un ser humano”</w:t>
      </w:r>
      <w:r w:rsidRPr="00E2705A">
        <w:rPr>
          <w:rFonts w:cs="GoudySansITCbyBT-Light"/>
          <w:color w:val="0089BC"/>
        </w:rPr>
        <w:t>.</w:t>
      </w:r>
    </w:p>
    <w:p w:rsidR="00E2705A" w:rsidRPr="00E2705A" w:rsidRDefault="00E2705A" w:rsidP="00A92D87">
      <w:pPr>
        <w:autoSpaceDE w:val="0"/>
        <w:autoSpaceDN w:val="0"/>
        <w:adjustRightInd w:val="0"/>
        <w:spacing w:after="0" w:line="240" w:lineRule="auto"/>
        <w:jc w:val="both"/>
        <w:rPr>
          <w:rFonts w:cs="GoudySansITCbyBT-Light"/>
          <w:color w:val="0089BC"/>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Finalmente, es importante resaltar que desde el modelo social se impulsa la educación inclusiva no como una modificación en la organización de la escuela, sino como un cambio en la ética de la escuela, en las representaciones sobre el rol y misión del maestro, no solo para aceptar las diferencias individuales sino también para valorarlas. Es decir que necesita del compromiso ético de todos los actores de la comunidad educativa como parte del desarrollo humano.</w:t>
      </w:r>
    </w:p>
    <w:p w:rsidR="00E2705A" w:rsidRPr="00E2705A" w:rsidRDefault="00E2705A" w:rsidP="00A92D87">
      <w:pPr>
        <w:autoSpaceDE w:val="0"/>
        <w:autoSpaceDN w:val="0"/>
        <w:adjustRightInd w:val="0"/>
        <w:spacing w:after="0" w:line="240" w:lineRule="auto"/>
        <w:jc w:val="both"/>
        <w:rPr>
          <w:rFonts w:cs="GoudySansITCbyBT-Light"/>
          <w:color w:val="000000"/>
        </w:rPr>
      </w:pP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0000"/>
        </w:rPr>
        <w:t>En el proyecto se tiene en cuenta los siguientes componentes:</w:t>
      </w: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89BC"/>
        </w:rPr>
        <w:t xml:space="preserve">• </w:t>
      </w:r>
      <w:r w:rsidRPr="00E2705A">
        <w:rPr>
          <w:rFonts w:cs="GoudySansITCbyBT-Light"/>
          <w:color w:val="000000"/>
        </w:rPr>
        <w:t>Componente de sensibilización, información y difusión</w:t>
      </w: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89BC"/>
        </w:rPr>
        <w:t xml:space="preserve">• </w:t>
      </w:r>
      <w:r w:rsidRPr="00E2705A">
        <w:rPr>
          <w:rFonts w:cs="GoudySansITCbyBT-Light"/>
          <w:color w:val="000000"/>
        </w:rPr>
        <w:t>Componente pedagógico y curricular</w:t>
      </w: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89BC"/>
        </w:rPr>
        <w:t xml:space="preserve">• </w:t>
      </w:r>
      <w:r w:rsidRPr="00E2705A">
        <w:rPr>
          <w:rFonts w:cs="GoudySansITCbyBT-Light"/>
          <w:color w:val="000000"/>
        </w:rPr>
        <w:t>Componente de gestión de contexto</w:t>
      </w:r>
    </w:p>
    <w:p w:rsidR="00E2705A" w:rsidRPr="00E2705A" w:rsidRDefault="00E2705A" w:rsidP="00A92D87">
      <w:pPr>
        <w:autoSpaceDE w:val="0"/>
        <w:autoSpaceDN w:val="0"/>
        <w:adjustRightInd w:val="0"/>
        <w:spacing w:after="0" w:line="240" w:lineRule="auto"/>
        <w:jc w:val="both"/>
        <w:rPr>
          <w:rFonts w:cs="GoudySansITCbyBT-Light"/>
          <w:color w:val="000000"/>
        </w:rPr>
      </w:pPr>
      <w:r w:rsidRPr="00E2705A">
        <w:rPr>
          <w:rFonts w:cs="GoudySansITCbyBT-Light"/>
          <w:color w:val="0089BC"/>
        </w:rPr>
        <w:t xml:space="preserve">• </w:t>
      </w:r>
      <w:r w:rsidRPr="00E2705A">
        <w:rPr>
          <w:rFonts w:cs="GoudySansITCbyBT-Light"/>
          <w:color w:val="000000"/>
        </w:rPr>
        <w:t>Componente de seguimiento y evaluación</w:t>
      </w:r>
    </w:p>
    <w:p w:rsidR="00E2705A" w:rsidRPr="00E2705A" w:rsidRDefault="00E2705A" w:rsidP="00A92D87">
      <w:pPr>
        <w:autoSpaceDE w:val="0"/>
        <w:autoSpaceDN w:val="0"/>
        <w:adjustRightInd w:val="0"/>
        <w:spacing w:after="0" w:line="240" w:lineRule="auto"/>
        <w:jc w:val="both"/>
        <w:rPr>
          <w:rFonts w:cs="GoudySansITCbyBT-Light"/>
          <w:color w:val="000000"/>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MEJORAMIENTO Y CONSTRUCCIÓN DE NUEVA INFRAESTRUCTURA EDUCATIVA</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color w:val="000000" w:themeColor="text1"/>
        </w:rPr>
      </w:pPr>
      <w:r w:rsidRPr="00E2705A">
        <w:rPr>
          <w:rFonts w:cs="GoudySansITCbyBT-Light"/>
        </w:rPr>
        <w:t xml:space="preserve">La SEM Pasto es consciente y aúna esfuerzos para mejorar en este materia puesto que una buena calidad en infraestructura y espacios pedagógicos adecuados repercute directamente en mejorar la calidad educativa de nuestros niños; la SEM ha estado apoyando diferentes gestiones para buscar financiación de obras para </w:t>
      </w:r>
      <w:r w:rsidRPr="00E2705A">
        <w:rPr>
          <w:rFonts w:cs="GoudySansITCbyBT-Light"/>
          <w:color w:val="000000" w:themeColor="text1"/>
        </w:rPr>
        <w:t xml:space="preserve">la primera infancia como construcciones nuevas y adecuaciones de los Centros de Desarrollo Infantil – CDI que administra el ICBF y que se constituyen en el primer salón y espacio pedagógico para que nuestros niños tengan una buena orientación y transición hacia los niveles superiores; en el año 2015, gracias agestión realizada por la SEM, el Ministerio de Vivienda y la Vicepresidencia de la República invertirán la suma de $3.000.000.000 para la </w:t>
      </w:r>
      <w:r w:rsidRPr="00E2705A">
        <w:rPr>
          <w:rFonts w:cs="GoudySansITCbyBT-Light"/>
          <w:color w:val="000000" w:themeColor="text1"/>
        </w:rPr>
        <w:lastRenderedPageBreak/>
        <w:t>construcción de un nuevo CDI y una nueve sede de primaria en el predio de la IEM Artemio Mendoza, Sede Santa Matilde, ubicada en la Comuna 10.</w:t>
      </w:r>
    </w:p>
    <w:p w:rsidR="00E2705A" w:rsidRPr="00E2705A" w:rsidRDefault="00E2705A" w:rsidP="00A92D87">
      <w:pPr>
        <w:autoSpaceDE w:val="0"/>
        <w:autoSpaceDN w:val="0"/>
        <w:adjustRightInd w:val="0"/>
        <w:spacing w:after="0" w:line="240" w:lineRule="auto"/>
        <w:jc w:val="both"/>
        <w:rPr>
          <w:rFonts w:cs="GoudySansITCbyBT-Light"/>
          <w:color w:val="000000" w:themeColor="text1"/>
        </w:rPr>
      </w:pPr>
    </w:p>
    <w:p w:rsidR="00E2705A" w:rsidRPr="00E2705A" w:rsidRDefault="00E2705A" w:rsidP="00DF63E8">
      <w:pPr>
        <w:numPr>
          <w:ilvl w:val="0"/>
          <w:numId w:val="41"/>
        </w:numPr>
        <w:spacing w:after="0" w:line="240" w:lineRule="auto"/>
        <w:contextualSpacing/>
        <w:jc w:val="both"/>
        <w:rPr>
          <w:rFonts w:eastAsia="Times New Roman" w:cs="Times New Roman"/>
          <w:b/>
          <w:color w:val="000000" w:themeColor="text1"/>
          <w:lang w:eastAsia="es-CO"/>
        </w:rPr>
      </w:pPr>
      <w:r w:rsidRPr="00E2705A">
        <w:rPr>
          <w:rFonts w:eastAsia="Times New Roman" w:cs="Times New Roman"/>
          <w:b/>
          <w:color w:val="000000" w:themeColor="text1"/>
          <w:lang w:eastAsia="es-CO"/>
        </w:rPr>
        <w:t xml:space="preserve">Productos: </w:t>
      </w:r>
    </w:p>
    <w:p w:rsidR="00E2705A" w:rsidRPr="00E2705A" w:rsidRDefault="00E2705A" w:rsidP="00A92D87">
      <w:pPr>
        <w:spacing w:after="0" w:line="240" w:lineRule="auto"/>
        <w:ind w:left="360"/>
        <w:contextualSpacing/>
        <w:jc w:val="both"/>
        <w:rPr>
          <w:rFonts w:eastAsia="Times New Roman" w:cs="Times New Roman"/>
          <w:color w:val="000000" w:themeColor="text1"/>
          <w:lang w:eastAsia="es-CO"/>
        </w:rPr>
      </w:pPr>
      <w:r w:rsidRPr="00E2705A">
        <w:rPr>
          <w:rFonts w:eastAsia="Times New Roman" w:cs="Times New Roman"/>
          <w:color w:val="000000" w:themeColor="text1"/>
          <w:lang w:eastAsia="es-CO"/>
        </w:rPr>
        <w:t xml:space="preserve">Bienes (tangibles) y servicios (Intangibles) que se generan mediante una actividad o programa. </w:t>
      </w:r>
    </w:p>
    <w:p w:rsidR="00E2705A" w:rsidRPr="00E2705A" w:rsidRDefault="00E2705A" w:rsidP="00A92D87">
      <w:pPr>
        <w:spacing w:after="0" w:line="240" w:lineRule="auto"/>
        <w:ind w:left="1080"/>
        <w:contextualSpacing/>
        <w:rPr>
          <w:rFonts w:eastAsia="Times New Roman" w:cs="Times New Roman"/>
          <w:color w:val="000000" w:themeColor="text1"/>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Como efectos de la acción institucional y los programas desarrollados y mencionados en el numeral cuatro se tiene la siguiente población atendida de estudiantes entre 11 y 14 años que se encuentran matriculados en el nivel de básica secundaria (grados 6 a 9).</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POR ZONA </w:t>
      </w:r>
    </w:p>
    <w:tbl>
      <w:tblPr>
        <w:tblStyle w:val="Tablaconcuadrcula10"/>
        <w:tblW w:w="0" w:type="auto"/>
        <w:tblInd w:w="360" w:type="dxa"/>
        <w:tblLook w:val="04A0"/>
      </w:tblPr>
      <w:tblGrid>
        <w:gridCol w:w="664"/>
        <w:gridCol w:w="1381"/>
        <w:gridCol w:w="1258"/>
        <w:gridCol w:w="1376"/>
        <w:gridCol w:w="1381"/>
        <w:gridCol w:w="1258"/>
        <w:gridCol w:w="1376"/>
      </w:tblGrid>
      <w:tr w:rsidR="00E2705A" w:rsidRPr="00E2705A" w:rsidTr="00000F81">
        <w:tc>
          <w:tcPr>
            <w:tcW w:w="733" w:type="dxa"/>
            <w:tcBorders>
              <w:top w:val="single" w:sz="4" w:space="0" w:color="auto"/>
              <w:left w:val="single" w:sz="4" w:space="0" w:color="auto"/>
              <w:bottom w:val="nil"/>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Año</w:t>
            </w:r>
          </w:p>
        </w:tc>
        <w:tc>
          <w:tcPr>
            <w:tcW w:w="3860"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Urbano</w:t>
            </w:r>
          </w:p>
        </w:tc>
        <w:tc>
          <w:tcPr>
            <w:tcW w:w="3875"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Rural</w:t>
            </w:r>
          </w:p>
        </w:tc>
      </w:tr>
      <w:tr w:rsidR="00E2705A" w:rsidRPr="00E2705A" w:rsidTr="00000F81">
        <w:tc>
          <w:tcPr>
            <w:tcW w:w="733" w:type="dxa"/>
            <w:tcBorders>
              <w:top w:val="nil"/>
              <w:left w:val="single" w:sz="4" w:space="0" w:color="auto"/>
              <w:bottom w:val="single" w:sz="4" w:space="0" w:color="auto"/>
              <w:right w:val="single" w:sz="4" w:space="0" w:color="auto"/>
            </w:tcBorders>
          </w:tcPr>
          <w:p w:rsidR="00E2705A" w:rsidRPr="00E2705A" w:rsidRDefault="00E2705A" w:rsidP="00A92D87">
            <w:pPr>
              <w:contextualSpacing/>
              <w:jc w:val="both"/>
              <w:rPr>
                <w:rFonts w:eastAsia="Times New Roman" w:cs="Times New Roman"/>
              </w:rPr>
            </w:pPr>
          </w:p>
        </w:tc>
        <w:tc>
          <w:tcPr>
            <w:tcW w:w="125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No. De Estudiantes matriculados</w:t>
            </w:r>
          </w:p>
        </w:tc>
        <w:tc>
          <w:tcPr>
            <w:tcW w:w="118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11 a 14 años DANE</w:t>
            </w:r>
          </w:p>
        </w:tc>
        <w:tc>
          <w:tcPr>
            <w:tcW w:w="143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c>
          <w:tcPr>
            <w:tcW w:w="11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No. De Estudiantes matriculados </w:t>
            </w:r>
          </w:p>
        </w:tc>
        <w:tc>
          <w:tcPr>
            <w:tcW w:w="134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11 a 14 años</w:t>
            </w:r>
          </w:p>
          <w:p w:rsidR="00E2705A" w:rsidRPr="00E2705A" w:rsidRDefault="00E2705A" w:rsidP="00A92D87">
            <w:pPr>
              <w:contextualSpacing/>
              <w:jc w:val="center"/>
              <w:rPr>
                <w:rFonts w:eastAsia="Times New Roman" w:cs="Times New Roman"/>
              </w:rPr>
            </w:pPr>
            <w:r w:rsidRPr="00E2705A">
              <w:rPr>
                <w:rFonts w:eastAsia="Times New Roman" w:cs="Times New Roman"/>
              </w:rPr>
              <w:t>DANE</w:t>
            </w:r>
          </w:p>
        </w:tc>
        <w:tc>
          <w:tcPr>
            <w:tcW w:w="136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r>
      <w:tr w:rsidR="00E2705A" w:rsidRPr="00E2705A" w:rsidTr="00000F81">
        <w:tc>
          <w:tcPr>
            <w:tcW w:w="73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2012</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17286</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30137</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57%</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4749</w:t>
            </w:r>
          </w:p>
        </w:tc>
        <w:tc>
          <w:tcPr>
            <w:tcW w:w="134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30137</w:t>
            </w:r>
          </w:p>
        </w:tc>
        <w:tc>
          <w:tcPr>
            <w:tcW w:w="136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16%</w:t>
            </w:r>
          </w:p>
        </w:tc>
      </w:tr>
      <w:tr w:rsidR="00E2705A" w:rsidRPr="00E2705A" w:rsidTr="00000F81">
        <w:tc>
          <w:tcPr>
            <w:tcW w:w="73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2013</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16788</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29754</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56%</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4999</w:t>
            </w:r>
          </w:p>
        </w:tc>
        <w:tc>
          <w:tcPr>
            <w:tcW w:w="134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29754</w:t>
            </w:r>
          </w:p>
        </w:tc>
        <w:tc>
          <w:tcPr>
            <w:tcW w:w="136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17%</w:t>
            </w:r>
          </w:p>
        </w:tc>
      </w:tr>
      <w:tr w:rsidR="00E2705A" w:rsidRPr="00E2705A" w:rsidTr="00000F81">
        <w:tc>
          <w:tcPr>
            <w:tcW w:w="73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2014</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16376</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29303</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56%</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5130</w:t>
            </w:r>
          </w:p>
        </w:tc>
        <w:tc>
          <w:tcPr>
            <w:tcW w:w="134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29303</w:t>
            </w:r>
          </w:p>
        </w:tc>
        <w:tc>
          <w:tcPr>
            <w:tcW w:w="136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18%</w:t>
            </w:r>
          </w:p>
        </w:tc>
      </w:tr>
      <w:tr w:rsidR="00E2705A" w:rsidRPr="00E2705A" w:rsidTr="00000F81">
        <w:tc>
          <w:tcPr>
            <w:tcW w:w="73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2015</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15753</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28813</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55%</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5206</w:t>
            </w:r>
          </w:p>
        </w:tc>
        <w:tc>
          <w:tcPr>
            <w:tcW w:w="134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28813</w:t>
            </w:r>
          </w:p>
        </w:tc>
        <w:tc>
          <w:tcPr>
            <w:tcW w:w="136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18%</w:t>
            </w:r>
          </w:p>
        </w:tc>
      </w:tr>
    </w:tbl>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Se observa la disminución del número de estudiantes con edades de 11 a14 años atendidos tanto en el sector urbano como rural.  La participación porcentual de esta población en el sector rural se mantiene entre el 16% y 18%; y en el sector urbano entre el 55% y 57%</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POR GÉNERO</w:t>
      </w:r>
    </w:p>
    <w:tbl>
      <w:tblPr>
        <w:tblStyle w:val="Tablaconcuadrcula10"/>
        <w:tblW w:w="0" w:type="auto"/>
        <w:tblInd w:w="360" w:type="dxa"/>
        <w:tblLook w:val="04A0"/>
      </w:tblPr>
      <w:tblGrid>
        <w:gridCol w:w="663"/>
        <w:gridCol w:w="1381"/>
        <w:gridCol w:w="1258"/>
        <w:gridCol w:w="1376"/>
        <w:gridCol w:w="1381"/>
        <w:gridCol w:w="1258"/>
        <w:gridCol w:w="1377"/>
      </w:tblGrid>
      <w:tr w:rsidR="00E2705A" w:rsidRPr="00E2705A" w:rsidTr="00000F81">
        <w:tc>
          <w:tcPr>
            <w:tcW w:w="732" w:type="dxa"/>
            <w:tcBorders>
              <w:top w:val="single" w:sz="4" w:space="0" w:color="auto"/>
              <w:left w:val="single" w:sz="4" w:space="0" w:color="auto"/>
              <w:bottom w:val="nil"/>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Año</w:t>
            </w:r>
          </w:p>
        </w:tc>
        <w:tc>
          <w:tcPr>
            <w:tcW w:w="3860"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MASCULINO</w:t>
            </w:r>
          </w:p>
        </w:tc>
        <w:tc>
          <w:tcPr>
            <w:tcW w:w="3876"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FEMENINO</w:t>
            </w:r>
          </w:p>
        </w:tc>
      </w:tr>
      <w:tr w:rsidR="00E2705A" w:rsidRPr="00E2705A" w:rsidTr="00000F81">
        <w:tc>
          <w:tcPr>
            <w:tcW w:w="732" w:type="dxa"/>
            <w:tcBorders>
              <w:top w:val="nil"/>
              <w:left w:val="single" w:sz="4" w:space="0" w:color="auto"/>
              <w:bottom w:val="single" w:sz="4" w:space="0" w:color="auto"/>
              <w:right w:val="single" w:sz="4" w:space="0" w:color="auto"/>
            </w:tcBorders>
          </w:tcPr>
          <w:p w:rsidR="00E2705A" w:rsidRPr="00E2705A" w:rsidRDefault="00E2705A" w:rsidP="00A92D87">
            <w:pPr>
              <w:contextualSpacing/>
              <w:jc w:val="both"/>
              <w:rPr>
                <w:rFonts w:eastAsia="Times New Roman" w:cs="Times New Roman"/>
              </w:rPr>
            </w:pPr>
          </w:p>
        </w:tc>
        <w:tc>
          <w:tcPr>
            <w:tcW w:w="125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No. De Estudiantes matriculados</w:t>
            </w:r>
          </w:p>
        </w:tc>
        <w:tc>
          <w:tcPr>
            <w:tcW w:w="118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11 a 14 años DANE</w:t>
            </w:r>
          </w:p>
        </w:tc>
        <w:tc>
          <w:tcPr>
            <w:tcW w:w="143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c>
          <w:tcPr>
            <w:tcW w:w="11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No. De Estudiantes matriculados </w:t>
            </w:r>
          </w:p>
        </w:tc>
        <w:tc>
          <w:tcPr>
            <w:tcW w:w="113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11 a 14 años</w:t>
            </w:r>
          </w:p>
          <w:p w:rsidR="00E2705A" w:rsidRPr="00E2705A" w:rsidRDefault="00E2705A" w:rsidP="00A92D87">
            <w:pPr>
              <w:contextualSpacing/>
              <w:jc w:val="center"/>
              <w:rPr>
                <w:rFonts w:eastAsia="Times New Roman" w:cs="Times New Roman"/>
              </w:rPr>
            </w:pPr>
            <w:r w:rsidRPr="00E2705A">
              <w:rPr>
                <w:rFonts w:eastAsia="Times New Roman" w:cs="Times New Roman"/>
              </w:rPr>
              <w:t>DANE</w:t>
            </w:r>
          </w:p>
        </w:tc>
        <w:tc>
          <w:tcPr>
            <w:tcW w:w="1577"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2012</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10956</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14967</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73%</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11079</w:t>
            </w:r>
          </w:p>
        </w:tc>
        <w:tc>
          <w:tcPr>
            <w:tcW w:w="11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15170</w:t>
            </w:r>
          </w:p>
        </w:tc>
        <w:tc>
          <w:tcPr>
            <w:tcW w:w="157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73%</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2013</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10848</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14773</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73%</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10939</w:t>
            </w:r>
          </w:p>
        </w:tc>
        <w:tc>
          <w:tcPr>
            <w:tcW w:w="11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14981</w:t>
            </w:r>
          </w:p>
        </w:tc>
        <w:tc>
          <w:tcPr>
            <w:tcW w:w="157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73%</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2014</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10659</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14568</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73%</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10847</w:t>
            </w:r>
          </w:p>
        </w:tc>
        <w:tc>
          <w:tcPr>
            <w:tcW w:w="11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14735</w:t>
            </w:r>
          </w:p>
        </w:tc>
        <w:tc>
          <w:tcPr>
            <w:tcW w:w="157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74%</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2015</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10512</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14363</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73%</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10447</w:t>
            </w:r>
          </w:p>
        </w:tc>
        <w:tc>
          <w:tcPr>
            <w:tcW w:w="11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14450</w:t>
            </w:r>
          </w:p>
        </w:tc>
        <w:tc>
          <w:tcPr>
            <w:tcW w:w="157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72%</w:t>
            </w:r>
          </w:p>
        </w:tc>
      </w:tr>
    </w:tbl>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El porcentaje comparativo entre jóvenes con edades entre 11 y 14 años que se encuentran estudiando en el nivel de básica secundaria tiene un comportamiento estable, garantizando así la igualdad de género.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numPr>
          <w:ilvl w:val="0"/>
          <w:numId w:val="46"/>
        </w:num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POR SITUACION DE DESPLAZAMIENTO E </w:t>
      </w:r>
      <w:r w:rsidRPr="00E2705A">
        <w:rPr>
          <w:rFonts w:eastAsia="Times New Roman" w:cs="GoudySansITCbyBT-Light"/>
          <w:lang w:eastAsia="es-CO"/>
        </w:rPr>
        <w:t>INCLUSIÓN EDUCATIVA</w:t>
      </w:r>
      <w:r w:rsidRPr="00E2705A">
        <w:rPr>
          <w:rFonts w:eastAsia="Times New Roman" w:cs="Times New Roman"/>
          <w:lang w:eastAsia="es-CO"/>
        </w:rPr>
        <w:t xml:space="preserve"> </w:t>
      </w:r>
    </w:p>
    <w:tbl>
      <w:tblPr>
        <w:tblStyle w:val="Tablaconcuadrcula10"/>
        <w:tblW w:w="0" w:type="auto"/>
        <w:tblInd w:w="360" w:type="dxa"/>
        <w:tblLook w:val="04A0"/>
      </w:tblPr>
      <w:tblGrid>
        <w:gridCol w:w="769"/>
        <w:gridCol w:w="3828"/>
        <w:gridCol w:w="3871"/>
      </w:tblGrid>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AÑO</w:t>
            </w:r>
          </w:p>
        </w:tc>
        <w:tc>
          <w:tcPr>
            <w:tcW w:w="3828"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b/>
              </w:rPr>
            </w:pPr>
            <w:r w:rsidRPr="00E2705A">
              <w:rPr>
                <w:rFonts w:eastAsia="Times New Roman" w:cs="Times New Roman"/>
                <w:b/>
              </w:rPr>
              <w:t>ESTUDIANTES CON SITUACION DE DESPLAZAMIENTO</w:t>
            </w:r>
          </w:p>
        </w:tc>
        <w:tc>
          <w:tcPr>
            <w:tcW w:w="3871"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b/>
              </w:rPr>
            </w:pPr>
            <w:r w:rsidRPr="00E2705A">
              <w:rPr>
                <w:rFonts w:eastAsia="Times New Roman" w:cs="Times New Roman"/>
                <w:b/>
              </w:rPr>
              <w:t>POBLACION EN DISCAPACIDAD</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lastRenderedPageBreak/>
              <w:t>2012</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740</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56</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2013</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862</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139</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2014</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705</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151</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2015</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812</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378</w:t>
            </w:r>
          </w:p>
        </w:tc>
      </w:tr>
    </w:tbl>
    <w:p w:rsidR="00E2705A" w:rsidRPr="00E2705A" w:rsidRDefault="00E2705A" w:rsidP="00A92D87">
      <w:pPr>
        <w:spacing w:line="240" w:lineRule="auto"/>
        <w:ind w:left="360"/>
        <w:jc w:val="both"/>
      </w:pPr>
      <w:r w:rsidRPr="00E2705A">
        <w:t>Se observa poca variación entre los años 2012 a 2015 en el registro de la población en situación de desplazamiento. Se refleja un incremento en niños y niñas matriculados con algún tipo de diversidad funcional en el sistema educativo del municipio de Pasto, que se encuentran cursando la básica secundaria con la edad adecuada para sus estudios.</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Garantizar la continuidad de los alumnos activos en el sistema educativo oficial y privado como también el acceso a los estudiantes que se encuentran por fuera del sistema educativo, brindándoles modelos educativos flexibles como también estrategias de permanencia.</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Se tenga en cuenta las prioridades planteadas en el próximo Plan de desarrollo Educativo del Municipio de Pasto.</w:t>
      </w: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E2705A">
        <w:rPr>
          <w:b/>
          <w:i/>
          <w:iCs/>
        </w:rPr>
        <w:t>DESCRIPCIÓN DEL INDICADOR No. 53</w:t>
      </w:r>
    </w:p>
    <w:tbl>
      <w:tblPr>
        <w:tblStyle w:val="Tabladecuadrcula2-nfasis511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 xml:space="preserve">MUNICIPIO: PASTO </w:t>
            </w:r>
          </w:p>
          <w:p w:rsidR="00E2705A" w:rsidRPr="00E2705A" w:rsidRDefault="00E2705A" w:rsidP="00A92D87">
            <w:r w:rsidRPr="00E2705A">
              <w:t>ALCALDIA DE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 xml:space="preserve">Nombre del indicador: </w:t>
            </w:r>
          </w:p>
          <w:p w:rsidR="00E2705A" w:rsidRPr="00E2705A" w:rsidRDefault="00E2705A" w:rsidP="00A92D87">
            <w:r w:rsidRPr="00E2705A">
              <w:t>Cobertura escolar bruta para educación básica secundaria</w:t>
            </w:r>
          </w:p>
        </w:tc>
      </w:tr>
      <w:tr w:rsidR="00E2705A" w:rsidRPr="00E2705A" w:rsidTr="00000F81">
        <w:trPr>
          <w:trHeight w:val="332"/>
          <w:jc w:val="center"/>
        </w:trPr>
        <w:tc>
          <w:tcPr>
            <w:cnfStyle w:val="001000000000"/>
            <w:tcW w:w="8828" w:type="dxa"/>
          </w:tcPr>
          <w:p w:rsidR="00E2705A" w:rsidRPr="00E2705A" w:rsidRDefault="00E2705A" w:rsidP="00A92D87">
            <w:r w:rsidRPr="00E2705A">
              <w:t>Fuente Nacional: Ministerio de Educación Nacional - SIMAT</w:t>
            </w:r>
          </w:p>
          <w:p w:rsidR="00E2705A" w:rsidRPr="00E2705A" w:rsidRDefault="00E2705A" w:rsidP="00A92D87">
            <w:r w:rsidRPr="00E2705A">
              <w:t>Otra Fuente: DANE</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Derechos:  Derecho al Desarrollo</w:t>
            </w:r>
          </w:p>
        </w:tc>
      </w:tr>
      <w:tr w:rsidR="00E2705A" w:rsidRPr="00E2705A" w:rsidTr="00000F81">
        <w:trPr>
          <w:trHeight w:val="458"/>
          <w:jc w:val="center"/>
        </w:trPr>
        <w:tc>
          <w:tcPr>
            <w:cnfStyle w:val="001000000000"/>
            <w:tcW w:w="8828" w:type="dxa"/>
          </w:tcPr>
          <w:p w:rsidR="00E2705A" w:rsidRPr="00E2705A" w:rsidRDefault="00E2705A" w:rsidP="00A92D87">
            <w:r w:rsidRPr="00E2705A">
              <w:t>Temas relacionados: Educación</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A92D87">
      <w:pPr>
        <w:spacing w:line="240" w:lineRule="auto"/>
      </w:pP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line="240" w:lineRule="auto"/>
        <w:rPr>
          <w:b/>
        </w:rPr>
      </w:pPr>
    </w:p>
    <w:p w:rsidR="00E2705A" w:rsidRPr="00E2705A" w:rsidRDefault="00E2705A" w:rsidP="00A92D87">
      <w:pPr>
        <w:spacing w:line="240" w:lineRule="auto"/>
        <w:jc w:val="both"/>
      </w:pPr>
      <w:r w:rsidRPr="00E2705A">
        <w:t>Para el cálculo y análisis de la tasa de cobertura bruta, realizados en el estudio, se utilizó como numerador el dato de la matrícula del sistema integral de matrícula - SIMAT y como denominador la población en edad escolar.  La tasa de cobertura bruta resulta de dividir la matricula total, independientemente de la edad de os estudiantes, sobre la población en edad escolar correspondiente a dicho nivel.</w:t>
      </w:r>
    </w:p>
    <w:p w:rsidR="00E2705A" w:rsidRPr="00E2705A" w:rsidRDefault="00E2705A" w:rsidP="00A92D87">
      <w:pPr>
        <w:spacing w:line="240" w:lineRule="auto"/>
        <w:rPr>
          <w:b/>
        </w:rPr>
      </w:pPr>
    </w:p>
    <w:p w:rsidR="00E2705A" w:rsidRPr="00E2705A" w:rsidRDefault="00E2705A" w:rsidP="00A92D87">
      <w:pPr>
        <w:spacing w:after="0" w:line="240" w:lineRule="auto"/>
        <w:ind w:left="1080"/>
        <w:contextualSpacing/>
        <w:rPr>
          <w:rFonts w:eastAsia="Times New Roman" w:cs="Times New Roman"/>
          <w:b/>
          <w:lang w:eastAsia="es-CO"/>
        </w:rPr>
      </w:pPr>
    </w:p>
    <w:tbl>
      <w:tblPr>
        <w:tblStyle w:val="Tablaconcuadrcula121"/>
        <w:tblW w:w="0" w:type="auto"/>
        <w:tblInd w:w="-431" w:type="dxa"/>
        <w:tblLook w:val="04A0"/>
      </w:tblPr>
      <w:tblGrid>
        <w:gridCol w:w="5813"/>
        <w:gridCol w:w="850"/>
        <w:gridCol w:w="851"/>
        <w:gridCol w:w="709"/>
        <w:gridCol w:w="1036"/>
      </w:tblGrid>
      <w:tr w:rsidR="00E2705A" w:rsidRPr="00E2705A" w:rsidTr="00000F81">
        <w:tc>
          <w:tcPr>
            <w:tcW w:w="5813" w:type="dxa"/>
          </w:tcPr>
          <w:p w:rsidR="00E2705A" w:rsidRPr="00E2705A" w:rsidRDefault="00E2705A" w:rsidP="00A92D87">
            <w:pPr>
              <w:jc w:val="center"/>
              <w:rPr>
                <w:b/>
              </w:rPr>
            </w:pPr>
            <w:r w:rsidRPr="00E2705A">
              <w:rPr>
                <w:b/>
              </w:rPr>
              <w:t>Indicador</w:t>
            </w:r>
          </w:p>
        </w:tc>
        <w:tc>
          <w:tcPr>
            <w:tcW w:w="850" w:type="dxa"/>
          </w:tcPr>
          <w:p w:rsidR="00E2705A" w:rsidRPr="00E2705A" w:rsidRDefault="00E2705A" w:rsidP="00A92D87">
            <w:pPr>
              <w:jc w:val="center"/>
              <w:rPr>
                <w:b/>
              </w:rPr>
            </w:pPr>
            <w:r w:rsidRPr="00E2705A">
              <w:rPr>
                <w:b/>
              </w:rPr>
              <w:t>2011</w:t>
            </w:r>
          </w:p>
        </w:tc>
        <w:tc>
          <w:tcPr>
            <w:tcW w:w="851" w:type="dxa"/>
          </w:tcPr>
          <w:p w:rsidR="00E2705A" w:rsidRPr="00E2705A" w:rsidRDefault="00E2705A" w:rsidP="00A92D87">
            <w:pPr>
              <w:jc w:val="center"/>
              <w:rPr>
                <w:b/>
              </w:rPr>
            </w:pPr>
            <w:r w:rsidRPr="00E2705A">
              <w:rPr>
                <w:b/>
              </w:rPr>
              <w:t>2012</w:t>
            </w:r>
          </w:p>
        </w:tc>
        <w:tc>
          <w:tcPr>
            <w:tcW w:w="709" w:type="dxa"/>
          </w:tcPr>
          <w:p w:rsidR="00E2705A" w:rsidRPr="00E2705A" w:rsidRDefault="00E2705A" w:rsidP="00A92D87">
            <w:pPr>
              <w:jc w:val="center"/>
              <w:rPr>
                <w:b/>
              </w:rPr>
            </w:pPr>
            <w:r w:rsidRPr="00E2705A">
              <w:rPr>
                <w:b/>
              </w:rPr>
              <w:t>2013</w:t>
            </w:r>
          </w:p>
        </w:tc>
        <w:tc>
          <w:tcPr>
            <w:tcW w:w="1036" w:type="dxa"/>
          </w:tcPr>
          <w:p w:rsidR="00E2705A" w:rsidRPr="00E2705A" w:rsidRDefault="00E2705A" w:rsidP="00A92D87">
            <w:pPr>
              <w:jc w:val="center"/>
              <w:rPr>
                <w:b/>
              </w:rPr>
            </w:pPr>
            <w:r w:rsidRPr="00E2705A">
              <w:rPr>
                <w:b/>
              </w:rPr>
              <w:t>2014</w:t>
            </w:r>
          </w:p>
        </w:tc>
      </w:tr>
      <w:tr w:rsidR="00E2705A" w:rsidRPr="00E2705A" w:rsidTr="00000F81">
        <w:tc>
          <w:tcPr>
            <w:tcW w:w="5813" w:type="dxa"/>
          </w:tcPr>
          <w:p w:rsidR="00E2705A" w:rsidRPr="00E2705A" w:rsidRDefault="00E2705A" w:rsidP="00A92D87">
            <w:r w:rsidRPr="00E2705A">
              <w:t>Cobertura escolar bruta para educación básica secundaria.</w:t>
            </w:r>
          </w:p>
          <w:p w:rsidR="00E2705A" w:rsidRPr="00E2705A" w:rsidRDefault="00E2705A" w:rsidP="00A92D87">
            <w:r w:rsidRPr="00E2705A">
              <w:t>11-14 Años.</w:t>
            </w:r>
          </w:p>
        </w:tc>
        <w:tc>
          <w:tcPr>
            <w:tcW w:w="850" w:type="dxa"/>
          </w:tcPr>
          <w:p w:rsidR="00E2705A" w:rsidRPr="00E2705A" w:rsidRDefault="00E2705A" w:rsidP="00A92D87">
            <w:pPr>
              <w:jc w:val="center"/>
            </w:pPr>
            <w:r w:rsidRPr="00E2705A">
              <w:t>92%</w:t>
            </w:r>
          </w:p>
        </w:tc>
        <w:tc>
          <w:tcPr>
            <w:tcW w:w="851" w:type="dxa"/>
          </w:tcPr>
          <w:p w:rsidR="00E2705A" w:rsidRPr="00E2705A" w:rsidRDefault="00E2705A" w:rsidP="00A92D87">
            <w:pPr>
              <w:jc w:val="center"/>
            </w:pPr>
            <w:r w:rsidRPr="00E2705A">
              <w:t>90%</w:t>
            </w:r>
          </w:p>
        </w:tc>
        <w:tc>
          <w:tcPr>
            <w:tcW w:w="709" w:type="dxa"/>
          </w:tcPr>
          <w:p w:rsidR="00E2705A" w:rsidRPr="00E2705A" w:rsidRDefault="00E2705A" w:rsidP="00A92D87">
            <w:pPr>
              <w:jc w:val="center"/>
            </w:pPr>
            <w:r w:rsidRPr="00E2705A">
              <w:t>90%</w:t>
            </w:r>
          </w:p>
        </w:tc>
        <w:tc>
          <w:tcPr>
            <w:tcW w:w="1036" w:type="dxa"/>
          </w:tcPr>
          <w:p w:rsidR="00E2705A" w:rsidRPr="00E2705A" w:rsidRDefault="00E2705A" w:rsidP="00A92D87">
            <w:pPr>
              <w:jc w:val="center"/>
            </w:pPr>
            <w:r w:rsidRPr="00E2705A">
              <w:t>90%</w:t>
            </w:r>
          </w:p>
        </w:tc>
      </w:tr>
      <w:tr w:rsidR="00E2705A" w:rsidRPr="00E2705A" w:rsidTr="00000F81">
        <w:tc>
          <w:tcPr>
            <w:tcW w:w="9259" w:type="dxa"/>
            <w:gridSpan w:val="5"/>
          </w:tcPr>
          <w:p w:rsidR="00E2705A" w:rsidRPr="00E2705A" w:rsidRDefault="00E2705A" w:rsidP="00A92D87">
            <w:pPr>
              <w:rPr>
                <w:b/>
              </w:rPr>
            </w:pPr>
            <w:r w:rsidRPr="00E2705A">
              <w:rPr>
                <w:b/>
              </w:rPr>
              <w:t xml:space="preserve">Fuente:  </w:t>
            </w:r>
            <w:r w:rsidRPr="00E2705A">
              <w:t xml:space="preserve">Ministerio de Educación Nacional – SIMAT - </w:t>
            </w:r>
            <w:r w:rsidRPr="00E2705A">
              <w:rPr>
                <w:b/>
              </w:rPr>
              <w:t>Pasto en Cifras 2011 -2014</w:t>
            </w:r>
          </w:p>
        </w:tc>
      </w:tr>
    </w:tbl>
    <w:p w:rsidR="00E2705A" w:rsidRDefault="00E2705A" w:rsidP="00A92D87">
      <w:pPr>
        <w:spacing w:line="240" w:lineRule="auto"/>
      </w:pPr>
    </w:p>
    <w:p w:rsidR="006E6C52" w:rsidRPr="00E2705A" w:rsidRDefault="006E6C52" w:rsidP="00A92D87">
      <w:pPr>
        <w:spacing w:line="240" w:lineRule="auto"/>
      </w:pPr>
    </w:p>
    <w:p w:rsidR="00E2705A" w:rsidRPr="00E2705A" w:rsidRDefault="00E2705A" w:rsidP="00A92D87">
      <w:pPr>
        <w:spacing w:line="240" w:lineRule="auto"/>
        <w:rPr>
          <w:b/>
        </w:rPr>
      </w:pPr>
      <w:r w:rsidRPr="00E2705A">
        <w:rPr>
          <w:noProof/>
          <w:lang w:val="es-ES" w:eastAsia="es-ES"/>
        </w:rPr>
        <w:drawing>
          <wp:inline distT="0" distB="0" distL="0" distR="0">
            <wp:extent cx="5663821" cy="2505075"/>
            <wp:effectExtent l="0" t="0" r="13335"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2705A" w:rsidRPr="00E2705A" w:rsidRDefault="00E2705A" w:rsidP="00A92D87">
      <w:pPr>
        <w:spacing w:line="240" w:lineRule="auto"/>
        <w:rPr>
          <w:b/>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Situación detectada: </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La fuente del cálculo se obtiene a partir de los estudiantes registrados en el Sistema Integrado de Matrícula – SIMAT en los grados de sexto a noveno, sobre la proyección DANE de la población entre 11 a 14 años correspondiente al Censo 2005. Se incluye los establecimientos educativos oficiales y no oficiales</w:t>
      </w:r>
    </w:p>
    <w:p w:rsidR="00E2705A" w:rsidRPr="00E2705A" w:rsidRDefault="00E2705A" w:rsidP="00A92D87">
      <w:pPr>
        <w:spacing w:line="240" w:lineRule="auto"/>
        <w:jc w:val="both"/>
      </w:pPr>
      <w:r w:rsidRPr="00E2705A">
        <w:t>Se observa una leve tendencia decreciente entre los años 2011 y 2012 debido a diferentes situaciones, tales como la proyección DANE que no se sujeta a la realidad y las políticas de planificación familiar efectivas e implementadas en el municipio de Pasto que han logrado una reducción en la tasa de natalidad.  Sin embargo a partir del año 2012 este indicador muestra tendencias a mantenerse en el 90%.</w:t>
      </w:r>
    </w:p>
    <w:p w:rsidR="00E2705A" w:rsidRPr="00E2705A" w:rsidRDefault="00E2705A" w:rsidP="00A92D87">
      <w:pPr>
        <w:spacing w:line="240" w:lineRule="auto"/>
        <w:jc w:val="both"/>
      </w:pPr>
      <w:r w:rsidRPr="00E2705A">
        <w:t>Analizando el resultado del indicador en cuento a género no se evidencia variaciones significativas en la cobertura entre hombres y mujeres, ya que la participación de los estudiantes registrados en SIMAT con relación a la población se mantiene bajo los mismos porcentajes entre 89% y 92%.</w:t>
      </w:r>
    </w:p>
    <w:p w:rsidR="00E2705A" w:rsidRPr="00E2705A" w:rsidRDefault="00E2705A" w:rsidP="00A92D87">
      <w:pPr>
        <w:spacing w:line="240" w:lineRule="auto"/>
        <w:jc w:val="both"/>
      </w:pPr>
      <w:r w:rsidRPr="00E2705A">
        <w:lastRenderedPageBreak/>
        <w:t>Dada la política de inclusión según el Decreto 366 del 2009, se refleja un incremento en los estudiantes matriculados con diversidad funcional en el sistema educativo del municipio de Pasto.</w:t>
      </w:r>
    </w:p>
    <w:p w:rsidR="00E2705A" w:rsidRPr="00E2705A" w:rsidRDefault="00E2705A" w:rsidP="00A92D87">
      <w:pPr>
        <w:spacing w:line="240" w:lineRule="auto"/>
        <w:jc w:val="both"/>
      </w:pPr>
      <w:r w:rsidRPr="00E2705A">
        <w:t>Dentro del análisis se puede determinar que el municipio de Pasto presenta un alto factor de riesgo por cuanto es un municipio receptor y expulsor de familias en situación de desplazamiento por motivos del conflicto armado, lo cual se refleja en el incremento paulatino de los estudiantes que se registran en condición de desplazamiento.</w:t>
      </w: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line="240" w:lineRule="auto"/>
        <w:jc w:val="both"/>
      </w:pPr>
      <w:r w:rsidRPr="00E2705A">
        <w:t xml:space="preserve">El municipio de Pasto cuenta con 51 establecimientos educativos oficiales en los cuales se presta el servicio educativo en los grados de sexto a noveno transición, correspondiente a educación básica secundaria; de los cuales 26 están localizados en la zona rural, garantizando así el derecho a la educación a esta población.  </w:t>
      </w:r>
    </w:p>
    <w:p w:rsidR="00E2705A" w:rsidRPr="00E2705A" w:rsidRDefault="00E2705A" w:rsidP="00A92D87">
      <w:pPr>
        <w:spacing w:line="240" w:lineRule="auto"/>
        <w:jc w:val="both"/>
      </w:pPr>
      <w:r w:rsidRPr="00E2705A">
        <w:t>Con el objetivo de promover y mantener la matrícula en el nivel de básica secundaria, la SEM Pasto ha desarrollado las siguientes inversiones:</w:t>
      </w:r>
    </w:p>
    <w:p w:rsidR="00E2705A" w:rsidRPr="00E2705A" w:rsidRDefault="00E2705A" w:rsidP="00A92D87">
      <w:pPr>
        <w:spacing w:line="240" w:lineRule="auto"/>
        <w:jc w:val="both"/>
      </w:pPr>
      <w:r w:rsidRPr="00E2705A">
        <w:t xml:space="preserve">La entidad Territorial garantiza el servicio de restaurante escolar al 100% en el sector rural de este grupo, mientras tanto en el sector urbano la cobertura se efectúa hasta el grado séptimo, incluyendo los titulares de derecho (etnias, desplazados, discapacitados y población vulnerable) esto con recursos del SGP del Ministerio de Educación Nacional.   Mas sin embargo, con l ampliación de la estrategia con recursos canalizados a través del ente territorial se logra darle cobertura al 100% en el sector rural; de la misma forma el municipio aporta cerca del 80% en el servicio de transporte escolar en las zonas rurales y de difícil acceso. </w:t>
      </w:r>
    </w:p>
    <w:p w:rsidR="00E2705A" w:rsidRPr="00E2705A" w:rsidRDefault="00E2705A" w:rsidP="00A92D87">
      <w:pPr>
        <w:spacing w:line="240" w:lineRule="auto"/>
        <w:jc w:val="both"/>
      </w:pPr>
      <w:r w:rsidRPr="00E2705A">
        <w:t>Con respecto a insumos para mejorar la calidad educativa de este grupo de estudiantes, la entidad territorial desarrolla programas de dotación de bibliotecas escolares como fortalecimiento del plan nacional de lectura y escritura.</w:t>
      </w:r>
    </w:p>
    <w:p w:rsidR="00E2705A" w:rsidRPr="00E2705A" w:rsidRDefault="00E2705A" w:rsidP="00A92D87">
      <w:pPr>
        <w:spacing w:line="240" w:lineRule="auto"/>
        <w:jc w:val="both"/>
      </w:pPr>
      <w:r w:rsidRPr="00E2705A">
        <w:t xml:space="preserve">En el proceso de planeación de la SEMPASTO, al comparar la oferta educativa con respecto a la demanda, determina una insuficiencia de infraestructura para poder garantizar el acceso y la permanencia de los estudiantes, dando como resultado la contratación tanto de administración del servicio educativo como la modalidad de prestación de servicio educativo.  </w:t>
      </w:r>
    </w:p>
    <w:p w:rsidR="00E2705A" w:rsidRPr="00E2705A" w:rsidRDefault="00E2705A" w:rsidP="00A92D87">
      <w:pPr>
        <w:spacing w:after="0" w:line="240" w:lineRule="auto"/>
        <w:ind w:left="1080"/>
        <w:contextualSpacing/>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autoSpaceDE w:val="0"/>
        <w:autoSpaceDN w:val="0"/>
        <w:adjustRightInd w:val="0"/>
        <w:spacing w:after="0" w:line="240" w:lineRule="auto"/>
        <w:jc w:val="both"/>
      </w:pPr>
      <w:r w:rsidRPr="00E2705A">
        <w:t>La SEMPASTO viene implementando los siguientes Programas y proyectos:</w:t>
      </w:r>
    </w:p>
    <w:p w:rsidR="00E2705A" w:rsidRPr="00E2705A" w:rsidRDefault="00E2705A" w:rsidP="00A92D87">
      <w:pPr>
        <w:autoSpaceDE w:val="0"/>
        <w:autoSpaceDN w:val="0"/>
        <w:adjustRightInd w:val="0"/>
        <w:spacing w:after="0" w:line="240" w:lineRule="auto"/>
        <w:jc w:val="both"/>
        <w:rPr>
          <w:rFonts w:cs="GoudySansITCbyBT-Light"/>
          <w:color w:val="000000"/>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color w:val="000000"/>
          <w:lang w:eastAsia="es-CO"/>
        </w:rPr>
      </w:pPr>
      <w:r w:rsidRPr="00E2705A">
        <w:rPr>
          <w:rFonts w:eastAsia="Times New Roman" w:cs="GoudySansITCbyBT-Light"/>
          <w:color w:val="000000"/>
          <w:lang w:eastAsia="es-CO"/>
        </w:rPr>
        <w:t>FORTALECIMIENTO DE MODELOS FLEXIBLES – TELESENCUNDARIA, POS PRIMARIA</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color w:val="000000"/>
          <w:lang w:eastAsia="es-CO"/>
        </w:rPr>
      </w:pPr>
    </w:p>
    <w:p w:rsidR="00E2705A" w:rsidRPr="00E2705A" w:rsidRDefault="00E2705A" w:rsidP="00A92D87">
      <w:pPr>
        <w:autoSpaceDE w:val="0"/>
        <w:autoSpaceDN w:val="0"/>
        <w:adjustRightInd w:val="0"/>
        <w:spacing w:after="0" w:line="240" w:lineRule="auto"/>
        <w:jc w:val="both"/>
        <w:rPr>
          <w:rFonts w:cs="GoudySansITCbyBT-Light"/>
          <w:color w:val="000000"/>
        </w:rPr>
      </w:pPr>
      <w:r w:rsidRPr="00E2705A">
        <w:rPr>
          <w:rFonts w:cs="GoudySansITCbyBT-Light"/>
          <w:color w:val="000000"/>
        </w:rPr>
        <w:t xml:space="preserve">La Secretaria de Educación de Pasto presta este servicio con asesoría y apoyo permanente para garantizar una educación de calidad, para lograr esta meta se propone implementar una estructura curricular y de promoción flexible, que permita generar en el estudiante un ambiente </w:t>
      </w:r>
      <w:r w:rsidRPr="00E2705A">
        <w:rPr>
          <w:rFonts w:cs="GoudySansITCbyBT-Light"/>
          <w:color w:val="000000"/>
        </w:rPr>
        <w:lastRenderedPageBreak/>
        <w:t>de autonomía y desarrollo de sus propios tiempos y ritmos de aprendizaje; contextualizar y garantizar la permanecía de los estudiantes.</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ALIMENTACIÓN ESCOLAR</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El objetivo del programa es proveer asistencia alimentaria a los niños y niñas que asisten a los establecimientos educativos del sector oficial urbanos y rurales en alianza con la Secretaria de Bienestar Social y el Instituto Colombiano de Bienestar Familiar, donde se prioriza los niveles 1 y 2 del SISBEN. Esto con el fin de contribuir al mejoramiento de la calidad de vida de la población en edad escolar y a la vez incide en la permanencia en los establecimientos educativos.</w:t>
      </w:r>
    </w:p>
    <w:p w:rsidR="00E2705A" w:rsidRPr="00E2705A" w:rsidRDefault="00E2705A" w:rsidP="00A92D87">
      <w:pPr>
        <w:autoSpaceDE w:val="0"/>
        <w:autoSpaceDN w:val="0"/>
        <w:adjustRightInd w:val="0"/>
        <w:spacing w:after="0" w:line="240" w:lineRule="auto"/>
        <w:jc w:val="both"/>
        <w:rPr>
          <w:rFonts w:cs="GoudySansITCbyBT-Light"/>
          <w:color w:val="000000"/>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color w:val="000000"/>
          <w:lang w:eastAsia="es-CO"/>
        </w:rPr>
      </w:pPr>
      <w:r w:rsidRPr="00E2705A">
        <w:rPr>
          <w:rFonts w:eastAsia="Times New Roman" w:cs="GoudySansITCbyBT-Light"/>
          <w:color w:val="000000"/>
          <w:lang w:eastAsia="es-CO"/>
        </w:rPr>
        <w:t>AUXILIO DE TRANSPORTE ESCOLAR</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color w:val="000000"/>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La Secretaría de Educación Municipal viene aportando con un auxilio de transporte a los establecimientos educativos donde, por su ubicación, los estudiantes tienen que desplazarse desde diferentes sectores en los que no se cuentan con suficientes medios de comunicación terrestre, para esto la oficina de planeación realizó la caracterización del contexto y mediante acto administrativo se hizo la asignación correspondiente a los sectores más necesitados. Se espera continuar con esta estrategia que permita continuidad de estos estudiantes en el próximo cuatrienio.</w:t>
      </w:r>
    </w:p>
    <w:p w:rsidR="00E2705A" w:rsidRPr="00E2705A" w:rsidRDefault="00E2705A" w:rsidP="00A92D87">
      <w:pPr>
        <w:autoSpaceDE w:val="0"/>
        <w:autoSpaceDN w:val="0"/>
        <w:adjustRightInd w:val="0"/>
        <w:spacing w:after="0" w:line="240" w:lineRule="auto"/>
        <w:jc w:val="both"/>
        <w:rPr>
          <w:rFonts w:cs="GoudySansITCbyBT-Light"/>
          <w:color w:val="000000" w:themeColor="text1"/>
        </w:rPr>
      </w:pPr>
    </w:p>
    <w:p w:rsidR="00E2705A" w:rsidRPr="00E2705A" w:rsidRDefault="00E2705A" w:rsidP="00A92D87">
      <w:pPr>
        <w:numPr>
          <w:ilvl w:val="0"/>
          <w:numId w:val="46"/>
        </w:numPr>
        <w:autoSpaceDE w:val="0"/>
        <w:autoSpaceDN w:val="0"/>
        <w:adjustRightInd w:val="0"/>
        <w:spacing w:after="0" w:line="240" w:lineRule="auto"/>
        <w:contextualSpacing/>
        <w:rPr>
          <w:rFonts w:eastAsia="Times New Roman" w:cs="GoudySansITCbyBT-Light"/>
          <w:color w:val="000000" w:themeColor="text1"/>
          <w:lang w:eastAsia="es-CO"/>
        </w:rPr>
      </w:pPr>
      <w:r w:rsidRPr="00E2705A">
        <w:rPr>
          <w:rFonts w:eastAsia="Times New Roman" w:cs="GoudySansITCbyBT-Light"/>
          <w:color w:val="000000" w:themeColor="text1"/>
          <w:lang w:eastAsia="es-CO"/>
        </w:rPr>
        <w:t>APORTES DEL SECTOR SOLIDARIO AL SECTOR EDUCATIVO</w:t>
      </w:r>
    </w:p>
    <w:p w:rsidR="00E2705A" w:rsidRPr="00E2705A" w:rsidRDefault="00E2705A" w:rsidP="00A92D87">
      <w:pPr>
        <w:autoSpaceDE w:val="0"/>
        <w:autoSpaceDN w:val="0"/>
        <w:adjustRightInd w:val="0"/>
        <w:spacing w:after="0" w:line="240" w:lineRule="auto"/>
        <w:rPr>
          <w:rFonts w:cs="GoudySansITCbyBT-Light"/>
          <w:color w:val="000000" w:themeColor="text1"/>
        </w:rPr>
      </w:pPr>
    </w:p>
    <w:p w:rsidR="00E2705A" w:rsidRPr="00E2705A" w:rsidRDefault="00E2705A" w:rsidP="00A92D87">
      <w:pPr>
        <w:autoSpaceDE w:val="0"/>
        <w:autoSpaceDN w:val="0"/>
        <w:adjustRightInd w:val="0"/>
        <w:spacing w:after="0" w:line="240" w:lineRule="auto"/>
        <w:jc w:val="both"/>
        <w:rPr>
          <w:rFonts w:cs="GoudySansITCbyBT-Light"/>
          <w:color w:val="000000" w:themeColor="text1"/>
        </w:rPr>
      </w:pPr>
      <w:r w:rsidRPr="00E2705A">
        <w:rPr>
          <w:rFonts w:cs="GoudySansITCbyBT-Light"/>
          <w:color w:val="000000" w:themeColor="text1"/>
        </w:rPr>
        <w:t>Año tras año, algunas cooperativas o entidades del sector privado se vinculan en pro de la educación de los sectores más necesitados mediante aportes económicos destinados a la compra de kits escolares, uniformes, implementos deportivos y construcción o dotación de espacios, que permiten mejorar los ambientes escolares de los establecimientos educativos oficiales y lograr, con ello el acceso y la permanencia de dichos estudiantes. Estos aportes se destinan deduciéndolos de los dineros que tienen la obligación de pagar por dividendos financieros</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BIBLIOTECAS VIRTUALES PARA EL SECTOR RURAL</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Teniendo en cuenta que el sector rural no cuenta con las mismas oportunidades del sector urbano en cuanto al acceso a la información y medios tecnológicos, la Secretaria de Educación ha visto la necesidad de implementar 8 bibliotecas virtuales durante el cuatrienio, con la finalidad de brindarles oportunidad de acceso a la información y al conocimiento a los estudiantes del sector rural y permitirles desarrollar con menos dificultad el currículo programado por los docentes. Estas alternativas de conocimiento motivan a los estudiantes y les permiten utilizar mejor el tiempo libre y a los padres de familia la tarea de colaborar en el desarrollo de actividades escolares. Así mismo, permitirá disminuir la brecha de inequidad entre las comunidades rurales y urbanas.</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TECNOLOGÍA - TIC´S</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lastRenderedPageBreak/>
        <w:t>Los programas encaminados a la apropiación de las TIC, se ha basado en las directrices del nivel central, normatividad y metas del gobierno nacional, teniendo en cuenta los macro objetivos del plan decenal 2006 – 2016.  Por lo tanto, este proyecto apunta a ofrecer a los estudiantes ambientes de aprendizaje que estén acordes a la movilidad del momento, dotando a los establecimientos educativos de conectividad, equipos de cómputo y acompañando, esta dotación de un proceso pertinente de formación docente que permita, entre otros logros, la elaboración de contenidos digitales para facilitar el aprendizaje de los estudiantes.</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ATENCIÓN EDUCATIVA A LA POBLACIÓN VÍCTIMA DEL CONFLICTO</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Cumpliendo con la sentencia T-025 del 2004 emanada de la Corte Constitucional, con la Ley 387 de 1997 y la Ley de Víctimas 1448 del 2011, la Secretaría de Educación Municipal atenderá a la población en edad escolar en situación de desplazamiento, identificando y caracterizando a esta población matriculada en los establecimientos educativos oficiales, garantizándoles la asesoría y seguimiento y comunicando a los establecimientos educativos sobre la no exigencia de uniformes y certificados de estudio.</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En la actualidad los establecimientos educativos cuentan con orientadores escolares con los cuales se realizará el acompañamiento y estrategias de atención psicosocial.</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ASESORÍA Y SEGUIMIENTO PEDAGÓGICO A DOCENTES DE LOS ESTABLECIMIENTOS EDUCATIVOS EN INCLUSIÓN EDUCATIVA</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color w:val="000000"/>
        </w:rPr>
      </w:pPr>
      <w:r w:rsidRPr="00E2705A">
        <w:rPr>
          <w:rFonts w:cs="GoudySansITCbyBT-Light"/>
          <w:color w:val="000000"/>
        </w:rPr>
        <w:t>En Colombia es múltiple el direccionamiento y desarrollo de la política pública de inclusión que reconoce una apertura discursiva y se ratifica desde la constitución política de 1991, artículos 5 y 13, como una acción de derecho y de igualdades a los servicios que fortalecen las potencialidades humanas. Con el propósito de superar la exclusión e invisibilidad social de las personas en situación de discapacidad, la Convención sobre los Derechos de las Personas con Discapacidad fue adoptada en 2006 y entró en vigor en mayo de 2008 como el primero de los tratados internacionales del Siglo XXI. Por su parte, el Ministerio de Educación Nacional expide el decreto 366 del 9 de febrero de 2009 “Por medio del cual se reglamenta la organización del servicio de apoyo pedagógico para la atención de los estudiantes con discapacidad y con capacidades o con talentos excepcionales en el marco de la educación inclusiva”.</w:t>
      </w:r>
    </w:p>
    <w:p w:rsidR="00E2705A" w:rsidRPr="00E2705A" w:rsidRDefault="00E2705A" w:rsidP="00A92D87">
      <w:pPr>
        <w:autoSpaceDE w:val="0"/>
        <w:autoSpaceDN w:val="0"/>
        <w:adjustRightInd w:val="0"/>
        <w:spacing w:after="0" w:line="240" w:lineRule="auto"/>
        <w:jc w:val="both"/>
        <w:rPr>
          <w:rFonts w:cs="CastleT-Ligh"/>
          <w:color w:val="000000"/>
        </w:rPr>
      </w:pPr>
    </w:p>
    <w:p w:rsidR="00E2705A" w:rsidRPr="00E2705A" w:rsidRDefault="00E2705A" w:rsidP="00A92D87">
      <w:pPr>
        <w:autoSpaceDE w:val="0"/>
        <w:autoSpaceDN w:val="0"/>
        <w:adjustRightInd w:val="0"/>
        <w:spacing w:after="0" w:line="240" w:lineRule="auto"/>
        <w:jc w:val="both"/>
        <w:rPr>
          <w:rFonts w:cs="GoudySansITCbyBT-Light"/>
          <w:color w:val="0089BC"/>
        </w:rPr>
      </w:pPr>
      <w:r w:rsidRPr="00E2705A">
        <w:rPr>
          <w:rFonts w:cs="GoudySansITCbyBT-Light"/>
          <w:color w:val="000000"/>
        </w:rPr>
        <w:t>Frente a la política de inclusión, la Secretaria de Educación Municipal construye la propuesta de apoyo pedagógico, no solo para atender el cumplimiento tácito de la norma, sino para trascender a otras formas de ver a los “otros”, reconocer y valorar las diferencias. Precisamente para permitir otras miradas de realidad frente a la situación de discapacidad; en el presente Plan de Educación se adoptan otros discursos que se basan en la dignidad, en donde el término ““deficiencia” es sustituido por “diferencia orgánica” o “diferencia funcional” con el fin de eliminar la carga negativa de las palabras que aluden a las características de un ser humano”</w:t>
      </w:r>
      <w:r w:rsidRPr="00E2705A">
        <w:rPr>
          <w:rFonts w:cs="GoudySansITCbyBT-Light"/>
          <w:color w:val="0089BC"/>
        </w:rPr>
        <w:t>.</w:t>
      </w:r>
    </w:p>
    <w:p w:rsidR="00E2705A" w:rsidRPr="00E2705A" w:rsidRDefault="00E2705A" w:rsidP="00A92D87">
      <w:pPr>
        <w:autoSpaceDE w:val="0"/>
        <w:autoSpaceDN w:val="0"/>
        <w:adjustRightInd w:val="0"/>
        <w:spacing w:after="0" w:line="240" w:lineRule="auto"/>
        <w:jc w:val="both"/>
        <w:rPr>
          <w:rFonts w:cs="GoudySansITCbyBT-Light"/>
          <w:color w:val="0089BC"/>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 xml:space="preserve">Finalmente, es importante resaltar que desde el modelo social se impulsa la educación inclusiva no como una modificación en la organización de la escuela, sino como un cambio en la ética de la </w:t>
      </w:r>
      <w:r w:rsidRPr="00E2705A">
        <w:rPr>
          <w:rFonts w:cs="GoudySansITCbyBT-Light"/>
        </w:rPr>
        <w:lastRenderedPageBreak/>
        <w:t>escuela, en las representaciones sobre el rol y misión del maestro, no solo para aceptar las diferencias individuales sino también para valorarlas. Es decir que necesita del compromiso ético de todos los actores de la comunidad educativa como parte del desarrollo humano.</w:t>
      </w:r>
    </w:p>
    <w:p w:rsidR="00E2705A" w:rsidRPr="00E2705A" w:rsidRDefault="00E2705A" w:rsidP="00A92D87">
      <w:pPr>
        <w:autoSpaceDE w:val="0"/>
        <w:autoSpaceDN w:val="0"/>
        <w:adjustRightInd w:val="0"/>
        <w:spacing w:after="0" w:line="240" w:lineRule="auto"/>
        <w:jc w:val="both"/>
        <w:rPr>
          <w:rFonts w:cs="GoudySansITCbyBT-Light"/>
          <w:color w:val="000000"/>
        </w:rPr>
      </w:pP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0000"/>
        </w:rPr>
        <w:t>En el proyecto se tiene en cuenta los siguientes componentes:</w:t>
      </w: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89BC"/>
        </w:rPr>
        <w:t xml:space="preserve">• </w:t>
      </w:r>
      <w:r w:rsidRPr="00E2705A">
        <w:rPr>
          <w:rFonts w:cs="GoudySansITCbyBT-Light"/>
          <w:color w:val="000000"/>
        </w:rPr>
        <w:t>Componente de sensibilización, información y difusión</w:t>
      </w: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89BC"/>
        </w:rPr>
        <w:t xml:space="preserve">• </w:t>
      </w:r>
      <w:r w:rsidRPr="00E2705A">
        <w:rPr>
          <w:rFonts w:cs="GoudySansITCbyBT-Light"/>
          <w:color w:val="000000"/>
        </w:rPr>
        <w:t>Componente pedagógico y curricular</w:t>
      </w: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89BC"/>
        </w:rPr>
        <w:t xml:space="preserve">• </w:t>
      </w:r>
      <w:r w:rsidRPr="00E2705A">
        <w:rPr>
          <w:rFonts w:cs="GoudySansITCbyBT-Light"/>
          <w:color w:val="000000"/>
        </w:rPr>
        <w:t>Componente de gestión de contexto</w:t>
      </w:r>
    </w:p>
    <w:p w:rsidR="00E2705A" w:rsidRPr="00E2705A" w:rsidRDefault="00E2705A" w:rsidP="00A92D87">
      <w:pPr>
        <w:autoSpaceDE w:val="0"/>
        <w:autoSpaceDN w:val="0"/>
        <w:adjustRightInd w:val="0"/>
        <w:spacing w:after="0" w:line="240" w:lineRule="auto"/>
        <w:jc w:val="both"/>
        <w:rPr>
          <w:rFonts w:cs="GoudySansITCbyBT-Light"/>
          <w:color w:val="000000"/>
        </w:rPr>
      </w:pPr>
      <w:r w:rsidRPr="00E2705A">
        <w:rPr>
          <w:rFonts w:cs="GoudySansITCbyBT-Light"/>
          <w:color w:val="0089BC"/>
        </w:rPr>
        <w:t xml:space="preserve">• </w:t>
      </w:r>
      <w:r w:rsidRPr="00E2705A">
        <w:rPr>
          <w:rFonts w:cs="GoudySansITCbyBT-Light"/>
          <w:color w:val="000000"/>
        </w:rPr>
        <w:t>Componente de seguimiento y evaluación</w:t>
      </w:r>
    </w:p>
    <w:p w:rsidR="00E2705A" w:rsidRPr="00E2705A" w:rsidRDefault="00E2705A" w:rsidP="00A92D87">
      <w:pPr>
        <w:autoSpaceDE w:val="0"/>
        <w:autoSpaceDN w:val="0"/>
        <w:adjustRightInd w:val="0"/>
        <w:spacing w:after="0" w:line="240" w:lineRule="auto"/>
        <w:jc w:val="both"/>
        <w:rPr>
          <w:rFonts w:cs="GoudySansITCbyBT-Light"/>
          <w:color w:val="000000"/>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MEJORAMIENTO Y CONSTRUCCIÓN DE NUEVA INFRAESTRUCTURA EDUCATIVA</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La SEM Pasto es consciente y aúna esfuerzos para mejorar en este materia puesto que una buena calidad en infraestructura y espacios pedagógicos adecuados repercute directamente en mejorar la calidad educativa de nuestros niños; la SEM ha estado apoyando diferentes gestiones para buscar financiación de obras para la primera infancia como construcciones nuevas y adecuaciones de los Centros de Desarrollo Infantil – CDI que administra el ICBF y que se constituyen en el primer salón y espacio pedagógico para que nuestros niños tengan una buena orientación y transición hacia los niveles superiores; en el año 2015, gracias agestión realizada por la SEM, el Ministerio de Vivienda y la Vicepresidencia de la República invertirán la suma de $3.000.000.000 para la construcción de un nuevo CDI y una nueve sede de primaria en el predio de la IEM Artemio Mendoza, Sede Santa Matilde, ubicada en la Comuna 10.</w:t>
      </w:r>
    </w:p>
    <w:p w:rsidR="00E2705A" w:rsidRPr="00E2705A" w:rsidRDefault="00E2705A" w:rsidP="00A92D87">
      <w:pPr>
        <w:spacing w:after="0" w:line="240" w:lineRule="auto"/>
        <w:ind w:left="1080"/>
        <w:contextualSpacing/>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Como efectos de la acción institucional y los programas desarrollados y mencionados en el numeral cuatro se tiene la siguiente población atendida de los niños entre  6 y 10 años que se encuentran matriculados en el nivel de primaria (grados 1 a 5).</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POR ZONA </w:t>
      </w:r>
    </w:p>
    <w:tbl>
      <w:tblPr>
        <w:tblStyle w:val="Tablaconcuadrcula121"/>
        <w:tblW w:w="0" w:type="auto"/>
        <w:tblInd w:w="360" w:type="dxa"/>
        <w:tblLook w:val="04A0"/>
      </w:tblPr>
      <w:tblGrid>
        <w:gridCol w:w="665"/>
        <w:gridCol w:w="1381"/>
        <w:gridCol w:w="1258"/>
        <w:gridCol w:w="1377"/>
        <w:gridCol w:w="1381"/>
        <w:gridCol w:w="1256"/>
        <w:gridCol w:w="1376"/>
      </w:tblGrid>
      <w:tr w:rsidR="00E2705A" w:rsidRPr="00E2705A" w:rsidTr="00000F81">
        <w:tc>
          <w:tcPr>
            <w:tcW w:w="727" w:type="dxa"/>
            <w:tcBorders>
              <w:top w:val="single" w:sz="4" w:space="0" w:color="auto"/>
              <w:left w:val="single" w:sz="4" w:space="0" w:color="auto"/>
              <w:bottom w:val="nil"/>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Año</w:t>
            </w:r>
          </w:p>
        </w:tc>
        <w:tc>
          <w:tcPr>
            <w:tcW w:w="3920"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Urbano</w:t>
            </w:r>
          </w:p>
        </w:tc>
        <w:tc>
          <w:tcPr>
            <w:tcW w:w="3821"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Rural</w:t>
            </w:r>
          </w:p>
        </w:tc>
      </w:tr>
      <w:tr w:rsidR="00E2705A" w:rsidRPr="00E2705A" w:rsidTr="00000F81">
        <w:tc>
          <w:tcPr>
            <w:tcW w:w="727" w:type="dxa"/>
            <w:tcBorders>
              <w:top w:val="nil"/>
              <w:left w:val="single" w:sz="4" w:space="0" w:color="auto"/>
              <w:bottom w:val="single" w:sz="4" w:space="0" w:color="auto"/>
              <w:right w:val="single" w:sz="4" w:space="0" w:color="auto"/>
            </w:tcBorders>
          </w:tcPr>
          <w:p w:rsidR="00E2705A" w:rsidRPr="00E2705A" w:rsidRDefault="00E2705A" w:rsidP="00A92D87">
            <w:pPr>
              <w:contextualSpacing/>
              <w:jc w:val="both"/>
              <w:rPr>
                <w:rFonts w:eastAsia="Times New Roman" w:cs="Times New Roman"/>
              </w:rPr>
            </w:pPr>
          </w:p>
        </w:tc>
        <w:tc>
          <w:tcPr>
            <w:tcW w:w="11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No. De Estudiantes matriculados </w:t>
            </w:r>
          </w:p>
        </w:tc>
        <w:tc>
          <w:tcPr>
            <w:tcW w:w="1338"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11 a 14 años</w:t>
            </w:r>
          </w:p>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 DANE</w:t>
            </w:r>
          </w:p>
        </w:tc>
        <w:tc>
          <w:tcPr>
            <w:tcW w:w="141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c>
          <w:tcPr>
            <w:tcW w:w="11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No. De Estudiantes matriculados </w:t>
            </w:r>
          </w:p>
        </w:tc>
        <w:tc>
          <w:tcPr>
            <w:tcW w:w="1301"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11 a 14 años</w:t>
            </w:r>
          </w:p>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 DANE</w:t>
            </w:r>
          </w:p>
        </w:tc>
        <w:tc>
          <w:tcPr>
            <w:tcW w:w="1351"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r>
      <w:tr w:rsidR="00E2705A" w:rsidRPr="00E2705A" w:rsidTr="00000F81">
        <w:tc>
          <w:tcPr>
            <w:tcW w:w="727"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2012</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23056</w:t>
            </w:r>
          </w:p>
        </w:tc>
        <w:tc>
          <w:tcPr>
            <w:tcW w:w="133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30137</w:t>
            </w:r>
          </w:p>
        </w:tc>
        <w:tc>
          <w:tcPr>
            <w:tcW w:w="141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77%</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4002</w:t>
            </w:r>
          </w:p>
        </w:tc>
        <w:tc>
          <w:tcPr>
            <w:tcW w:w="130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30137</w:t>
            </w:r>
          </w:p>
        </w:tc>
        <w:tc>
          <w:tcPr>
            <w:tcW w:w="135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w:t>
            </w:r>
          </w:p>
        </w:tc>
      </w:tr>
      <w:tr w:rsidR="00E2705A" w:rsidRPr="00E2705A" w:rsidTr="00000F81">
        <w:tc>
          <w:tcPr>
            <w:tcW w:w="727"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2013</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22580</w:t>
            </w:r>
          </w:p>
        </w:tc>
        <w:tc>
          <w:tcPr>
            <w:tcW w:w="133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29754</w:t>
            </w:r>
          </w:p>
        </w:tc>
        <w:tc>
          <w:tcPr>
            <w:tcW w:w="141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76%</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4067</w:t>
            </w:r>
          </w:p>
        </w:tc>
        <w:tc>
          <w:tcPr>
            <w:tcW w:w="130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29754</w:t>
            </w:r>
          </w:p>
        </w:tc>
        <w:tc>
          <w:tcPr>
            <w:tcW w:w="135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w:t>
            </w:r>
          </w:p>
        </w:tc>
      </w:tr>
      <w:tr w:rsidR="00E2705A" w:rsidRPr="00E2705A" w:rsidTr="00000F81">
        <w:tc>
          <w:tcPr>
            <w:tcW w:w="727"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2014</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22216</w:t>
            </w:r>
          </w:p>
        </w:tc>
        <w:tc>
          <w:tcPr>
            <w:tcW w:w="133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29303</w:t>
            </w:r>
          </w:p>
        </w:tc>
        <w:tc>
          <w:tcPr>
            <w:tcW w:w="141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76%</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4079</w:t>
            </w:r>
          </w:p>
        </w:tc>
        <w:tc>
          <w:tcPr>
            <w:tcW w:w="130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29303</w:t>
            </w:r>
          </w:p>
        </w:tc>
        <w:tc>
          <w:tcPr>
            <w:tcW w:w="135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w:t>
            </w:r>
          </w:p>
        </w:tc>
      </w:tr>
      <w:tr w:rsidR="00E2705A" w:rsidRPr="00E2705A" w:rsidTr="00000F81">
        <w:tc>
          <w:tcPr>
            <w:tcW w:w="727"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2015</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19815</w:t>
            </w:r>
          </w:p>
        </w:tc>
        <w:tc>
          <w:tcPr>
            <w:tcW w:w="133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28813</w:t>
            </w:r>
          </w:p>
        </w:tc>
        <w:tc>
          <w:tcPr>
            <w:tcW w:w="141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69%</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6525</w:t>
            </w:r>
          </w:p>
        </w:tc>
        <w:tc>
          <w:tcPr>
            <w:tcW w:w="130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28813</w:t>
            </w:r>
          </w:p>
        </w:tc>
        <w:tc>
          <w:tcPr>
            <w:tcW w:w="135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23%</w:t>
            </w:r>
          </w:p>
        </w:tc>
      </w:tr>
    </w:tbl>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La distribución urbana rural en el municipio de Pasto se presenta en forma equitativa de acuerdo a la distribución de la población en cada uno de los sectores; si bien la tendencia del indicador muestra una disminución en la participación porcentual, cubre la demanda potencial en cada zona. También se destaca que en el sector urbano, el número de estudiantes matriculados disminuyen; diferente ocurre en el sector rural donde se observa un incremento.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POR GÉNERO</w:t>
      </w:r>
    </w:p>
    <w:tbl>
      <w:tblPr>
        <w:tblStyle w:val="Tablaconcuadrcula121"/>
        <w:tblW w:w="0" w:type="auto"/>
        <w:tblInd w:w="360" w:type="dxa"/>
        <w:tblLook w:val="04A0"/>
      </w:tblPr>
      <w:tblGrid>
        <w:gridCol w:w="665"/>
        <w:gridCol w:w="1381"/>
        <w:gridCol w:w="1257"/>
        <w:gridCol w:w="1376"/>
        <w:gridCol w:w="1381"/>
        <w:gridCol w:w="1258"/>
        <w:gridCol w:w="1376"/>
      </w:tblGrid>
      <w:tr w:rsidR="00E2705A" w:rsidRPr="00E2705A" w:rsidTr="00000F81">
        <w:tc>
          <w:tcPr>
            <w:tcW w:w="732" w:type="dxa"/>
            <w:tcBorders>
              <w:top w:val="single" w:sz="4" w:space="0" w:color="auto"/>
              <w:left w:val="single" w:sz="4" w:space="0" w:color="auto"/>
              <w:bottom w:val="nil"/>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Año</w:t>
            </w:r>
          </w:p>
        </w:tc>
        <w:tc>
          <w:tcPr>
            <w:tcW w:w="3860"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MASCULINO</w:t>
            </w:r>
          </w:p>
        </w:tc>
        <w:tc>
          <w:tcPr>
            <w:tcW w:w="3876"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FEMENINO</w:t>
            </w:r>
          </w:p>
        </w:tc>
      </w:tr>
      <w:tr w:rsidR="00E2705A" w:rsidRPr="00E2705A" w:rsidTr="00000F81">
        <w:tc>
          <w:tcPr>
            <w:tcW w:w="732" w:type="dxa"/>
            <w:tcBorders>
              <w:top w:val="nil"/>
              <w:left w:val="single" w:sz="4" w:space="0" w:color="auto"/>
              <w:bottom w:val="single" w:sz="4" w:space="0" w:color="auto"/>
              <w:right w:val="single" w:sz="4" w:space="0" w:color="auto"/>
            </w:tcBorders>
          </w:tcPr>
          <w:p w:rsidR="00E2705A" w:rsidRPr="00E2705A" w:rsidRDefault="00E2705A" w:rsidP="00A92D87">
            <w:pPr>
              <w:contextualSpacing/>
              <w:jc w:val="both"/>
              <w:rPr>
                <w:rFonts w:eastAsia="Times New Roman" w:cs="Times New Roman"/>
              </w:rPr>
            </w:pPr>
          </w:p>
        </w:tc>
        <w:tc>
          <w:tcPr>
            <w:tcW w:w="125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No. De Estudiantes matriculados </w:t>
            </w:r>
          </w:p>
        </w:tc>
        <w:tc>
          <w:tcPr>
            <w:tcW w:w="133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11 a 14 años</w:t>
            </w:r>
          </w:p>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 DANE</w:t>
            </w:r>
          </w:p>
        </w:tc>
        <w:tc>
          <w:tcPr>
            <w:tcW w:w="1271"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c>
          <w:tcPr>
            <w:tcW w:w="11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No. De Estudiantes matriculados </w:t>
            </w:r>
          </w:p>
        </w:tc>
        <w:tc>
          <w:tcPr>
            <w:tcW w:w="1387"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11 a 14 años</w:t>
            </w:r>
          </w:p>
          <w:p w:rsidR="00E2705A" w:rsidRPr="00E2705A" w:rsidRDefault="00E2705A" w:rsidP="00A92D87">
            <w:pPr>
              <w:contextualSpacing/>
              <w:jc w:val="center"/>
              <w:rPr>
                <w:rFonts w:eastAsia="Times New Roman" w:cs="Times New Roman"/>
              </w:rPr>
            </w:pPr>
            <w:r w:rsidRPr="00E2705A">
              <w:rPr>
                <w:rFonts w:eastAsia="Times New Roman" w:cs="Times New Roman"/>
              </w:rPr>
              <w:t xml:space="preserve"> DANE</w:t>
            </w:r>
          </w:p>
        </w:tc>
        <w:tc>
          <w:tcPr>
            <w:tcW w:w="132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2012</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13424</w:t>
            </w:r>
          </w:p>
        </w:tc>
        <w:tc>
          <w:tcPr>
            <w:tcW w:w="133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14967</w:t>
            </w:r>
          </w:p>
        </w:tc>
        <w:tc>
          <w:tcPr>
            <w:tcW w:w="12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90%</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13634</w:t>
            </w:r>
          </w:p>
        </w:tc>
        <w:tc>
          <w:tcPr>
            <w:tcW w:w="138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15170</w:t>
            </w:r>
          </w:p>
        </w:tc>
        <w:tc>
          <w:tcPr>
            <w:tcW w:w="132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90%</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2013</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13242</w:t>
            </w:r>
          </w:p>
        </w:tc>
        <w:tc>
          <w:tcPr>
            <w:tcW w:w="133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14773</w:t>
            </w:r>
          </w:p>
        </w:tc>
        <w:tc>
          <w:tcPr>
            <w:tcW w:w="12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90%</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13405</w:t>
            </w:r>
          </w:p>
        </w:tc>
        <w:tc>
          <w:tcPr>
            <w:tcW w:w="138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14981</w:t>
            </w:r>
          </w:p>
        </w:tc>
        <w:tc>
          <w:tcPr>
            <w:tcW w:w="132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89%</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2014</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13082</w:t>
            </w:r>
          </w:p>
        </w:tc>
        <w:tc>
          <w:tcPr>
            <w:tcW w:w="133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14568</w:t>
            </w:r>
          </w:p>
        </w:tc>
        <w:tc>
          <w:tcPr>
            <w:tcW w:w="12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90%</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13213</w:t>
            </w:r>
          </w:p>
        </w:tc>
        <w:tc>
          <w:tcPr>
            <w:tcW w:w="138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14735</w:t>
            </w:r>
          </w:p>
        </w:tc>
        <w:tc>
          <w:tcPr>
            <w:tcW w:w="132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90%</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2015</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13222</w:t>
            </w:r>
          </w:p>
        </w:tc>
        <w:tc>
          <w:tcPr>
            <w:tcW w:w="133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14363</w:t>
            </w:r>
          </w:p>
        </w:tc>
        <w:tc>
          <w:tcPr>
            <w:tcW w:w="12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92%</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13118</w:t>
            </w:r>
          </w:p>
        </w:tc>
        <w:tc>
          <w:tcPr>
            <w:tcW w:w="138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14450</w:t>
            </w:r>
          </w:p>
        </w:tc>
        <w:tc>
          <w:tcPr>
            <w:tcW w:w="132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91%</w:t>
            </w:r>
          </w:p>
        </w:tc>
      </w:tr>
    </w:tbl>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El porcentaje comparativo de hombres y mujeres matriculados en el nivel de básica secundaria tiene un comportamiento estable, garantizando así la igualdad de género.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numPr>
          <w:ilvl w:val="0"/>
          <w:numId w:val="46"/>
        </w:num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POR SITUACION DE DESPLAZAMIENTO E </w:t>
      </w:r>
      <w:r w:rsidRPr="00E2705A">
        <w:rPr>
          <w:rFonts w:eastAsia="Times New Roman" w:cs="GoudySansITCbyBT-Light"/>
          <w:lang w:eastAsia="es-CO"/>
        </w:rPr>
        <w:t>INCLUSIÓN EDUCATIVA</w:t>
      </w:r>
      <w:r w:rsidRPr="00E2705A">
        <w:rPr>
          <w:rFonts w:eastAsia="Times New Roman" w:cs="Times New Roman"/>
          <w:lang w:eastAsia="es-CO"/>
        </w:rPr>
        <w:t xml:space="preserve"> </w:t>
      </w:r>
    </w:p>
    <w:p w:rsidR="00E2705A" w:rsidRPr="00E2705A" w:rsidRDefault="00E2705A" w:rsidP="00A92D87">
      <w:pPr>
        <w:spacing w:after="0" w:line="240" w:lineRule="auto"/>
        <w:ind w:left="360"/>
        <w:contextualSpacing/>
        <w:jc w:val="both"/>
        <w:rPr>
          <w:rFonts w:eastAsia="Times New Roman" w:cs="Times New Roman"/>
          <w:lang w:eastAsia="es-CO"/>
        </w:rPr>
      </w:pPr>
    </w:p>
    <w:tbl>
      <w:tblPr>
        <w:tblStyle w:val="Tablaconcuadrcula121"/>
        <w:tblW w:w="0" w:type="auto"/>
        <w:tblInd w:w="360" w:type="dxa"/>
        <w:tblLook w:val="04A0"/>
      </w:tblPr>
      <w:tblGrid>
        <w:gridCol w:w="769"/>
        <w:gridCol w:w="3828"/>
        <w:gridCol w:w="3871"/>
      </w:tblGrid>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AÑO</w:t>
            </w:r>
          </w:p>
        </w:tc>
        <w:tc>
          <w:tcPr>
            <w:tcW w:w="3828"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b/>
              </w:rPr>
            </w:pPr>
            <w:r w:rsidRPr="00E2705A">
              <w:rPr>
                <w:rFonts w:eastAsia="Times New Roman" w:cs="Times New Roman"/>
                <w:b/>
              </w:rPr>
              <w:t>ESTUDIANTES CON SITUACION DE DESPLAZAMIENTO</w:t>
            </w:r>
          </w:p>
        </w:tc>
        <w:tc>
          <w:tcPr>
            <w:tcW w:w="3871"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b/>
              </w:rPr>
            </w:pPr>
            <w:r w:rsidRPr="00E2705A">
              <w:rPr>
                <w:rFonts w:eastAsia="Times New Roman" w:cs="Times New Roman"/>
                <w:b/>
              </w:rPr>
              <w:t>POBLACION EN DISCAPACIDAD</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2012</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914</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46</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2013</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1064</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450</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2014</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1102</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646</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2015</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1308</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755</w:t>
            </w:r>
          </w:p>
        </w:tc>
      </w:tr>
    </w:tbl>
    <w:p w:rsidR="00E2705A" w:rsidRPr="00E2705A" w:rsidRDefault="00E2705A" w:rsidP="00A92D87">
      <w:pPr>
        <w:spacing w:line="240" w:lineRule="auto"/>
        <w:ind w:left="360"/>
        <w:jc w:val="both"/>
      </w:pPr>
      <w:r w:rsidRPr="00E2705A">
        <w:t>De acuerdo a la movilidad que presenta en el municipio de Pasto, la tabla indica un incremento de los estudiantes registrados y caracterizados en el SIMAT.  En cuanto al registro y caracterización de los estudiantes que presentan discapacidad funcional, la SEMPASTO cuenta con docentes de apoyo que ha hecho que se incremente su identificación y caracterización en el Sistema de Información de matrícula.</w:t>
      </w: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Garantizar la continuidad de los alumnos activos en el sistema educativo oficial y privado como también el acceso a los estudiantes que se encuentran por fuera del sistema educativo, brindándoles modelos educativos flexibles como también estrategias de permanencia.</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Se tenga en cuenta las prioridades planteadas en el próximo Plan de desarrollo Educativo del Municipio de Pasto.</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E2705A">
        <w:rPr>
          <w:b/>
          <w:i/>
          <w:iCs/>
        </w:rPr>
        <w:t>DESCRIPCIÓN DEL INDICADOR No. 54</w:t>
      </w:r>
    </w:p>
    <w:tbl>
      <w:tblPr>
        <w:tblStyle w:val="Tabladecuadrcula2-nfasis511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lastRenderedPageBreak/>
              <w:t xml:space="preserve">MUNICIPIO: PASTO </w:t>
            </w:r>
          </w:p>
          <w:p w:rsidR="00E2705A" w:rsidRPr="00E2705A" w:rsidRDefault="00E2705A" w:rsidP="00A92D87">
            <w:r w:rsidRPr="00E2705A">
              <w:t>ALCALDIA DE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 xml:space="preserve">Nombre del indicador: </w:t>
            </w:r>
          </w:p>
          <w:p w:rsidR="00E2705A" w:rsidRPr="00E2705A" w:rsidRDefault="00E2705A" w:rsidP="00A92D87">
            <w:r w:rsidRPr="00E2705A">
              <w:t>Cobertura escolar bruta para educación media</w:t>
            </w:r>
          </w:p>
        </w:tc>
      </w:tr>
      <w:tr w:rsidR="00E2705A" w:rsidRPr="00E2705A" w:rsidTr="00000F81">
        <w:trPr>
          <w:trHeight w:val="332"/>
          <w:jc w:val="center"/>
        </w:trPr>
        <w:tc>
          <w:tcPr>
            <w:cnfStyle w:val="001000000000"/>
            <w:tcW w:w="8828" w:type="dxa"/>
          </w:tcPr>
          <w:p w:rsidR="00E2705A" w:rsidRPr="00E2705A" w:rsidRDefault="00E2705A" w:rsidP="00A92D87">
            <w:r w:rsidRPr="00E2705A">
              <w:t>Fuente Nacional: Ministerio de Educación Nacional - SIMAT</w:t>
            </w:r>
          </w:p>
          <w:p w:rsidR="00E2705A" w:rsidRPr="00E2705A" w:rsidRDefault="00E2705A" w:rsidP="00A92D87">
            <w:r w:rsidRPr="00E2705A">
              <w:t>Otra Fuente: DANE</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Derechos:  Derecho al Desarrollo</w:t>
            </w:r>
          </w:p>
        </w:tc>
      </w:tr>
      <w:tr w:rsidR="00E2705A" w:rsidRPr="00E2705A" w:rsidTr="00000F81">
        <w:trPr>
          <w:trHeight w:val="458"/>
          <w:jc w:val="center"/>
        </w:trPr>
        <w:tc>
          <w:tcPr>
            <w:cnfStyle w:val="001000000000"/>
            <w:tcW w:w="8828" w:type="dxa"/>
          </w:tcPr>
          <w:p w:rsidR="00E2705A" w:rsidRPr="00E2705A" w:rsidRDefault="00E2705A" w:rsidP="00A92D87">
            <w:r w:rsidRPr="00E2705A">
              <w:t>Temas relacionados: Educación</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A92D87">
      <w:pPr>
        <w:spacing w:line="240" w:lineRule="auto"/>
      </w:pP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Para el cálculo y análisis de la tasa de cobertura bruta, realizados en el estudio, se utilizó como numerador el dato de la matrícula del sistema integral de matrícula - SIMAT y como denominador la población en edad escolar.  La tasa de cobertura bruta resulta de dividir la matricula total, independientemente de la edad de os estudiantes, sobre la población en edad escolar correspondiente a dicho nivel.</w:t>
      </w:r>
    </w:p>
    <w:p w:rsidR="00E2705A" w:rsidRPr="00E2705A" w:rsidRDefault="00E2705A" w:rsidP="00A92D87">
      <w:pPr>
        <w:spacing w:line="240" w:lineRule="auto"/>
        <w:rPr>
          <w:b/>
        </w:rPr>
      </w:pPr>
    </w:p>
    <w:p w:rsidR="00E2705A" w:rsidRPr="00E2705A" w:rsidRDefault="00E2705A" w:rsidP="00A92D87">
      <w:pPr>
        <w:spacing w:after="0" w:line="240" w:lineRule="auto"/>
        <w:ind w:left="1080"/>
        <w:contextualSpacing/>
        <w:rPr>
          <w:rFonts w:eastAsia="Times New Roman" w:cs="Times New Roman"/>
          <w:b/>
          <w:lang w:eastAsia="es-CO"/>
        </w:rPr>
      </w:pPr>
    </w:p>
    <w:tbl>
      <w:tblPr>
        <w:tblStyle w:val="Tablaconcuadrcula131"/>
        <w:tblW w:w="0" w:type="auto"/>
        <w:tblInd w:w="-431" w:type="dxa"/>
        <w:tblLook w:val="04A0"/>
      </w:tblPr>
      <w:tblGrid>
        <w:gridCol w:w="5813"/>
        <w:gridCol w:w="850"/>
        <w:gridCol w:w="851"/>
        <w:gridCol w:w="709"/>
        <w:gridCol w:w="1036"/>
      </w:tblGrid>
      <w:tr w:rsidR="00E2705A" w:rsidRPr="00E2705A" w:rsidTr="00000F81">
        <w:tc>
          <w:tcPr>
            <w:tcW w:w="5813" w:type="dxa"/>
          </w:tcPr>
          <w:p w:rsidR="00E2705A" w:rsidRPr="00E2705A" w:rsidRDefault="00E2705A" w:rsidP="00A92D87">
            <w:pPr>
              <w:jc w:val="center"/>
              <w:rPr>
                <w:b/>
              </w:rPr>
            </w:pPr>
            <w:r w:rsidRPr="00E2705A">
              <w:rPr>
                <w:b/>
              </w:rPr>
              <w:t>Indicador</w:t>
            </w:r>
          </w:p>
        </w:tc>
        <w:tc>
          <w:tcPr>
            <w:tcW w:w="850" w:type="dxa"/>
          </w:tcPr>
          <w:p w:rsidR="00E2705A" w:rsidRPr="00E2705A" w:rsidRDefault="00E2705A" w:rsidP="00A92D87">
            <w:pPr>
              <w:jc w:val="center"/>
              <w:rPr>
                <w:b/>
              </w:rPr>
            </w:pPr>
            <w:r w:rsidRPr="00E2705A">
              <w:rPr>
                <w:b/>
              </w:rPr>
              <w:t>2011</w:t>
            </w:r>
          </w:p>
        </w:tc>
        <w:tc>
          <w:tcPr>
            <w:tcW w:w="851" w:type="dxa"/>
          </w:tcPr>
          <w:p w:rsidR="00E2705A" w:rsidRPr="00E2705A" w:rsidRDefault="00E2705A" w:rsidP="00A92D87">
            <w:pPr>
              <w:jc w:val="center"/>
              <w:rPr>
                <w:b/>
              </w:rPr>
            </w:pPr>
            <w:r w:rsidRPr="00E2705A">
              <w:rPr>
                <w:b/>
              </w:rPr>
              <w:t>2012</w:t>
            </w:r>
          </w:p>
        </w:tc>
        <w:tc>
          <w:tcPr>
            <w:tcW w:w="709" w:type="dxa"/>
          </w:tcPr>
          <w:p w:rsidR="00E2705A" w:rsidRPr="00E2705A" w:rsidRDefault="00E2705A" w:rsidP="00A92D87">
            <w:pPr>
              <w:jc w:val="center"/>
              <w:rPr>
                <w:b/>
              </w:rPr>
            </w:pPr>
            <w:r w:rsidRPr="00E2705A">
              <w:rPr>
                <w:b/>
              </w:rPr>
              <w:t>2013</w:t>
            </w:r>
          </w:p>
        </w:tc>
        <w:tc>
          <w:tcPr>
            <w:tcW w:w="1036" w:type="dxa"/>
          </w:tcPr>
          <w:p w:rsidR="00E2705A" w:rsidRPr="00E2705A" w:rsidRDefault="00E2705A" w:rsidP="00A92D87">
            <w:pPr>
              <w:jc w:val="center"/>
              <w:rPr>
                <w:b/>
              </w:rPr>
            </w:pPr>
            <w:r w:rsidRPr="00E2705A">
              <w:rPr>
                <w:b/>
              </w:rPr>
              <w:t>2014</w:t>
            </w:r>
          </w:p>
        </w:tc>
      </w:tr>
      <w:tr w:rsidR="00E2705A" w:rsidRPr="00E2705A" w:rsidTr="00000F81">
        <w:tc>
          <w:tcPr>
            <w:tcW w:w="5813" w:type="dxa"/>
          </w:tcPr>
          <w:p w:rsidR="00E2705A" w:rsidRPr="00E2705A" w:rsidRDefault="00E2705A" w:rsidP="00A92D87">
            <w:r w:rsidRPr="00E2705A">
              <w:t>Cobertura escolar bruta para educación media</w:t>
            </w:r>
          </w:p>
          <w:p w:rsidR="00E2705A" w:rsidRPr="00E2705A" w:rsidRDefault="00E2705A" w:rsidP="00A92D87">
            <w:r w:rsidRPr="00E2705A">
              <w:t>15 16  años</w:t>
            </w:r>
          </w:p>
        </w:tc>
        <w:tc>
          <w:tcPr>
            <w:tcW w:w="850" w:type="dxa"/>
          </w:tcPr>
          <w:p w:rsidR="00E2705A" w:rsidRPr="00E2705A" w:rsidRDefault="00E2705A" w:rsidP="00A92D87">
            <w:pPr>
              <w:jc w:val="center"/>
            </w:pPr>
            <w:r w:rsidRPr="00E2705A">
              <w:t>69%</w:t>
            </w:r>
          </w:p>
        </w:tc>
        <w:tc>
          <w:tcPr>
            <w:tcW w:w="851" w:type="dxa"/>
          </w:tcPr>
          <w:p w:rsidR="00E2705A" w:rsidRPr="00E2705A" w:rsidRDefault="00E2705A" w:rsidP="00A92D87">
            <w:pPr>
              <w:jc w:val="center"/>
            </w:pPr>
            <w:r w:rsidRPr="00E2705A">
              <w:t>65%</w:t>
            </w:r>
          </w:p>
        </w:tc>
        <w:tc>
          <w:tcPr>
            <w:tcW w:w="709" w:type="dxa"/>
          </w:tcPr>
          <w:p w:rsidR="00E2705A" w:rsidRPr="00E2705A" w:rsidRDefault="00E2705A" w:rsidP="00A92D87">
            <w:pPr>
              <w:jc w:val="center"/>
            </w:pPr>
            <w:r w:rsidRPr="00E2705A">
              <w:t>66%</w:t>
            </w:r>
          </w:p>
        </w:tc>
        <w:tc>
          <w:tcPr>
            <w:tcW w:w="1036" w:type="dxa"/>
          </w:tcPr>
          <w:p w:rsidR="00E2705A" w:rsidRPr="00E2705A" w:rsidRDefault="00E2705A" w:rsidP="00A92D87">
            <w:pPr>
              <w:jc w:val="center"/>
            </w:pPr>
            <w:r w:rsidRPr="00E2705A">
              <w:t>66%</w:t>
            </w:r>
          </w:p>
        </w:tc>
      </w:tr>
      <w:tr w:rsidR="00E2705A" w:rsidRPr="00E2705A" w:rsidTr="00000F81">
        <w:tc>
          <w:tcPr>
            <w:tcW w:w="9259" w:type="dxa"/>
            <w:gridSpan w:val="5"/>
          </w:tcPr>
          <w:p w:rsidR="00E2705A" w:rsidRPr="00E2705A" w:rsidRDefault="00E2705A" w:rsidP="00A92D87">
            <w:pPr>
              <w:rPr>
                <w:b/>
              </w:rPr>
            </w:pPr>
            <w:r w:rsidRPr="00E2705A">
              <w:rPr>
                <w:b/>
              </w:rPr>
              <w:t xml:space="preserve">Fuente:  </w:t>
            </w:r>
            <w:r w:rsidRPr="00E2705A">
              <w:t xml:space="preserve">Ministerio de Educación Nacional – SIMAT - </w:t>
            </w:r>
            <w:r w:rsidRPr="00E2705A">
              <w:rPr>
                <w:b/>
              </w:rPr>
              <w:t>Pasto en Cifras 2011 -2014</w:t>
            </w:r>
          </w:p>
        </w:tc>
      </w:tr>
    </w:tbl>
    <w:p w:rsidR="00E2705A" w:rsidRPr="00E2705A" w:rsidRDefault="00E2705A" w:rsidP="00A92D87">
      <w:pPr>
        <w:spacing w:line="240" w:lineRule="auto"/>
      </w:pPr>
    </w:p>
    <w:p w:rsidR="00E2705A" w:rsidRPr="00E2705A" w:rsidRDefault="00E2705A" w:rsidP="00A92D87">
      <w:pPr>
        <w:spacing w:line="240" w:lineRule="auto"/>
        <w:rPr>
          <w:b/>
        </w:rPr>
      </w:pPr>
    </w:p>
    <w:p w:rsidR="00E2705A" w:rsidRPr="00E2705A" w:rsidRDefault="00E2705A" w:rsidP="00A92D87">
      <w:pPr>
        <w:spacing w:line="240" w:lineRule="auto"/>
        <w:rPr>
          <w:b/>
        </w:rPr>
      </w:pPr>
      <w:r w:rsidRPr="00E2705A">
        <w:rPr>
          <w:noProof/>
          <w:lang w:val="es-ES" w:eastAsia="es-ES"/>
        </w:rPr>
        <w:lastRenderedPageBreak/>
        <w:drawing>
          <wp:inline distT="0" distB="0" distL="0" distR="0">
            <wp:extent cx="5738884" cy="2505075"/>
            <wp:effectExtent l="0" t="0" r="14605"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64BA9" w:rsidRDefault="00064BA9">
      <w:pPr>
        <w:rPr>
          <w:b/>
        </w:rPr>
      </w:pPr>
      <w:r>
        <w:rPr>
          <w:b/>
        </w:rPr>
        <w:br w:type="page"/>
      </w:r>
    </w:p>
    <w:p w:rsidR="00E2705A" w:rsidRPr="00E2705A" w:rsidRDefault="00E2705A" w:rsidP="00A92D87">
      <w:pPr>
        <w:spacing w:line="240" w:lineRule="auto"/>
        <w:rPr>
          <w:b/>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Situación detectada: </w:t>
      </w:r>
    </w:p>
    <w:p w:rsidR="00E2705A" w:rsidRPr="00E2705A" w:rsidRDefault="00E2705A" w:rsidP="00A92D87">
      <w:pPr>
        <w:spacing w:after="0" w:line="240" w:lineRule="auto"/>
        <w:ind w:left="360"/>
        <w:contextualSpacing/>
        <w:jc w:val="both"/>
        <w:rPr>
          <w:rFonts w:eastAsia="Times New Roman" w:cs="Times New Roman"/>
          <w:b/>
          <w:lang w:eastAsia="es-CO"/>
        </w:rPr>
      </w:pPr>
    </w:p>
    <w:p w:rsidR="00E2705A" w:rsidRPr="00E2705A" w:rsidRDefault="00E2705A" w:rsidP="00A92D87">
      <w:pPr>
        <w:spacing w:line="240" w:lineRule="auto"/>
        <w:jc w:val="both"/>
      </w:pPr>
      <w:r w:rsidRPr="00E2705A">
        <w:t>La fuente del cálculo se obtiene a partir de los estudiantes registrados en el Sistema Integrado de Matrícula – SIMAT en los grados decimo y once, sobre la proyección DANE de la población entre 15 a 16 años correspondiente al Censo 2005. Se incluye los establecimientos educativos oficiales y no oficiales</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Se observa una tendencia decreciente debido a que la proyección DANE no se sujeta a la realidad.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Además, el flujo de la población vinculada al sistema educativo de la educación formal hacia la oferta presentada por la SEMPASTO en cuanto a los modelos flexibles tales como educación para Jóvenes y adultos - Decreto 3011, ha hecho que el numerador de la razón del indicador se vea afectado por ese movimiento.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line="240" w:lineRule="auto"/>
        <w:jc w:val="both"/>
      </w:pPr>
      <w:r w:rsidRPr="00E2705A">
        <w:t xml:space="preserve">Analizando el resultado del indicador en cuento a género, se evidencia variaciones significativas en la cobertura entre adolescentes hombres y mujeres, ya que la participación de las estudiantes es superior a la de los hombres registrados en SIMAT. </w:t>
      </w:r>
    </w:p>
    <w:p w:rsidR="00E2705A" w:rsidRPr="00E2705A" w:rsidRDefault="00E2705A" w:rsidP="00A92D87">
      <w:pPr>
        <w:spacing w:line="240" w:lineRule="auto"/>
        <w:jc w:val="both"/>
      </w:pPr>
      <w:r w:rsidRPr="00E2705A">
        <w:t>Dada la política de inclusión según el Decreto 366 del 2009, se refleja un leve incremento en niños y niñas matriculados con diversidad funcional en el sistema educativo del municipio de Pasto.</w:t>
      </w:r>
    </w:p>
    <w:p w:rsidR="00E2705A" w:rsidRPr="00E2705A" w:rsidRDefault="00E2705A" w:rsidP="00A92D87">
      <w:pPr>
        <w:spacing w:line="240" w:lineRule="auto"/>
        <w:jc w:val="both"/>
      </w:pPr>
      <w:r w:rsidRPr="00E2705A">
        <w:t>Dentro del análisis se puede determinar que el municipio de Pasto presenta un alto factor de riesgo por cuanto es un municipio receptor y expulsor de familias en situación de desplazamiento por motivos del conflicto armado.</w:t>
      </w: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line="240" w:lineRule="auto"/>
        <w:jc w:val="both"/>
      </w:pPr>
      <w:r w:rsidRPr="00E2705A">
        <w:t xml:space="preserve">El municipio de Pasto cuenta con 41 establecimientos educativos oficiales en los cuales se presta el servicio educativo en el nivel de educación media, garantizando el derecho a la educación a esta población.   </w:t>
      </w:r>
    </w:p>
    <w:p w:rsidR="00E2705A" w:rsidRPr="00E2705A" w:rsidRDefault="00E2705A" w:rsidP="00A92D87">
      <w:pPr>
        <w:spacing w:line="240" w:lineRule="auto"/>
        <w:jc w:val="both"/>
      </w:pPr>
      <w:r w:rsidRPr="00E2705A">
        <w:t>Una vez identificada la población por fuera del sistema educativo, la SEMPASTO preocupada por brindar la oportunidad a jóvenes que no están vinculados al sistema educativo por cuanto, de una parte, no podrían ingresar a la educación regular por encontrarse en extra edad, como tampoco podrían vincularse a la educación para adultos que está inmersa en el Decreto 3011 de 2006.  La Institución Educativa Municipal Antonio Nariño ofrece el modelo educativo de Jóvenes en extra edad.</w:t>
      </w:r>
    </w:p>
    <w:p w:rsidR="00E2705A" w:rsidRPr="00E2705A" w:rsidRDefault="00E2705A" w:rsidP="00A92D87">
      <w:pPr>
        <w:spacing w:line="240" w:lineRule="auto"/>
        <w:jc w:val="both"/>
      </w:pPr>
      <w:r w:rsidRPr="00E2705A">
        <w:t xml:space="preserve">Es importante resaltar que la Secretaria de Educación del Municipio de Pasto viene implementando en algunos establecimientos educativos la articulación con entidades del estado, tales como SENA, UNIVERSIDAD DE NARIÑO y otras de los sectores productivos y académico de la región.  </w:t>
      </w:r>
    </w:p>
    <w:p w:rsidR="00E2705A" w:rsidRPr="00E2705A" w:rsidRDefault="00E2705A" w:rsidP="00A92D87">
      <w:pPr>
        <w:spacing w:line="240" w:lineRule="auto"/>
        <w:jc w:val="both"/>
      </w:pPr>
      <w:r w:rsidRPr="00E2705A">
        <w:t>Con el objetivo de promover y mantener la matrícula en el nivel de educación media la SEM Pasto ha desarrollado las siguientes inversiones:</w:t>
      </w:r>
    </w:p>
    <w:p w:rsidR="00E2705A" w:rsidRPr="00E2705A" w:rsidRDefault="00E2705A" w:rsidP="00A92D87">
      <w:pPr>
        <w:spacing w:line="240" w:lineRule="auto"/>
        <w:jc w:val="both"/>
      </w:pPr>
      <w:r w:rsidRPr="00E2705A">
        <w:lastRenderedPageBreak/>
        <w:t xml:space="preserve">La entidad Territorial garantiza el servicio de restaurante escolar al 100% en el sector rural de este grupo, mientras tanto en el sector urbano la cobertura se efectúa hasta el grado séptimo, incluyendo los titulares de derecho (etnias, desplazados, discapacitados y población vulnerable) esto con recursos del SGP del Ministerio de Educación Nacional.   Mas sin embargo, con la ampliación de la estrategia con recursos canalizados a través del ente territorial se logra darle cobertura al 70% en el sector urbano; de la misma forma el municipio aporta cerca del 80% en el servicio de transporte escolar en las zonas rurales y de difícil acceso. </w:t>
      </w:r>
    </w:p>
    <w:p w:rsidR="00E2705A" w:rsidRPr="00E2705A" w:rsidRDefault="00E2705A" w:rsidP="00A92D87">
      <w:pPr>
        <w:spacing w:line="240" w:lineRule="auto"/>
        <w:jc w:val="both"/>
      </w:pPr>
      <w:r w:rsidRPr="00E2705A">
        <w:t>Con respecto a insumos para mejorar la calidad educativa de este grupo de estudiantes, la entidad territorial desarrolla programas de dotación de bibliotecas escolares como fortalecimiento del plan nacional de lectura y escritura.</w:t>
      </w:r>
    </w:p>
    <w:p w:rsidR="00E2705A" w:rsidRPr="00E2705A" w:rsidRDefault="00E2705A" w:rsidP="00A92D87">
      <w:pPr>
        <w:spacing w:line="240" w:lineRule="auto"/>
        <w:jc w:val="both"/>
      </w:pPr>
      <w:r w:rsidRPr="00E2705A">
        <w:t xml:space="preserve">En el proceso de planeación de la SEMPASTO, al comparar la oferta educativa con respecto a la demanda, determina una insuficiencia de infraestructura para poder garantizar el acceso y la permanencia de los estudiantes, dando como resultado la contratación tanto de administración del servicio educativo como la modalidad de prestación de servicio educativo.  </w:t>
      </w:r>
    </w:p>
    <w:p w:rsidR="00E2705A" w:rsidRPr="00E2705A" w:rsidRDefault="00E2705A" w:rsidP="00A92D87">
      <w:pPr>
        <w:spacing w:line="240" w:lineRule="auto"/>
        <w:jc w:val="both"/>
        <w:rPr>
          <w:b/>
        </w:rPr>
      </w:pPr>
      <w:r w:rsidRPr="00E2705A">
        <w:rPr>
          <w:b/>
        </w:rPr>
        <w:t>4. Programas, Proyectos y Acciones para mejorar la situación del indicador (2012 -2015):</w:t>
      </w:r>
    </w:p>
    <w:p w:rsidR="00E2705A" w:rsidRPr="00E2705A" w:rsidRDefault="00E2705A" w:rsidP="00A92D87">
      <w:pPr>
        <w:autoSpaceDE w:val="0"/>
        <w:autoSpaceDN w:val="0"/>
        <w:adjustRightInd w:val="0"/>
        <w:spacing w:after="0" w:line="240" w:lineRule="auto"/>
        <w:jc w:val="both"/>
      </w:pPr>
      <w:r w:rsidRPr="00E2705A">
        <w:t>La SEMPASTO viene implementando los siguientes Programas y proyectos:</w:t>
      </w:r>
    </w:p>
    <w:p w:rsidR="00E2705A" w:rsidRPr="00E2705A" w:rsidRDefault="00E2705A" w:rsidP="00A92D87">
      <w:pPr>
        <w:autoSpaceDE w:val="0"/>
        <w:autoSpaceDN w:val="0"/>
        <w:adjustRightInd w:val="0"/>
        <w:spacing w:after="0" w:line="240" w:lineRule="auto"/>
        <w:jc w:val="both"/>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color w:val="000000"/>
          <w:lang w:eastAsia="es-CO"/>
        </w:rPr>
      </w:pPr>
      <w:r w:rsidRPr="00E2705A">
        <w:rPr>
          <w:rFonts w:eastAsia="Times New Roman" w:cs="GoudySansITCbyBT-Light"/>
          <w:color w:val="000000"/>
          <w:lang w:eastAsia="es-CO"/>
        </w:rPr>
        <w:t>FORTALECIMIENTO DE MODELOS FLEXIBLES – MEDIA RURAL Y CAMINANDO EN SECUNDARIA.</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color w:val="000000"/>
          <w:lang w:eastAsia="es-CO"/>
        </w:rPr>
      </w:pPr>
    </w:p>
    <w:p w:rsidR="00E2705A" w:rsidRPr="00E2705A" w:rsidRDefault="00E2705A" w:rsidP="00A92D87">
      <w:pPr>
        <w:autoSpaceDE w:val="0"/>
        <w:autoSpaceDN w:val="0"/>
        <w:adjustRightInd w:val="0"/>
        <w:spacing w:after="0" w:line="240" w:lineRule="auto"/>
        <w:jc w:val="both"/>
        <w:rPr>
          <w:rFonts w:cs="GoudySansITCbyBT-Light"/>
          <w:color w:val="000000"/>
        </w:rPr>
      </w:pPr>
      <w:r w:rsidRPr="00E2705A">
        <w:rPr>
          <w:rFonts w:cs="GoudySansITCbyBT-Light"/>
          <w:color w:val="000000"/>
        </w:rPr>
        <w:t>La Secretaria de Educación de Pasto presta este servicio con asesoría y apoyo permanente para garantizar una educación de calidad, para lograr esta meta se propone implementar una estructura curricular y de promoción flexible, que permita generar en el estudiante un ambiente de autonomía y desarrollo de sus propios tiempos y ritmos de aprendizaje; contextualizar y garantizar la permanecía de los estudiantes.</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ALIMENTACIÓN ESCOLAR</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El objetivo del programa es proveer asistencia alimentaria a los niños y niñas que asisten a los establecimientos educativos del sector oficial urbanos y rurales en alianza con la Secretaria de Bienestar Social y el Instituto Colombiano de Bienestar Familiar, donde se prioriza los niveles 1 y 2 del SISBEN. Esto con el fin de contribuir al mejoramiento de la calidad de vida de la población en edad escolar y a la vez incide en la permanencia en los establecimientos educativos.</w:t>
      </w:r>
    </w:p>
    <w:p w:rsidR="00E2705A" w:rsidRPr="00E2705A" w:rsidRDefault="00E2705A" w:rsidP="00A92D87">
      <w:pPr>
        <w:autoSpaceDE w:val="0"/>
        <w:autoSpaceDN w:val="0"/>
        <w:adjustRightInd w:val="0"/>
        <w:spacing w:after="0" w:line="240" w:lineRule="auto"/>
        <w:jc w:val="both"/>
        <w:rPr>
          <w:rFonts w:cs="GoudySansITCbyBT-Light"/>
          <w:color w:val="000000"/>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color w:val="000000"/>
          <w:lang w:eastAsia="es-CO"/>
        </w:rPr>
      </w:pPr>
      <w:r w:rsidRPr="00E2705A">
        <w:rPr>
          <w:rFonts w:eastAsia="Times New Roman" w:cs="GoudySansITCbyBT-Light"/>
          <w:color w:val="000000"/>
          <w:lang w:eastAsia="es-CO"/>
        </w:rPr>
        <w:t>AUXILIO DE TRANSPORTE ESCOLAR</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color w:val="000000"/>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 xml:space="preserve">La Secretaría de Educación Municipal viene aportando con un auxilio de transporte a los establecimientos educativos donde, por su ubicación, los estudiantes tienen que desplazarse desde diferentes sectores en los que no se cuentan con suficientes medios de comunicación terrestre, para esto la oficina de planeación realizó la caracterización del contexto y mediante acto administrativo se hizo la asignación correspondiente a los sectores más necesitados. Se espera </w:t>
      </w:r>
      <w:r w:rsidRPr="00E2705A">
        <w:rPr>
          <w:rFonts w:cs="GoudySansITCbyBT-Light"/>
        </w:rPr>
        <w:lastRenderedPageBreak/>
        <w:t>continuar con esta estrategia que permita continuidad de estos estudiantes en el próximo cuatrienio.</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rPr>
          <w:rFonts w:eastAsia="Times New Roman" w:cs="GoudySansITCbyBT-Light"/>
          <w:lang w:eastAsia="es-CO"/>
        </w:rPr>
      </w:pPr>
      <w:r w:rsidRPr="00E2705A">
        <w:rPr>
          <w:rFonts w:eastAsia="Times New Roman" w:cs="GoudySansITCbyBT-Light"/>
          <w:lang w:eastAsia="es-CO"/>
        </w:rPr>
        <w:t>APORTES DEL SECTOR SOLIDARIO AL SECTOR EDUCATIVO</w:t>
      </w:r>
    </w:p>
    <w:p w:rsidR="00E2705A" w:rsidRPr="00E2705A" w:rsidRDefault="00E2705A" w:rsidP="00A92D87">
      <w:pPr>
        <w:autoSpaceDE w:val="0"/>
        <w:autoSpaceDN w:val="0"/>
        <w:adjustRightInd w:val="0"/>
        <w:spacing w:after="0" w:line="240" w:lineRule="auto"/>
        <w:rPr>
          <w:rFonts w:cs="GoudySansITCbyBT-Light"/>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 xml:space="preserve">Año tras año, algunas cooperativas o entidades del sector privado se vinculan en pro de la educación de los sectores más necesitados mediante aportes económicos destinados a la compra de kits escolares, uniformes, implementos deportivos y construcción o dotación de espacios, que permiten mejorar los ambientes escolares de los establecimientos educativos oficiales y lograr, con ello el acceso y la permanencia de dichos estudiantes. Estos aportes se destinan deduciéndolos de los dineros que tienen la obligación de pagar por dividendos financieros. </w:t>
      </w: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TECNOLOGÍA - TIC´S</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Los programas encaminados a la apropiación de las TIC, se ha basado en las directrices del nivel central, normatividad y metas del gobierno nacional, teniendo en cuenta los macro objetivos del plan decenal 2006 – 2016.  Por lo tanto, este proyecto apunta a ofrecer a los estudiantes ambientes de aprendizaje que estén acordes a la movilidad del momento, dotando a los establecimientos educativos de conectividad, equipos de cómputo y acompañando, esta dotación de un proceso pertinente de formación docente que permita, entre otros logros, la elaboración de contenidos digitales para facilitar el aprendizaje de los estudiantes.</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ATENCIÓN EDUCATIVA A LA POBLACIÓN VÍCTIMA DEL CONFLICTO</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Cumpliendo con la sentencia T-025 del 2004 emanada de la Corte Constitucional, con la Ley 387 de 1997 y la Ley de Víctimas 1448 del 2011, la Secretaría de Educación Municipal atenderá a la población en edad escolar en situación de desplazamiento, identificando y caracterizando a esta población matriculada en los establecimientos educativos oficiales, garantizándoles la asesoría y seguimiento y comunicando a los establecimientos educativos sobre la no exigencia de uniformes y certificados de estudio.</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autoSpaceDE w:val="0"/>
        <w:autoSpaceDN w:val="0"/>
        <w:adjustRightInd w:val="0"/>
        <w:spacing w:after="0" w:line="240" w:lineRule="auto"/>
        <w:jc w:val="both"/>
        <w:rPr>
          <w:rFonts w:cs="GoudySansITCbyBT-Light"/>
        </w:rPr>
      </w:pPr>
      <w:r w:rsidRPr="00E2705A">
        <w:rPr>
          <w:rFonts w:cs="GoudySansITCbyBT-Light"/>
        </w:rPr>
        <w:t>En la actualidad los establecimientos educativos cuentan con orientadores escolares con los cuales se realizará el acompañamiento y estrategias de atención psicosocial.</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ASESORÍA Y SEGUIMIENTO PEDAGÓGICO A DOCENTES DE LOS ESTABLECIMIENTOS EDUCATIVOS EN INCLUSIÓN EDUCATIVA</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Pr="00E2705A" w:rsidRDefault="00E2705A" w:rsidP="00A92D87">
      <w:pPr>
        <w:autoSpaceDE w:val="0"/>
        <w:autoSpaceDN w:val="0"/>
        <w:adjustRightInd w:val="0"/>
        <w:spacing w:after="0" w:line="240" w:lineRule="auto"/>
        <w:jc w:val="both"/>
        <w:rPr>
          <w:rFonts w:cs="GoudySansITCbyBT-Light"/>
          <w:color w:val="000000"/>
        </w:rPr>
      </w:pPr>
      <w:r w:rsidRPr="00E2705A">
        <w:rPr>
          <w:rFonts w:cs="GoudySansITCbyBT-Light"/>
          <w:color w:val="000000"/>
        </w:rPr>
        <w:t xml:space="preserve">En Colombia es múltiple el direccionamiento y desarrollo de la política pública de inclusión que reconoce una apertura discursiva y se ratifica desde la constitución política de 1991, artículos 5 y 13, como una acción de derecho y de igualdades a los servicios que fortalecen las potencialidades humanas. Con el propósito de superar la exclusión e invisibilidad social de las personas en situación de discapacidad, la Convención sobre los Derechos de las Personas con Discapacidad fue adoptada en 2006 y entró en vigor en mayo de 2008 como el primero de los tratados internacionales del Siglo XXI. Por su parte, el Ministerio de Educación Nacional expide el decreto 366 del 9 de febrero de 2009 “Por medio del cual se reglamenta la organización del servicio de </w:t>
      </w:r>
      <w:r w:rsidRPr="00E2705A">
        <w:rPr>
          <w:rFonts w:cs="GoudySansITCbyBT-Light"/>
          <w:color w:val="000000"/>
        </w:rPr>
        <w:lastRenderedPageBreak/>
        <w:t>apoyo pedagógico para la atención de los estudiantes con discapacidad y con capacidades o con talentos excepcionales en el marco de la educación inclusiva”.</w:t>
      </w:r>
    </w:p>
    <w:p w:rsidR="00E2705A" w:rsidRPr="00E2705A" w:rsidRDefault="00E2705A" w:rsidP="00A92D87">
      <w:pPr>
        <w:autoSpaceDE w:val="0"/>
        <w:autoSpaceDN w:val="0"/>
        <w:adjustRightInd w:val="0"/>
        <w:spacing w:after="0" w:line="240" w:lineRule="auto"/>
        <w:jc w:val="both"/>
        <w:rPr>
          <w:rFonts w:cs="CastleT-Ligh"/>
          <w:color w:val="000000"/>
        </w:rPr>
      </w:pPr>
    </w:p>
    <w:p w:rsidR="00064BA9" w:rsidRDefault="00E2705A" w:rsidP="00A92D87">
      <w:pPr>
        <w:autoSpaceDE w:val="0"/>
        <w:autoSpaceDN w:val="0"/>
        <w:adjustRightInd w:val="0"/>
        <w:spacing w:after="0" w:line="240" w:lineRule="auto"/>
        <w:jc w:val="both"/>
        <w:rPr>
          <w:rFonts w:cs="GoudySansITCbyBT-Light"/>
          <w:color w:val="0089BC"/>
        </w:rPr>
      </w:pPr>
      <w:r w:rsidRPr="00E2705A">
        <w:rPr>
          <w:rFonts w:cs="GoudySansITCbyBT-Light"/>
          <w:color w:val="000000"/>
        </w:rPr>
        <w:t>Frente a la política de inclusión, la Secretaria de Educación Municipal construye la propuesta de apoyo pedagógico, no solo para atender el cumplimiento tácito de la norma, sino para trascender a otras formas de ver a los “otros”, reconocer y valorar las diferencias. Precisamente para permitir otras miradas de realidad frente a la situación de discapacidad; en el presente Plan de Educación se adoptan otros discursos que se basan en la dignidad, en donde el término ““deficiencia” es sustituido por “diferencia orgánica” o “diferencia funcional” con el fin de eliminar la carga negativa de las palabras que aluden a las características de un ser humano”</w:t>
      </w:r>
      <w:r w:rsidR="00064BA9">
        <w:rPr>
          <w:rFonts w:cs="GoudySansITCbyBT-Light"/>
          <w:color w:val="0089BC"/>
        </w:rPr>
        <w:t>.</w:t>
      </w:r>
    </w:p>
    <w:p w:rsidR="00064BA9" w:rsidRDefault="00064BA9" w:rsidP="00A92D87">
      <w:pPr>
        <w:autoSpaceDE w:val="0"/>
        <w:autoSpaceDN w:val="0"/>
        <w:adjustRightInd w:val="0"/>
        <w:spacing w:after="0" w:line="240" w:lineRule="auto"/>
        <w:jc w:val="both"/>
        <w:rPr>
          <w:rFonts w:cs="GoudySansITCbyBT-Light"/>
          <w:color w:val="0089BC"/>
        </w:rPr>
      </w:pPr>
    </w:p>
    <w:p w:rsidR="00E2705A" w:rsidRPr="00064BA9" w:rsidRDefault="00E2705A" w:rsidP="00A92D87">
      <w:pPr>
        <w:autoSpaceDE w:val="0"/>
        <w:autoSpaceDN w:val="0"/>
        <w:adjustRightInd w:val="0"/>
        <w:spacing w:after="0" w:line="240" w:lineRule="auto"/>
        <w:jc w:val="both"/>
        <w:rPr>
          <w:rFonts w:cs="GoudySansITCbyBT-Light"/>
          <w:color w:val="0089BC"/>
        </w:rPr>
      </w:pPr>
      <w:r w:rsidRPr="00E2705A">
        <w:rPr>
          <w:rFonts w:cs="GoudySansITCbyBT-Light"/>
        </w:rPr>
        <w:t>Finalmente, es importante resaltar que desde el modelo social se impulsa la educación inclusiva no como una modificación en la organización de la escuela, sino como un cambio en la ética de la escuela, en las representaciones sobre el rol y misión del maestro, no solo para aceptar las diferencias individuales sino también para valorarlas. Es decir que necesita del compromiso ético de todos los actores de la comunidad educativa como parte del desarrollo humano.</w:t>
      </w:r>
    </w:p>
    <w:p w:rsidR="00E2705A" w:rsidRPr="00E2705A" w:rsidRDefault="00E2705A" w:rsidP="00A92D87">
      <w:pPr>
        <w:autoSpaceDE w:val="0"/>
        <w:autoSpaceDN w:val="0"/>
        <w:adjustRightInd w:val="0"/>
        <w:spacing w:after="0" w:line="240" w:lineRule="auto"/>
        <w:jc w:val="both"/>
        <w:rPr>
          <w:rFonts w:cs="GoudySansITCbyBT-Light"/>
          <w:color w:val="000000"/>
        </w:rPr>
      </w:pP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0000"/>
        </w:rPr>
        <w:t>En el proyecto se tiene en cuenta los siguientes componentes:</w:t>
      </w: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89BC"/>
        </w:rPr>
        <w:t xml:space="preserve">• </w:t>
      </w:r>
      <w:r w:rsidRPr="00E2705A">
        <w:rPr>
          <w:rFonts w:cs="GoudySansITCbyBT-Light"/>
          <w:color w:val="000000"/>
        </w:rPr>
        <w:t>Componente de sensibilización, información y difusión</w:t>
      </w: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89BC"/>
        </w:rPr>
        <w:t xml:space="preserve">• </w:t>
      </w:r>
      <w:r w:rsidRPr="00E2705A">
        <w:rPr>
          <w:rFonts w:cs="GoudySansITCbyBT-Light"/>
          <w:color w:val="000000"/>
        </w:rPr>
        <w:t>Componente pedagógico y curricular</w:t>
      </w:r>
    </w:p>
    <w:p w:rsidR="00E2705A" w:rsidRPr="00E2705A" w:rsidRDefault="00E2705A" w:rsidP="00A92D87">
      <w:pPr>
        <w:autoSpaceDE w:val="0"/>
        <w:autoSpaceDN w:val="0"/>
        <w:adjustRightInd w:val="0"/>
        <w:spacing w:after="0" w:line="240" w:lineRule="auto"/>
        <w:rPr>
          <w:rFonts w:cs="GoudySansITCbyBT-Light"/>
          <w:color w:val="000000"/>
        </w:rPr>
      </w:pPr>
      <w:r w:rsidRPr="00E2705A">
        <w:rPr>
          <w:rFonts w:cs="GoudySansITCbyBT-Light"/>
          <w:color w:val="0089BC"/>
        </w:rPr>
        <w:t xml:space="preserve">• </w:t>
      </w:r>
      <w:r w:rsidRPr="00E2705A">
        <w:rPr>
          <w:rFonts w:cs="GoudySansITCbyBT-Light"/>
          <w:color w:val="000000"/>
        </w:rPr>
        <w:t>Componente de gestión de contexto</w:t>
      </w:r>
    </w:p>
    <w:p w:rsidR="00E2705A" w:rsidRPr="00E2705A" w:rsidRDefault="00E2705A" w:rsidP="00A92D87">
      <w:pPr>
        <w:autoSpaceDE w:val="0"/>
        <w:autoSpaceDN w:val="0"/>
        <w:adjustRightInd w:val="0"/>
        <w:spacing w:after="0" w:line="240" w:lineRule="auto"/>
        <w:jc w:val="both"/>
        <w:rPr>
          <w:rFonts w:cs="GoudySansITCbyBT-Light"/>
          <w:color w:val="000000"/>
        </w:rPr>
      </w:pPr>
      <w:r w:rsidRPr="00E2705A">
        <w:rPr>
          <w:rFonts w:cs="GoudySansITCbyBT-Light"/>
          <w:color w:val="0089BC"/>
        </w:rPr>
        <w:t xml:space="preserve">• </w:t>
      </w:r>
      <w:r w:rsidRPr="00E2705A">
        <w:rPr>
          <w:rFonts w:cs="GoudySansITCbyBT-Light"/>
          <w:color w:val="000000"/>
        </w:rPr>
        <w:t>Componente de seguimiento y evaluación</w:t>
      </w:r>
    </w:p>
    <w:p w:rsidR="00E2705A" w:rsidRPr="00E2705A" w:rsidRDefault="00E2705A" w:rsidP="00A92D87">
      <w:pPr>
        <w:autoSpaceDE w:val="0"/>
        <w:autoSpaceDN w:val="0"/>
        <w:adjustRightInd w:val="0"/>
        <w:spacing w:after="0" w:line="240" w:lineRule="auto"/>
        <w:jc w:val="both"/>
        <w:rPr>
          <w:rFonts w:cs="GoudySansITCbyBT-Light"/>
        </w:rPr>
      </w:pPr>
    </w:p>
    <w:p w:rsidR="00E2705A" w:rsidRPr="00E2705A" w:rsidRDefault="00E2705A" w:rsidP="00A92D87">
      <w:pPr>
        <w:numPr>
          <w:ilvl w:val="0"/>
          <w:numId w:val="46"/>
        </w:numPr>
        <w:autoSpaceDE w:val="0"/>
        <w:autoSpaceDN w:val="0"/>
        <w:adjustRightInd w:val="0"/>
        <w:spacing w:after="0" w:line="240" w:lineRule="auto"/>
        <w:contextualSpacing/>
        <w:jc w:val="both"/>
        <w:rPr>
          <w:rFonts w:eastAsia="Times New Roman" w:cs="GoudySansITCbyBT-Light"/>
          <w:lang w:eastAsia="es-CO"/>
        </w:rPr>
      </w:pPr>
      <w:r w:rsidRPr="00E2705A">
        <w:rPr>
          <w:rFonts w:eastAsia="Times New Roman" w:cs="GoudySansITCbyBT-Light"/>
          <w:lang w:eastAsia="es-CO"/>
        </w:rPr>
        <w:t>MEJORAMIENTO Y CONSTRUCCIÓN DE NUEVA INFRAESTRUCTURA EDUCATIVA</w:t>
      </w:r>
    </w:p>
    <w:p w:rsidR="00E2705A" w:rsidRPr="00E2705A" w:rsidRDefault="00E2705A" w:rsidP="00A92D87">
      <w:pPr>
        <w:autoSpaceDE w:val="0"/>
        <w:autoSpaceDN w:val="0"/>
        <w:adjustRightInd w:val="0"/>
        <w:spacing w:after="0" w:line="240" w:lineRule="auto"/>
        <w:ind w:left="720"/>
        <w:contextualSpacing/>
        <w:jc w:val="both"/>
        <w:rPr>
          <w:rFonts w:eastAsia="Times New Roman" w:cs="GoudySansITCbyBT-Light"/>
          <w:lang w:eastAsia="es-CO"/>
        </w:rPr>
      </w:pPr>
    </w:p>
    <w:p w:rsidR="00E2705A" w:rsidRDefault="00E2705A" w:rsidP="00A92D87">
      <w:pPr>
        <w:autoSpaceDE w:val="0"/>
        <w:autoSpaceDN w:val="0"/>
        <w:adjustRightInd w:val="0"/>
        <w:spacing w:after="0" w:line="240" w:lineRule="auto"/>
        <w:jc w:val="both"/>
        <w:rPr>
          <w:rFonts w:cs="GoudySansITCbyBT-Light"/>
        </w:rPr>
      </w:pPr>
      <w:r w:rsidRPr="00E2705A">
        <w:rPr>
          <w:rFonts w:cs="GoudySansITCbyBT-Light"/>
        </w:rPr>
        <w:t>La SEM Pasto es consciente y aúna esfuerzos para mejorar en este materia puesto que una buena calidad en infraestructura y espacios pedagógicos adecuados repercute directamente en mejorar la calidad educativa de nuestros niños; la SEM ha estado apoyando diferentes gestiones para buscar financiación de obras para la primera infancia como construcciones nuevas y adecuaciones de los Centros de Desarrollo Infantil – CDI que administra el ICBF y que se constituyen en el primer salón y espacio pedagógico para que nuestros niños tengan una buena orientación y transición hacia los niveles superiores; en el año 2015, gracias agestión realizada por la SEM, el Ministerio de Vivienda y la Vicepresidencia de la República invertirán la suma de $3.000.000.000 para la construcción de un nuevo CDI y una nueve sede de primaria en el predio de la IEM Artemio Mendoza, Sede Santa Matilde, ubicada en la Comuna 10.</w:t>
      </w:r>
    </w:p>
    <w:p w:rsidR="00064BA9" w:rsidRPr="00E2705A" w:rsidRDefault="00064BA9" w:rsidP="00A92D87">
      <w:pPr>
        <w:autoSpaceDE w:val="0"/>
        <w:autoSpaceDN w:val="0"/>
        <w:adjustRightInd w:val="0"/>
        <w:spacing w:after="0" w:line="240" w:lineRule="auto"/>
        <w:jc w:val="both"/>
        <w:rPr>
          <w:rFonts w:cs="GoudySansITCbyBT-Light"/>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Como efectos de la acción institucional y los programas desarrollados y mencionados en el numeral cuatro se tiene la siguiente población atendida de los estudiantes matriculados en el nivel de media (grados 10 y 11).</w:t>
      </w:r>
    </w:p>
    <w:p w:rsidR="00064BA9" w:rsidRDefault="00064BA9">
      <w:pPr>
        <w:rPr>
          <w:rFonts w:eastAsia="Times New Roman" w:cs="Times New Roman"/>
          <w:lang w:eastAsia="es-CO"/>
        </w:rPr>
      </w:pPr>
      <w:r>
        <w:rPr>
          <w:rFonts w:eastAsia="Times New Roman" w:cs="Times New Roman"/>
          <w:lang w:eastAsia="es-CO"/>
        </w:rPr>
        <w:br w:type="page"/>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POR ZONA </w:t>
      </w:r>
    </w:p>
    <w:tbl>
      <w:tblPr>
        <w:tblStyle w:val="Tablaconcuadrcula131"/>
        <w:tblW w:w="0" w:type="auto"/>
        <w:tblInd w:w="360" w:type="dxa"/>
        <w:tblLook w:val="04A0"/>
      </w:tblPr>
      <w:tblGrid>
        <w:gridCol w:w="665"/>
        <w:gridCol w:w="1381"/>
        <w:gridCol w:w="1255"/>
        <w:gridCol w:w="1378"/>
        <w:gridCol w:w="1381"/>
        <w:gridCol w:w="1258"/>
        <w:gridCol w:w="1376"/>
      </w:tblGrid>
      <w:tr w:rsidR="00E2705A" w:rsidRPr="00E2705A" w:rsidTr="00000F81">
        <w:tc>
          <w:tcPr>
            <w:tcW w:w="733" w:type="dxa"/>
            <w:tcBorders>
              <w:top w:val="single" w:sz="4" w:space="0" w:color="auto"/>
              <w:left w:val="single" w:sz="4" w:space="0" w:color="auto"/>
              <w:bottom w:val="nil"/>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Año</w:t>
            </w:r>
          </w:p>
        </w:tc>
        <w:tc>
          <w:tcPr>
            <w:tcW w:w="3860"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Urbano</w:t>
            </w:r>
          </w:p>
        </w:tc>
        <w:tc>
          <w:tcPr>
            <w:tcW w:w="3875"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Rural</w:t>
            </w:r>
          </w:p>
        </w:tc>
      </w:tr>
      <w:tr w:rsidR="00E2705A" w:rsidRPr="00E2705A" w:rsidTr="00000F81">
        <w:tc>
          <w:tcPr>
            <w:tcW w:w="733" w:type="dxa"/>
            <w:tcBorders>
              <w:top w:val="nil"/>
              <w:left w:val="single" w:sz="4" w:space="0" w:color="auto"/>
              <w:bottom w:val="single" w:sz="4" w:space="0" w:color="auto"/>
              <w:right w:val="single" w:sz="4" w:space="0" w:color="auto"/>
            </w:tcBorders>
          </w:tcPr>
          <w:p w:rsidR="00E2705A" w:rsidRPr="00E2705A" w:rsidRDefault="00E2705A" w:rsidP="00A92D87">
            <w:pPr>
              <w:contextualSpacing/>
              <w:jc w:val="both"/>
              <w:rPr>
                <w:rFonts w:eastAsia="Times New Roman" w:cs="Times New Roman"/>
              </w:rPr>
            </w:pPr>
          </w:p>
        </w:tc>
        <w:tc>
          <w:tcPr>
            <w:tcW w:w="125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No. De Estudiantes matriculados</w:t>
            </w:r>
          </w:p>
        </w:tc>
        <w:tc>
          <w:tcPr>
            <w:tcW w:w="118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15 a 16 años DANE</w:t>
            </w:r>
          </w:p>
        </w:tc>
        <w:tc>
          <w:tcPr>
            <w:tcW w:w="143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c>
          <w:tcPr>
            <w:tcW w:w="11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No. De Estudiantes matriculados</w:t>
            </w:r>
          </w:p>
        </w:tc>
        <w:tc>
          <w:tcPr>
            <w:tcW w:w="134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15 a 16 años DANE</w:t>
            </w:r>
          </w:p>
        </w:tc>
        <w:tc>
          <w:tcPr>
            <w:tcW w:w="136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r>
      <w:tr w:rsidR="00E2705A" w:rsidRPr="00E2705A" w:rsidTr="00000F81">
        <w:tc>
          <w:tcPr>
            <w:tcW w:w="73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2012</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8835</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15233</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58%</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1192</w:t>
            </w:r>
          </w:p>
        </w:tc>
        <w:tc>
          <w:tcPr>
            <w:tcW w:w="134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15233</w:t>
            </w:r>
          </w:p>
        </w:tc>
        <w:tc>
          <w:tcPr>
            <w:tcW w:w="136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w:t>
            </w:r>
          </w:p>
        </w:tc>
      </w:tr>
      <w:tr w:rsidR="00E2705A" w:rsidRPr="00E2705A" w:rsidTr="00000F81">
        <w:tc>
          <w:tcPr>
            <w:tcW w:w="73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2013</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8825</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15291</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58%</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1263</w:t>
            </w:r>
          </w:p>
        </w:tc>
        <w:tc>
          <w:tcPr>
            <w:tcW w:w="134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15291</w:t>
            </w:r>
          </w:p>
        </w:tc>
        <w:tc>
          <w:tcPr>
            <w:tcW w:w="136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w:t>
            </w:r>
          </w:p>
        </w:tc>
      </w:tr>
      <w:tr w:rsidR="00E2705A" w:rsidRPr="00E2705A" w:rsidTr="00000F81">
        <w:tc>
          <w:tcPr>
            <w:tcW w:w="73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2014</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8640</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15303</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56%</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1240</w:t>
            </w:r>
          </w:p>
        </w:tc>
        <w:tc>
          <w:tcPr>
            <w:tcW w:w="134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15303</w:t>
            </w:r>
          </w:p>
        </w:tc>
        <w:tc>
          <w:tcPr>
            <w:tcW w:w="136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w:t>
            </w:r>
          </w:p>
        </w:tc>
      </w:tr>
      <w:tr w:rsidR="00E2705A" w:rsidRPr="00E2705A" w:rsidTr="00000F81">
        <w:tc>
          <w:tcPr>
            <w:tcW w:w="733"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2015</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7567</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15246</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50%</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2055</w:t>
            </w:r>
          </w:p>
        </w:tc>
        <w:tc>
          <w:tcPr>
            <w:tcW w:w="134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15246</w:t>
            </w:r>
          </w:p>
        </w:tc>
        <w:tc>
          <w:tcPr>
            <w:tcW w:w="1363"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13%</w:t>
            </w:r>
          </w:p>
        </w:tc>
      </w:tr>
    </w:tbl>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 xml:space="preserve">La distribución urbana rural en el municipio de Pasto se presenta en forma equitativa de acuerdo a la distribución de la población en cada uno de los sectores; si bien la tendencia del indicador muestra una disminución en la participación porcentual, cubre la demanda potencial en cada zona. </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Se observa la disminución del número de estudiantes atendidos en el sector urbano, mientras que hay un incremento de esta población en el sector rural.  La participación porcentual de esta población en el sector urbano disminuye de 58% a 50% para el 2015 y en el sector rural se incremente de 8 % al 13%.  Esta relación entre el sector urbano y rural está dada como resultado de las estrategias de acceso y permanencia en el sector rural, reduciendo la brecha históricamente existente entre la zona urbana y rural.</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POR GÉNERO</w:t>
      </w:r>
    </w:p>
    <w:tbl>
      <w:tblPr>
        <w:tblStyle w:val="Tablaconcuadrcula131"/>
        <w:tblW w:w="0" w:type="auto"/>
        <w:tblInd w:w="360" w:type="dxa"/>
        <w:tblLook w:val="04A0"/>
      </w:tblPr>
      <w:tblGrid>
        <w:gridCol w:w="665"/>
        <w:gridCol w:w="1381"/>
        <w:gridCol w:w="1255"/>
        <w:gridCol w:w="1377"/>
        <w:gridCol w:w="1381"/>
        <w:gridCol w:w="1255"/>
        <w:gridCol w:w="1380"/>
      </w:tblGrid>
      <w:tr w:rsidR="00E2705A" w:rsidRPr="00E2705A" w:rsidTr="00000F81">
        <w:tc>
          <w:tcPr>
            <w:tcW w:w="732" w:type="dxa"/>
            <w:tcBorders>
              <w:top w:val="single" w:sz="4" w:space="0" w:color="auto"/>
              <w:left w:val="single" w:sz="4" w:space="0" w:color="auto"/>
              <w:bottom w:val="nil"/>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Año</w:t>
            </w:r>
          </w:p>
        </w:tc>
        <w:tc>
          <w:tcPr>
            <w:tcW w:w="3860"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MASCULINO</w:t>
            </w:r>
          </w:p>
        </w:tc>
        <w:tc>
          <w:tcPr>
            <w:tcW w:w="3876" w:type="dxa"/>
            <w:gridSpan w:val="3"/>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FEMENINO</w:t>
            </w:r>
          </w:p>
        </w:tc>
      </w:tr>
      <w:tr w:rsidR="00E2705A" w:rsidRPr="00E2705A" w:rsidTr="00000F81">
        <w:tc>
          <w:tcPr>
            <w:tcW w:w="732" w:type="dxa"/>
            <w:tcBorders>
              <w:top w:val="nil"/>
              <w:left w:val="single" w:sz="4" w:space="0" w:color="auto"/>
              <w:bottom w:val="single" w:sz="4" w:space="0" w:color="auto"/>
              <w:right w:val="single" w:sz="4" w:space="0" w:color="auto"/>
            </w:tcBorders>
          </w:tcPr>
          <w:p w:rsidR="00E2705A" w:rsidRPr="00E2705A" w:rsidRDefault="00E2705A" w:rsidP="00A92D87">
            <w:pPr>
              <w:contextualSpacing/>
              <w:jc w:val="both"/>
              <w:rPr>
                <w:rFonts w:eastAsia="Times New Roman" w:cs="Times New Roman"/>
              </w:rPr>
            </w:pPr>
          </w:p>
        </w:tc>
        <w:tc>
          <w:tcPr>
            <w:tcW w:w="125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No. De Estudiantes matriculados</w:t>
            </w:r>
          </w:p>
        </w:tc>
        <w:tc>
          <w:tcPr>
            <w:tcW w:w="118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15 a 16 años DANE</w:t>
            </w:r>
          </w:p>
        </w:tc>
        <w:tc>
          <w:tcPr>
            <w:tcW w:w="143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c>
          <w:tcPr>
            <w:tcW w:w="11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No. De Estudiantes matriculados</w:t>
            </w:r>
          </w:p>
        </w:tc>
        <w:tc>
          <w:tcPr>
            <w:tcW w:w="1130"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Estudiantes  de 15 a 16 años DANE</w:t>
            </w:r>
          </w:p>
        </w:tc>
        <w:tc>
          <w:tcPr>
            <w:tcW w:w="1577"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rPr>
            </w:pPr>
            <w:r w:rsidRPr="00E2705A">
              <w:rPr>
                <w:rFonts w:eastAsia="Times New Roman" w:cs="Times New Roman"/>
              </w:rPr>
              <w:t>Participación porcentual</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2012</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4601</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7748</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59%</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5426</w:t>
            </w:r>
          </w:p>
        </w:tc>
        <w:tc>
          <w:tcPr>
            <w:tcW w:w="11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7485</w:t>
            </w:r>
          </w:p>
        </w:tc>
        <w:tc>
          <w:tcPr>
            <w:tcW w:w="157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72%</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2013</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4593</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7707</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60%</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5495</w:t>
            </w:r>
          </w:p>
        </w:tc>
        <w:tc>
          <w:tcPr>
            <w:tcW w:w="11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7584</w:t>
            </w:r>
          </w:p>
        </w:tc>
        <w:tc>
          <w:tcPr>
            <w:tcW w:w="157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72%</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2014</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4500</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7576</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59%</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5380</w:t>
            </w:r>
          </w:p>
        </w:tc>
        <w:tc>
          <w:tcPr>
            <w:tcW w:w="11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7670</w:t>
            </w:r>
          </w:p>
        </w:tc>
        <w:tc>
          <w:tcPr>
            <w:tcW w:w="157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70%</w:t>
            </w:r>
          </w:p>
        </w:tc>
      </w:tr>
      <w:tr w:rsidR="00E2705A" w:rsidRPr="00E2705A" w:rsidTr="00000F81">
        <w:tc>
          <w:tcPr>
            <w:tcW w:w="732"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2015</w:t>
            </w:r>
          </w:p>
        </w:tc>
        <w:tc>
          <w:tcPr>
            <w:tcW w:w="125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4393</w:t>
            </w:r>
          </w:p>
        </w:tc>
        <w:tc>
          <w:tcPr>
            <w:tcW w:w="118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7576</w:t>
            </w:r>
          </w:p>
        </w:tc>
        <w:tc>
          <w:tcPr>
            <w:tcW w:w="14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58%</w:t>
            </w:r>
          </w:p>
        </w:tc>
        <w:tc>
          <w:tcPr>
            <w:tcW w:w="1169"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5229</w:t>
            </w:r>
          </w:p>
        </w:tc>
        <w:tc>
          <w:tcPr>
            <w:tcW w:w="1130"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7670</w:t>
            </w:r>
          </w:p>
        </w:tc>
        <w:tc>
          <w:tcPr>
            <w:tcW w:w="1577"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68%</w:t>
            </w:r>
          </w:p>
        </w:tc>
      </w:tr>
    </w:tbl>
    <w:p w:rsidR="00E2705A" w:rsidRPr="00E2705A" w:rsidRDefault="00E2705A" w:rsidP="00A92D87">
      <w:pPr>
        <w:spacing w:after="0" w:line="240" w:lineRule="auto"/>
        <w:ind w:left="360"/>
        <w:contextualSpacing/>
        <w:jc w:val="both"/>
        <w:rPr>
          <w:rFonts w:eastAsia="Times New Roman" w:cs="Times New Roman"/>
          <w:lang w:eastAsia="es-CO"/>
        </w:rPr>
      </w:pPr>
      <w:r w:rsidRPr="00E2705A">
        <w:rPr>
          <w:rFonts w:eastAsia="Times New Roman" w:cs="Times New Roman"/>
          <w:lang w:eastAsia="es-CO"/>
        </w:rPr>
        <w:t>La distribución de género refleja que hay mayor proporción de mujeres estudiando en el nivel medio, que hombres. Si bien la política que viene implementando la SEMPASTO en cuanto a las estrategias de permanencia, presenta mayor impacto en el género femenino.</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numPr>
          <w:ilvl w:val="0"/>
          <w:numId w:val="46"/>
        </w:num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POR SITUACION DE DESPLAZAMIENTO E </w:t>
      </w:r>
      <w:r w:rsidRPr="00E2705A">
        <w:rPr>
          <w:rFonts w:eastAsia="Times New Roman" w:cs="GoudySansITCbyBT-Light"/>
          <w:lang w:eastAsia="es-CO"/>
        </w:rPr>
        <w:t>INCLUSIÓN EDUCATIVA</w:t>
      </w:r>
      <w:r w:rsidRPr="00E2705A">
        <w:rPr>
          <w:rFonts w:eastAsia="Times New Roman" w:cs="Times New Roman"/>
          <w:lang w:eastAsia="es-CO"/>
        </w:rPr>
        <w:t xml:space="preserve"> </w:t>
      </w:r>
    </w:p>
    <w:p w:rsidR="00E2705A" w:rsidRPr="00E2705A" w:rsidRDefault="00E2705A" w:rsidP="00A92D87">
      <w:pPr>
        <w:spacing w:after="0" w:line="240" w:lineRule="auto"/>
        <w:ind w:left="360"/>
        <w:contextualSpacing/>
        <w:jc w:val="both"/>
        <w:rPr>
          <w:rFonts w:eastAsia="Times New Roman" w:cs="Times New Roman"/>
          <w:lang w:eastAsia="es-CO"/>
        </w:rPr>
      </w:pPr>
    </w:p>
    <w:tbl>
      <w:tblPr>
        <w:tblStyle w:val="Tablaconcuadrcula131"/>
        <w:tblW w:w="0" w:type="auto"/>
        <w:tblInd w:w="360" w:type="dxa"/>
        <w:tblLook w:val="04A0"/>
      </w:tblPr>
      <w:tblGrid>
        <w:gridCol w:w="769"/>
        <w:gridCol w:w="3828"/>
        <w:gridCol w:w="3871"/>
      </w:tblGrid>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AÑO</w:t>
            </w:r>
          </w:p>
        </w:tc>
        <w:tc>
          <w:tcPr>
            <w:tcW w:w="3828"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b/>
              </w:rPr>
            </w:pPr>
            <w:r w:rsidRPr="00E2705A">
              <w:rPr>
                <w:rFonts w:eastAsia="Times New Roman" w:cs="Times New Roman"/>
                <w:b/>
              </w:rPr>
              <w:t>ESTUDIANTES CON SITUACION DE DESPLAZAMIENTO</w:t>
            </w:r>
          </w:p>
        </w:tc>
        <w:tc>
          <w:tcPr>
            <w:tcW w:w="3871"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center"/>
              <w:rPr>
                <w:rFonts w:eastAsia="Times New Roman" w:cs="Times New Roman"/>
                <w:b/>
              </w:rPr>
            </w:pPr>
            <w:r w:rsidRPr="00E2705A">
              <w:rPr>
                <w:rFonts w:eastAsia="Times New Roman" w:cs="Times New Roman"/>
                <w:b/>
              </w:rPr>
              <w:t>POBLACION EN DISCAPACIDAD</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2012</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232</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4</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2013</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252</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84</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2014</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296</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129</w:t>
            </w:r>
          </w:p>
        </w:tc>
      </w:tr>
      <w:tr w:rsidR="00E2705A" w:rsidRPr="00E2705A" w:rsidTr="00000F81">
        <w:tc>
          <w:tcPr>
            <w:tcW w:w="769" w:type="dxa"/>
            <w:tcBorders>
              <w:top w:val="single" w:sz="4" w:space="0" w:color="auto"/>
              <w:left w:val="single" w:sz="4" w:space="0" w:color="auto"/>
              <w:bottom w:val="single" w:sz="4" w:space="0" w:color="auto"/>
              <w:right w:val="single" w:sz="4" w:space="0" w:color="auto"/>
            </w:tcBorders>
            <w:hideMark/>
          </w:tcPr>
          <w:p w:rsidR="00E2705A" w:rsidRPr="00E2705A" w:rsidRDefault="00E2705A" w:rsidP="00A92D87">
            <w:pPr>
              <w:contextualSpacing/>
              <w:jc w:val="both"/>
              <w:rPr>
                <w:rFonts w:eastAsia="Times New Roman" w:cs="Times New Roman"/>
              </w:rPr>
            </w:pPr>
            <w:r w:rsidRPr="00E2705A">
              <w:rPr>
                <w:rFonts w:eastAsia="Times New Roman" w:cs="Times New Roman"/>
              </w:rPr>
              <w:t>2015</w:t>
            </w:r>
          </w:p>
        </w:tc>
        <w:tc>
          <w:tcPr>
            <w:tcW w:w="3828"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364</w:t>
            </w:r>
          </w:p>
        </w:tc>
        <w:tc>
          <w:tcPr>
            <w:tcW w:w="3871" w:type="dxa"/>
            <w:tcBorders>
              <w:top w:val="single" w:sz="4" w:space="0" w:color="auto"/>
              <w:left w:val="single" w:sz="4" w:space="0" w:color="auto"/>
              <w:bottom w:val="single" w:sz="4" w:space="0" w:color="auto"/>
              <w:right w:val="single" w:sz="4" w:space="0" w:color="auto"/>
            </w:tcBorders>
            <w:vAlign w:val="center"/>
          </w:tcPr>
          <w:p w:rsidR="00E2705A" w:rsidRPr="00E2705A" w:rsidRDefault="00E2705A" w:rsidP="00A92D87">
            <w:pPr>
              <w:jc w:val="center"/>
              <w:rPr>
                <w:color w:val="000000"/>
              </w:rPr>
            </w:pPr>
            <w:r w:rsidRPr="00E2705A">
              <w:rPr>
                <w:color w:val="000000"/>
              </w:rPr>
              <w:t>150</w:t>
            </w:r>
          </w:p>
        </w:tc>
      </w:tr>
    </w:tbl>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A92D87">
      <w:pPr>
        <w:spacing w:line="240" w:lineRule="auto"/>
        <w:ind w:left="360"/>
        <w:jc w:val="both"/>
      </w:pPr>
      <w:r w:rsidRPr="00E2705A">
        <w:t>Se observa poca variación ascendente entre los años 2012 a 2015 en el registro de la población en situación de desplazamiento. Se refleja un incremento de estudiantes matriculados con algún tipo de diversidad funcional en el sistema educativo del municipio de Pasto, que se encuentran cursando la primaria con la edad adecuada para sus estudios.</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Garantizar la continuidad de los alumnos activos en el sistema educativo oficial y privado como también el acceso a los estudiantes que se encuentran por fuera del sistema educativo, brindándoles estrategias de permanencia, como también modelos educativos flexibles como CAMINANDO EN SECUNDARIA.</w:t>
      </w:r>
    </w:p>
    <w:p w:rsidR="00E2705A" w:rsidRPr="00E2705A" w:rsidRDefault="00E2705A" w:rsidP="00A92D87">
      <w:pPr>
        <w:spacing w:line="240" w:lineRule="auto"/>
        <w:jc w:val="both"/>
      </w:pPr>
      <w:r w:rsidRPr="00E2705A">
        <w:t>Fomentar el modelo flexible para jóvenes en extra edad en varias instituciones que en la actualidad solo lo ofrece La Institución Educativa Municipal Antonio Nariño.</w:t>
      </w:r>
    </w:p>
    <w:p w:rsidR="00E2705A" w:rsidRPr="00E2705A" w:rsidRDefault="00E2705A" w:rsidP="00A92D87">
      <w:pPr>
        <w:spacing w:line="240" w:lineRule="auto"/>
        <w:jc w:val="both"/>
      </w:pPr>
      <w:r w:rsidRPr="00E2705A">
        <w:t xml:space="preserve">Es necesario que al interior de la SEMPASTO se articulen las acciones de control y seguimiento en los establecimientos educativos del sector oficial como en el no oficial, en cuanto al cumplimiento de los requisitos establecidos para el ingreso de los estudiantes al modelo educativo de jóvenes y adultos de conformidad con el Decreto 3011 de 2006 para evitar que el flujo de la educación formal hacia este modelo flexible no sea tan acentuado </w:t>
      </w:r>
    </w:p>
    <w:p w:rsidR="00E2705A" w:rsidRPr="00E2705A" w:rsidRDefault="00E2705A" w:rsidP="00DF63E8">
      <w:pPr>
        <w:numPr>
          <w:ilvl w:val="0"/>
          <w:numId w:val="41"/>
        </w:numPr>
        <w:spacing w:after="0" w:line="240" w:lineRule="auto"/>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ind w:left="360"/>
        <w:contextualSpacing/>
        <w:jc w:val="both"/>
        <w:rPr>
          <w:rFonts w:eastAsia="Times New Roman" w:cs="Times New Roman"/>
          <w:b/>
          <w:lang w:eastAsia="es-CO"/>
        </w:rPr>
      </w:pPr>
    </w:p>
    <w:p w:rsidR="00E2705A" w:rsidRPr="00E2705A" w:rsidRDefault="00E2705A" w:rsidP="00A92D87">
      <w:pPr>
        <w:spacing w:line="240" w:lineRule="auto"/>
        <w:jc w:val="both"/>
      </w:pPr>
      <w:r w:rsidRPr="00E2705A">
        <w:t>Se tenga en cuenta las prioridades planteadas en el próximo Plan de desarrollo Educativo del Municipio de Pasto.</w:t>
      </w:r>
    </w:p>
    <w:p w:rsidR="00E2705A" w:rsidRPr="00E2705A" w:rsidRDefault="00E2705A" w:rsidP="00A92D87">
      <w:pPr>
        <w:autoSpaceDE w:val="0"/>
        <w:autoSpaceDN w:val="0"/>
        <w:adjustRightInd w:val="0"/>
        <w:spacing w:after="200" w:line="240" w:lineRule="auto"/>
        <w:jc w:val="both"/>
        <w:rPr>
          <w:rFonts w:eastAsia="Calibri" w:cs="Arial"/>
          <w:b/>
          <w:color w:val="000000"/>
        </w:rPr>
      </w:pPr>
    </w:p>
    <w:p w:rsidR="00E2705A" w:rsidRPr="00E2705A" w:rsidRDefault="00E2705A" w:rsidP="00A92D87">
      <w:pPr>
        <w:spacing w:line="240" w:lineRule="auto"/>
        <w:jc w:val="both"/>
        <w:rPr>
          <w:b/>
        </w:rPr>
      </w:pPr>
      <w:r w:rsidRPr="00E2705A">
        <w:t>D</w:t>
      </w:r>
      <w:r w:rsidRPr="00E2705A">
        <w:rPr>
          <w:b/>
        </w:rPr>
        <w:t>ESCRIPCIÓN DEL INDICADOR No. 63</w:t>
      </w:r>
    </w:p>
    <w:tbl>
      <w:tblPr>
        <w:tblStyle w:val="Tabladecuadrcula2-nfasis5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Nombre del indicador: Niveles de desempeño en las pruebas SABER grado 9°, Lenguaje, Matemáticas, Ciencias Naturales y Competencias</w:t>
            </w:r>
          </w:p>
        </w:tc>
      </w:tr>
      <w:tr w:rsidR="00E2705A" w:rsidRPr="00E2705A" w:rsidTr="00000F81">
        <w:trPr>
          <w:trHeight w:val="332"/>
          <w:jc w:val="center"/>
        </w:trPr>
        <w:tc>
          <w:tcPr>
            <w:cnfStyle w:val="001000000000"/>
            <w:tcW w:w="8828" w:type="dxa"/>
          </w:tcPr>
          <w:p w:rsidR="00E2705A" w:rsidRPr="00E2705A" w:rsidRDefault="00E2705A" w:rsidP="00A92D87">
            <w:r w:rsidRPr="00E2705A">
              <w:t>Fuente Nacional: ICFES</w:t>
            </w:r>
          </w:p>
          <w:p w:rsidR="00E2705A" w:rsidRPr="00E2705A" w:rsidRDefault="00E2705A" w:rsidP="00A92D87">
            <w:r w:rsidRPr="00E2705A">
              <w:t xml:space="preserve">Otra Fuente: </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Categoría de derechos: Derechos Civiles y Políticos</w:t>
            </w:r>
          </w:p>
        </w:tc>
      </w:tr>
      <w:tr w:rsidR="00E2705A" w:rsidRPr="00E2705A" w:rsidTr="00000F81">
        <w:trPr>
          <w:trHeight w:val="458"/>
          <w:jc w:val="center"/>
        </w:trPr>
        <w:tc>
          <w:tcPr>
            <w:cnfStyle w:val="001000000000"/>
            <w:tcW w:w="8828" w:type="dxa"/>
          </w:tcPr>
          <w:p w:rsidR="00E2705A" w:rsidRPr="00E2705A" w:rsidRDefault="00E2705A" w:rsidP="00A92D87">
            <w:r w:rsidRPr="00E2705A">
              <w:t>Derechos: Derechos al Desarrollo</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 xml:space="preserve">Temas relacionados: </w:t>
            </w:r>
          </w:p>
          <w:p w:rsidR="00E2705A" w:rsidRPr="00E2705A" w:rsidRDefault="00E2705A" w:rsidP="00A92D87"/>
        </w:tc>
      </w:tr>
      <w:tr w:rsidR="00E2705A" w:rsidRPr="00E2705A" w:rsidTr="00000F81">
        <w:trPr>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A92D87">
      <w:pPr>
        <w:spacing w:after="0" w:line="240" w:lineRule="auto"/>
        <w:contextualSpacing/>
        <w:rPr>
          <w:rFonts w:eastAsia="Times New Roman" w:cs="Times New Roman"/>
          <w:b/>
          <w:lang w:eastAsia="es-CO"/>
        </w:rPr>
      </w:pPr>
    </w:p>
    <w:p w:rsidR="00E2705A" w:rsidRPr="00E2705A" w:rsidRDefault="00E2705A" w:rsidP="00DF63E8">
      <w:pPr>
        <w:numPr>
          <w:ilvl w:val="0"/>
          <w:numId w:val="41"/>
        </w:numPr>
        <w:spacing w:after="0" w:line="240" w:lineRule="auto"/>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contextualSpacing/>
        <w:rPr>
          <w:rFonts w:eastAsia="Times New Roman" w:cs="Times New Roman"/>
          <w:b/>
          <w:lang w:eastAsia="es-CO"/>
        </w:rPr>
      </w:pPr>
    </w:p>
    <w:tbl>
      <w:tblPr>
        <w:tblStyle w:val="Tablaconcuadrcula8"/>
        <w:tblW w:w="0" w:type="auto"/>
        <w:tblInd w:w="-431" w:type="dxa"/>
        <w:tblLook w:val="04A0"/>
      </w:tblPr>
      <w:tblGrid>
        <w:gridCol w:w="2196"/>
        <w:gridCol w:w="1765"/>
        <w:gridCol w:w="1766"/>
        <w:gridCol w:w="1766"/>
        <w:gridCol w:w="1766"/>
      </w:tblGrid>
      <w:tr w:rsidR="00E2705A" w:rsidRPr="00E2705A" w:rsidTr="00000F81">
        <w:tc>
          <w:tcPr>
            <w:tcW w:w="2196" w:type="dxa"/>
          </w:tcPr>
          <w:p w:rsidR="00E2705A" w:rsidRPr="00E2705A" w:rsidRDefault="00E2705A" w:rsidP="00A92D87">
            <w:pPr>
              <w:jc w:val="center"/>
              <w:rPr>
                <w:b/>
              </w:rPr>
            </w:pPr>
            <w:r w:rsidRPr="00E2705A">
              <w:rPr>
                <w:b/>
              </w:rPr>
              <w:t>Indicador</w:t>
            </w:r>
          </w:p>
        </w:tc>
        <w:tc>
          <w:tcPr>
            <w:tcW w:w="1765" w:type="dxa"/>
          </w:tcPr>
          <w:p w:rsidR="00E2705A" w:rsidRPr="00E2705A" w:rsidRDefault="00E2705A" w:rsidP="00A92D87">
            <w:pPr>
              <w:jc w:val="center"/>
              <w:rPr>
                <w:b/>
              </w:rPr>
            </w:pPr>
            <w:r w:rsidRPr="00E2705A">
              <w:rPr>
                <w:b/>
              </w:rPr>
              <w:t>2009</w:t>
            </w:r>
          </w:p>
        </w:tc>
        <w:tc>
          <w:tcPr>
            <w:tcW w:w="1766" w:type="dxa"/>
          </w:tcPr>
          <w:p w:rsidR="00E2705A" w:rsidRPr="00E2705A" w:rsidRDefault="00E2705A" w:rsidP="00A92D87">
            <w:pPr>
              <w:jc w:val="center"/>
              <w:rPr>
                <w:b/>
              </w:rPr>
            </w:pPr>
            <w:r w:rsidRPr="00E2705A">
              <w:rPr>
                <w:b/>
              </w:rPr>
              <w:t>2012</w:t>
            </w:r>
          </w:p>
        </w:tc>
        <w:tc>
          <w:tcPr>
            <w:tcW w:w="1766" w:type="dxa"/>
          </w:tcPr>
          <w:p w:rsidR="00E2705A" w:rsidRPr="00E2705A" w:rsidRDefault="00E2705A" w:rsidP="00A92D87">
            <w:pPr>
              <w:jc w:val="center"/>
              <w:rPr>
                <w:b/>
              </w:rPr>
            </w:pPr>
            <w:r w:rsidRPr="00E2705A">
              <w:rPr>
                <w:b/>
              </w:rPr>
              <w:t>2013</w:t>
            </w:r>
          </w:p>
        </w:tc>
        <w:tc>
          <w:tcPr>
            <w:tcW w:w="1766" w:type="dxa"/>
          </w:tcPr>
          <w:p w:rsidR="00E2705A" w:rsidRPr="00E2705A" w:rsidRDefault="00E2705A" w:rsidP="00A92D87">
            <w:pPr>
              <w:jc w:val="center"/>
              <w:rPr>
                <w:b/>
              </w:rPr>
            </w:pPr>
            <w:r w:rsidRPr="00E2705A">
              <w:rPr>
                <w:b/>
              </w:rPr>
              <w:t>2014</w:t>
            </w:r>
          </w:p>
        </w:tc>
      </w:tr>
      <w:tr w:rsidR="00E2705A" w:rsidRPr="00E2705A" w:rsidTr="00000F81">
        <w:tc>
          <w:tcPr>
            <w:tcW w:w="2196" w:type="dxa"/>
          </w:tcPr>
          <w:p w:rsidR="00E2705A" w:rsidRPr="00E2705A" w:rsidRDefault="00E2705A" w:rsidP="00A92D87">
            <w:r w:rsidRPr="00E2705A">
              <w:t xml:space="preserve"> Niveles de desempeño en las pruebas SABER grado 9°, Lenguaje </w:t>
            </w:r>
          </w:p>
        </w:tc>
        <w:tc>
          <w:tcPr>
            <w:tcW w:w="1765" w:type="dxa"/>
          </w:tcPr>
          <w:p w:rsidR="00E2705A" w:rsidRPr="00E2705A" w:rsidRDefault="00E2705A" w:rsidP="00A92D87"/>
        </w:tc>
        <w:tc>
          <w:tcPr>
            <w:tcW w:w="1766" w:type="dxa"/>
          </w:tcPr>
          <w:p w:rsidR="00E2705A" w:rsidRPr="00E2705A" w:rsidRDefault="00E2705A" w:rsidP="00A92D87"/>
        </w:tc>
        <w:tc>
          <w:tcPr>
            <w:tcW w:w="1766" w:type="dxa"/>
          </w:tcPr>
          <w:p w:rsidR="00E2705A" w:rsidRPr="00E2705A" w:rsidRDefault="00E2705A" w:rsidP="00A92D87"/>
        </w:tc>
        <w:tc>
          <w:tcPr>
            <w:tcW w:w="1766" w:type="dxa"/>
          </w:tcPr>
          <w:p w:rsidR="00E2705A" w:rsidRPr="00E2705A" w:rsidRDefault="00E2705A" w:rsidP="00A92D87"/>
        </w:tc>
      </w:tr>
      <w:tr w:rsidR="00E2705A" w:rsidRPr="00E2705A" w:rsidTr="00000F81">
        <w:trPr>
          <w:trHeight w:val="166"/>
        </w:trPr>
        <w:tc>
          <w:tcPr>
            <w:tcW w:w="2196" w:type="dxa"/>
          </w:tcPr>
          <w:p w:rsidR="00E2705A" w:rsidRPr="00E2705A" w:rsidRDefault="00E2705A" w:rsidP="00A92D87">
            <w:r w:rsidRPr="00E2705A">
              <w:t>Avanzado</w:t>
            </w:r>
          </w:p>
        </w:tc>
        <w:tc>
          <w:tcPr>
            <w:tcW w:w="1765" w:type="dxa"/>
          </w:tcPr>
          <w:p w:rsidR="00E2705A" w:rsidRPr="00E2705A" w:rsidRDefault="00E2705A" w:rsidP="00A92D87">
            <w:r w:rsidRPr="00E2705A">
              <w:t>7%</w:t>
            </w:r>
            <w:r w:rsidRPr="00E2705A">
              <w:tab/>
            </w:r>
          </w:p>
        </w:tc>
        <w:tc>
          <w:tcPr>
            <w:tcW w:w="1766" w:type="dxa"/>
          </w:tcPr>
          <w:p w:rsidR="00E2705A" w:rsidRPr="00E2705A" w:rsidRDefault="00E2705A" w:rsidP="00A92D87">
            <w:r w:rsidRPr="00E2705A">
              <w:t>9%</w:t>
            </w:r>
          </w:p>
        </w:tc>
        <w:tc>
          <w:tcPr>
            <w:tcW w:w="1766" w:type="dxa"/>
          </w:tcPr>
          <w:p w:rsidR="00E2705A" w:rsidRPr="00E2705A" w:rsidRDefault="00E2705A" w:rsidP="00A92D87">
            <w:r w:rsidRPr="00E2705A">
              <w:t>9%</w:t>
            </w:r>
          </w:p>
        </w:tc>
        <w:tc>
          <w:tcPr>
            <w:tcW w:w="1766" w:type="dxa"/>
          </w:tcPr>
          <w:p w:rsidR="00E2705A" w:rsidRPr="00E2705A" w:rsidRDefault="00E2705A" w:rsidP="00A92D87">
            <w:r w:rsidRPr="00E2705A">
              <w:t>9%</w:t>
            </w:r>
          </w:p>
        </w:tc>
      </w:tr>
      <w:tr w:rsidR="00E2705A" w:rsidRPr="00E2705A" w:rsidTr="00000F81">
        <w:tc>
          <w:tcPr>
            <w:tcW w:w="2196" w:type="dxa"/>
          </w:tcPr>
          <w:p w:rsidR="00E2705A" w:rsidRPr="00E2705A" w:rsidRDefault="00E2705A" w:rsidP="00A92D87">
            <w:r w:rsidRPr="00E2705A">
              <w:t>Satisfactoria</w:t>
            </w:r>
          </w:p>
        </w:tc>
        <w:tc>
          <w:tcPr>
            <w:tcW w:w="1765" w:type="dxa"/>
          </w:tcPr>
          <w:p w:rsidR="00E2705A" w:rsidRPr="00E2705A" w:rsidRDefault="00E2705A" w:rsidP="00A92D87">
            <w:r w:rsidRPr="00E2705A">
              <w:t>30%</w:t>
            </w:r>
          </w:p>
        </w:tc>
        <w:tc>
          <w:tcPr>
            <w:tcW w:w="1766" w:type="dxa"/>
          </w:tcPr>
          <w:p w:rsidR="00E2705A" w:rsidRPr="00E2705A" w:rsidRDefault="00E2705A" w:rsidP="00A92D87">
            <w:r w:rsidRPr="00E2705A">
              <w:t>56%</w:t>
            </w:r>
          </w:p>
        </w:tc>
        <w:tc>
          <w:tcPr>
            <w:tcW w:w="1766" w:type="dxa"/>
          </w:tcPr>
          <w:p w:rsidR="00E2705A" w:rsidRPr="00E2705A" w:rsidRDefault="00E2705A" w:rsidP="00A92D87">
            <w:r w:rsidRPr="00E2705A">
              <w:t>56%</w:t>
            </w:r>
          </w:p>
        </w:tc>
        <w:tc>
          <w:tcPr>
            <w:tcW w:w="1766" w:type="dxa"/>
          </w:tcPr>
          <w:p w:rsidR="00E2705A" w:rsidRPr="00E2705A" w:rsidRDefault="00E2705A" w:rsidP="00A92D87">
            <w:r w:rsidRPr="00E2705A">
              <w:t>49%</w:t>
            </w:r>
          </w:p>
        </w:tc>
      </w:tr>
      <w:tr w:rsidR="00E2705A" w:rsidRPr="00E2705A" w:rsidTr="00000F81">
        <w:tc>
          <w:tcPr>
            <w:tcW w:w="2196" w:type="dxa"/>
          </w:tcPr>
          <w:p w:rsidR="00E2705A" w:rsidRPr="00E2705A" w:rsidRDefault="00E2705A" w:rsidP="00A92D87">
            <w:r w:rsidRPr="00E2705A">
              <w:t>Mínimo</w:t>
            </w:r>
          </w:p>
        </w:tc>
        <w:tc>
          <w:tcPr>
            <w:tcW w:w="1765" w:type="dxa"/>
          </w:tcPr>
          <w:p w:rsidR="00E2705A" w:rsidRPr="00E2705A" w:rsidRDefault="00E2705A" w:rsidP="00A92D87">
            <w:r w:rsidRPr="00E2705A">
              <w:t>49%</w:t>
            </w:r>
          </w:p>
        </w:tc>
        <w:tc>
          <w:tcPr>
            <w:tcW w:w="1766" w:type="dxa"/>
          </w:tcPr>
          <w:p w:rsidR="00E2705A" w:rsidRPr="00E2705A" w:rsidRDefault="00E2705A" w:rsidP="00A92D87">
            <w:r w:rsidRPr="00E2705A">
              <w:t>30%</w:t>
            </w:r>
          </w:p>
        </w:tc>
        <w:tc>
          <w:tcPr>
            <w:tcW w:w="1766" w:type="dxa"/>
          </w:tcPr>
          <w:p w:rsidR="00E2705A" w:rsidRPr="00E2705A" w:rsidRDefault="00E2705A" w:rsidP="00A92D87">
            <w:r w:rsidRPr="00E2705A">
              <w:t>30%</w:t>
            </w:r>
          </w:p>
        </w:tc>
        <w:tc>
          <w:tcPr>
            <w:tcW w:w="1766" w:type="dxa"/>
          </w:tcPr>
          <w:p w:rsidR="00E2705A" w:rsidRPr="00E2705A" w:rsidRDefault="00E2705A" w:rsidP="00A92D87">
            <w:r w:rsidRPr="00E2705A">
              <w:t>36%</w:t>
            </w:r>
          </w:p>
        </w:tc>
      </w:tr>
      <w:tr w:rsidR="00E2705A" w:rsidRPr="00E2705A" w:rsidTr="00000F81">
        <w:tc>
          <w:tcPr>
            <w:tcW w:w="2196" w:type="dxa"/>
          </w:tcPr>
          <w:p w:rsidR="00E2705A" w:rsidRPr="00E2705A" w:rsidRDefault="00E2705A" w:rsidP="00A92D87">
            <w:r w:rsidRPr="00E2705A">
              <w:t>Insuficiente</w:t>
            </w:r>
          </w:p>
        </w:tc>
        <w:tc>
          <w:tcPr>
            <w:tcW w:w="1765" w:type="dxa"/>
          </w:tcPr>
          <w:p w:rsidR="00E2705A" w:rsidRPr="00E2705A" w:rsidRDefault="00E2705A" w:rsidP="00A92D87">
            <w:r w:rsidRPr="00E2705A">
              <w:t>16%</w:t>
            </w:r>
          </w:p>
        </w:tc>
        <w:tc>
          <w:tcPr>
            <w:tcW w:w="1766" w:type="dxa"/>
          </w:tcPr>
          <w:p w:rsidR="00E2705A" w:rsidRPr="00E2705A" w:rsidRDefault="00E2705A" w:rsidP="00A92D87">
            <w:r w:rsidRPr="00E2705A">
              <w:t>5%</w:t>
            </w:r>
          </w:p>
        </w:tc>
        <w:tc>
          <w:tcPr>
            <w:tcW w:w="1766" w:type="dxa"/>
          </w:tcPr>
          <w:p w:rsidR="00E2705A" w:rsidRPr="00E2705A" w:rsidRDefault="00E2705A" w:rsidP="00A92D87">
            <w:r w:rsidRPr="00E2705A">
              <w:t>5%</w:t>
            </w:r>
          </w:p>
        </w:tc>
        <w:tc>
          <w:tcPr>
            <w:tcW w:w="1766" w:type="dxa"/>
          </w:tcPr>
          <w:p w:rsidR="00E2705A" w:rsidRPr="00E2705A" w:rsidRDefault="00E2705A" w:rsidP="00A92D87">
            <w:r w:rsidRPr="00E2705A">
              <w:t>7%</w:t>
            </w:r>
          </w:p>
        </w:tc>
      </w:tr>
      <w:tr w:rsidR="00E2705A" w:rsidRPr="00E2705A" w:rsidTr="00000F81">
        <w:tc>
          <w:tcPr>
            <w:tcW w:w="2196" w:type="dxa"/>
          </w:tcPr>
          <w:p w:rsidR="00E2705A" w:rsidRPr="00E2705A" w:rsidRDefault="00E2705A" w:rsidP="00A92D87">
            <w:r w:rsidRPr="00E2705A">
              <w:t xml:space="preserve">Niveles de desempeño en las pruebas SABER grado 9°, Matemáticas, </w:t>
            </w:r>
          </w:p>
        </w:tc>
        <w:tc>
          <w:tcPr>
            <w:tcW w:w="1765" w:type="dxa"/>
          </w:tcPr>
          <w:p w:rsidR="00E2705A" w:rsidRPr="00E2705A" w:rsidRDefault="00E2705A" w:rsidP="00A92D87"/>
        </w:tc>
        <w:tc>
          <w:tcPr>
            <w:tcW w:w="1766" w:type="dxa"/>
          </w:tcPr>
          <w:p w:rsidR="00E2705A" w:rsidRPr="00E2705A" w:rsidRDefault="00E2705A" w:rsidP="00A92D87"/>
        </w:tc>
        <w:tc>
          <w:tcPr>
            <w:tcW w:w="1766" w:type="dxa"/>
          </w:tcPr>
          <w:p w:rsidR="00E2705A" w:rsidRPr="00E2705A" w:rsidRDefault="00E2705A" w:rsidP="00A92D87"/>
        </w:tc>
        <w:tc>
          <w:tcPr>
            <w:tcW w:w="1766" w:type="dxa"/>
          </w:tcPr>
          <w:p w:rsidR="00E2705A" w:rsidRPr="00E2705A" w:rsidRDefault="00E2705A" w:rsidP="00A92D87"/>
        </w:tc>
      </w:tr>
      <w:tr w:rsidR="00E2705A" w:rsidRPr="00E2705A" w:rsidTr="00000F81">
        <w:tc>
          <w:tcPr>
            <w:tcW w:w="2196" w:type="dxa"/>
          </w:tcPr>
          <w:p w:rsidR="00E2705A" w:rsidRPr="00E2705A" w:rsidRDefault="00E2705A" w:rsidP="00A92D87">
            <w:r w:rsidRPr="00E2705A">
              <w:t>Avanzado</w:t>
            </w:r>
          </w:p>
        </w:tc>
        <w:tc>
          <w:tcPr>
            <w:tcW w:w="1765" w:type="dxa"/>
          </w:tcPr>
          <w:p w:rsidR="00E2705A" w:rsidRPr="00E2705A" w:rsidRDefault="00E2705A" w:rsidP="00A92D87">
            <w:r w:rsidRPr="00E2705A">
              <w:t>9%</w:t>
            </w:r>
          </w:p>
        </w:tc>
        <w:tc>
          <w:tcPr>
            <w:tcW w:w="1766" w:type="dxa"/>
          </w:tcPr>
          <w:p w:rsidR="00E2705A" w:rsidRPr="00E2705A" w:rsidRDefault="00E2705A" w:rsidP="00A92D87">
            <w:r w:rsidRPr="00E2705A">
              <w:t>8%</w:t>
            </w:r>
          </w:p>
        </w:tc>
        <w:tc>
          <w:tcPr>
            <w:tcW w:w="1766" w:type="dxa"/>
          </w:tcPr>
          <w:p w:rsidR="00E2705A" w:rsidRPr="00E2705A" w:rsidRDefault="00E2705A" w:rsidP="00A92D87">
            <w:r w:rsidRPr="00E2705A">
              <w:t>8%</w:t>
            </w:r>
          </w:p>
        </w:tc>
        <w:tc>
          <w:tcPr>
            <w:tcW w:w="1766" w:type="dxa"/>
          </w:tcPr>
          <w:p w:rsidR="00E2705A" w:rsidRPr="00E2705A" w:rsidRDefault="00E2705A" w:rsidP="00A92D87">
            <w:r w:rsidRPr="00E2705A">
              <w:t>9%</w:t>
            </w:r>
          </w:p>
        </w:tc>
      </w:tr>
      <w:tr w:rsidR="00E2705A" w:rsidRPr="00E2705A" w:rsidTr="00000F81">
        <w:tc>
          <w:tcPr>
            <w:tcW w:w="2196" w:type="dxa"/>
          </w:tcPr>
          <w:p w:rsidR="00E2705A" w:rsidRPr="00E2705A" w:rsidRDefault="00E2705A" w:rsidP="00A92D87">
            <w:r w:rsidRPr="00E2705A">
              <w:t>Satisfactorio</w:t>
            </w:r>
          </w:p>
        </w:tc>
        <w:tc>
          <w:tcPr>
            <w:tcW w:w="1765" w:type="dxa"/>
          </w:tcPr>
          <w:p w:rsidR="00E2705A" w:rsidRPr="00E2705A" w:rsidRDefault="00E2705A" w:rsidP="00A92D87">
            <w:r w:rsidRPr="00E2705A">
              <w:t>21%</w:t>
            </w:r>
          </w:p>
        </w:tc>
        <w:tc>
          <w:tcPr>
            <w:tcW w:w="1766" w:type="dxa"/>
          </w:tcPr>
          <w:p w:rsidR="00E2705A" w:rsidRPr="00E2705A" w:rsidRDefault="00E2705A" w:rsidP="00A92D87">
            <w:r w:rsidRPr="00E2705A">
              <w:t>34%</w:t>
            </w:r>
          </w:p>
        </w:tc>
        <w:tc>
          <w:tcPr>
            <w:tcW w:w="1766" w:type="dxa"/>
          </w:tcPr>
          <w:p w:rsidR="00E2705A" w:rsidRPr="00E2705A" w:rsidRDefault="00E2705A" w:rsidP="00A92D87">
            <w:r w:rsidRPr="00E2705A">
              <w:t>34%</w:t>
            </w:r>
          </w:p>
        </w:tc>
        <w:tc>
          <w:tcPr>
            <w:tcW w:w="1766" w:type="dxa"/>
          </w:tcPr>
          <w:p w:rsidR="00E2705A" w:rsidRPr="00E2705A" w:rsidRDefault="00E2705A" w:rsidP="00A92D87">
            <w:r w:rsidRPr="00E2705A">
              <w:t>32%</w:t>
            </w:r>
          </w:p>
        </w:tc>
      </w:tr>
      <w:tr w:rsidR="00E2705A" w:rsidRPr="00E2705A" w:rsidTr="00000F81">
        <w:tc>
          <w:tcPr>
            <w:tcW w:w="2196" w:type="dxa"/>
          </w:tcPr>
          <w:p w:rsidR="00E2705A" w:rsidRPr="00E2705A" w:rsidRDefault="00E2705A" w:rsidP="00A92D87">
            <w:r w:rsidRPr="00E2705A">
              <w:t>Mínimo</w:t>
            </w:r>
          </w:p>
        </w:tc>
        <w:tc>
          <w:tcPr>
            <w:tcW w:w="1765" w:type="dxa"/>
          </w:tcPr>
          <w:p w:rsidR="00E2705A" w:rsidRPr="00E2705A" w:rsidRDefault="00E2705A" w:rsidP="00A92D87">
            <w:r w:rsidRPr="00E2705A">
              <w:t>38%</w:t>
            </w:r>
          </w:p>
        </w:tc>
        <w:tc>
          <w:tcPr>
            <w:tcW w:w="1766" w:type="dxa"/>
          </w:tcPr>
          <w:p w:rsidR="00E2705A" w:rsidRPr="00E2705A" w:rsidRDefault="00E2705A" w:rsidP="00A92D87">
            <w:r w:rsidRPr="00E2705A">
              <w:t>49%</w:t>
            </w:r>
          </w:p>
        </w:tc>
        <w:tc>
          <w:tcPr>
            <w:tcW w:w="1766" w:type="dxa"/>
          </w:tcPr>
          <w:p w:rsidR="00E2705A" w:rsidRPr="00E2705A" w:rsidRDefault="00E2705A" w:rsidP="00A92D87">
            <w:r w:rsidRPr="00E2705A">
              <w:t>49%</w:t>
            </w:r>
          </w:p>
        </w:tc>
        <w:tc>
          <w:tcPr>
            <w:tcW w:w="1766" w:type="dxa"/>
          </w:tcPr>
          <w:p w:rsidR="00E2705A" w:rsidRPr="00E2705A" w:rsidRDefault="00E2705A" w:rsidP="00A92D87">
            <w:r w:rsidRPr="00E2705A">
              <w:t>43%</w:t>
            </w:r>
          </w:p>
        </w:tc>
      </w:tr>
      <w:tr w:rsidR="00E2705A" w:rsidRPr="00E2705A" w:rsidTr="00000F81">
        <w:tc>
          <w:tcPr>
            <w:tcW w:w="2196" w:type="dxa"/>
          </w:tcPr>
          <w:p w:rsidR="00E2705A" w:rsidRPr="00E2705A" w:rsidRDefault="00E2705A" w:rsidP="00A92D87">
            <w:r w:rsidRPr="00E2705A">
              <w:t>Insuficiente</w:t>
            </w:r>
          </w:p>
        </w:tc>
        <w:tc>
          <w:tcPr>
            <w:tcW w:w="1765" w:type="dxa"/>
          </w:tcPr>
          <w:p w:rsidR="00E2705A" w:rsidRPr="00E2705A" w:rsidRDefault="00E2705A" w:rsidP="00A92D87">
            <w:r w:rsidRPr="00E2705A">
              <w:t>33%</w:t>
            </w:r>
          </w:p>
        </w:tc>
        <w:tc>
          <w:tcPr>
            <w:tcW w:w="1766" w:type="dxa"/>
          </w:tcPr>
          <w:p w:rsidR="00E2705A" w:rsidRPr="00E2705A" w:rsidRDefault="00E2705A" w:rsidP="00A92D87">
            <w:r w:rsidRPr="00E2705A">
              <w:t>10%</w:t>
            </w:r>
          </w:p>
        </w:tc>
        <w:tc>
          <w:tcPr>
            <w:tcW w:w="1766" w:type="dxa"/>
          </w:tcPr>
          <w:p w:rsidR="00E2705A" w:rsidRPr="00E2705A" w:rsidRDefault="00E2705A" w:rsidP="00A92D87">
            <w:r w:rsidRPr="00E2705A">
              <w:t>10%</w:t>
            </w:r>
          </w:p>
        </w:tc>
        <w:tc>
          <w:tcPr>
            <w:tcW w:w="1766" w:type="dxa"/>
          </w:tcPr>
          <w:p w:rsidR="00E2705A" w:rsidRPr="00E2705A" w:rsidRDefault="00E2705A" w:rsidP="00A92D87">
            <w:r w:rsidRPr="00E2705A">
              <w:t>11%</w:t>
            </w:r>
          </w:p>
        </w:tc>
      </w:tr>
      <w:tr w:rsidR="00E2705A" w:rsidRPr="00E2705A" w:rsidTr="00000F81">
        <w:trPr>
          <w:trHeight w:val="1192"/>
        </w:trPr>
        <w:tc>
          <w:tcPr>
            <w:tcW w:w="2196" w:type="dxa"/>
          </w:tcPr>
          <w:p w:rsidR="00E2705A" w:rsidRPr="00E2705A" w:rsidRDefault="00E2705A" w:rsidP="00A92D87">
            <w:r w:rsidRPr="00E2705A">
              <w:t xml:space="preserve">Niveles de desempeño en las pruebas SABER grado 9°, Ciencias Naturales </w:t>
            </w:r>
          </w:p>
        </w:tc>
        <w:tc>
          <w:tcPr>
            <w:tcW w:w="1765" w:type="dxa"/>
          </w:tcPr>
          <w:p w:rsidR="00E2705A" w:rsidRPr="00E2705A" w:rsidRDefault="00E2705A" w:rsidP="00A92D87"/>
        </w:tc>
        <w:tc>
          <w:tcPr>
            <w:tcW w:w="1766" w:type="dxa"/>
          </w:tcPr>
          <w:p w:rsidR="00E2705A" w:rsidRPr="00E2705A" w:rsidRDefault="00E2705A" w:rsidP="00A92D87"/>
        </w:tc>
        <w:tc>
          <w:tcPr>
            <w:tcW w:w="1766" w:type="dxa"/>
          </w:tcPr>
          <w:p w:rsidR="00E2705A" w:rsidRPr="00E2705A" w:rsidRDefault="00E2705A" w:rsidP="00A92D87"/>
        </w:tc>
        <w:tc>
          <w:tcPr>
            <w:tcW w:w="1766" w:type="dxa"/>
          </w:tcPr>
          <w:p w:rsidR="00E2705A" w:rsidRPr="00E2705A" w:rsidRDefault="00E2705A" w:rsidP="00A92D87"/>
        </w:tc>
      </w:tr>
      <w:tr w:rsidR="00E2705A" w:rsidRPr="00E2705A" w:rsidTr="00000F81">
        <w:tc>
          <w:tcPr>
            <w:tcW w:w="2196" w:type="dxa"/>
          </w:tcPr>
          <w:p w:rsidR="00E2705A" w:rsidRPr="00E2705A" w:rsidRDefault="00E2705A" w:rsidP="00A92D87">
            <w:r w:rsidRPr="00E2705A">
              <w:t>Avanzado</w:t>
            </w:r>
          </w:p>
        </w:tc>
        <w:tc>
          <w:tcPr>
            <w:tcW w:w="1765" w:type="dxa"/>
          </w:tcPr>
          <w:p w:rsidR="00E2705A" w:rsidRPr="00E2705A" w:rsidRDefault="00E2705A" w:rsidP="00A92D87">
            <w:r w:rsidRPr="00E2705A">
              <w:t>6%</w:t>
            </w:r>
          </w:p>
        </w:tc>
        <w:tc>
          <w:tcPr>
            <w:tcW w:w="1766" w:type="dxa"/>
          </w:tcPr>
          <w:p w:rsidR="00E2705A" w:rsidRPr="00E2705A" w:rsidRDefault="00E2705A" w:rsidP="00A92D87">
            <w:r w:rsidRPr="00E2705A">
              <w:t>17%</w:t>
            </w:r>
          </w:p>
        </w:tc>
        <w:tc>
          <w:tcPr>
            <w:tcW w:w="1766" w:type="dxa"/>
          </w:tcPr>
          <w:p w:rsidR="00E2705A" w:rsidRPr="00E2705A" w:rsidRDefault="00E2705A" w:rsidP="00A92D87">
            <w:r w:rsidRPr="00E2705A">
              <w:t>N.A.</w:t>
            </w:r>
          </w:p>
        </w:tc>
        <w:tc>
          <w:tcPr>
            <w:tcW w:w="1766" w:type="dxa"/>
          </w:tcPr>
          <w:p w:rsidR="00E2705A" w:rsidRPr="00E2705A" w:rsidRDefault="00E2705A" w:rsidP="00A92D87">
            <w:r w:rsidRPr="00E2705A">
              <w:t>12%</w:t>
            </w:r>
          </w:p>
        </w:tc>
      </w:tr>
      <w:tr w:rsidR="00E2705A" w:rsidRPr="00E2705A" w:rsidTr="00000F81">
        <w:tc>
          <w:tcPr>
            <w:tcW w:w="2196" w:type="dxa"/>
          </w:tcPr>
          <w:p w:rsidR="00E2705A" w:rsidRPr="00E2705A" w:rsidRDefault="00E2705A" w:rsidP="00A92D87">
            <w:r w:rsidRPr="00E2705A">
              <w:t>Satisfactorio</w:t>
            </w:r>
          </w:p>
        </w:tc>
        <w:tc>
          <w:tcPr>
            <w:tcW w:w="1765" w:type="dxa"/>
          </w:tcPr>
          <w:p w:rsidR="00E2705A" w:rsidRPr="00E2705A" w:rsidRDefault="00E2705A" w:rsidP="00A92D87">
            <w:r w:rsidRPr="00E2705A">
              <w:t>21%</w:t>
            </w:r>
          </w:p>
        </w:tc>
        <w:tc>
          <w:tcPr>
            <w:tcW w:w="1766" w:type="dxa"/>
          </w:tcPr>
          <w:p w:rsidR="00E2705A" w:rsidRPr="00E2705A" w:rsidRDefault="00E2705A" w:rsidP="00A92D87">
            <w:r w:rsidRPr="00E2705A">
              <w:t>34%</w:t>
            </w:r>
          </w:p>
        </w:tc>
        <w:tc>
          <w:tcPr>
            <w:tcW w:w="1766" w:type="dxa"/>
          </w:tcPr>
          <w:p w:rsidR="00E2705A" w:rsidRPr="00E2705A" w:rsidRDefault="00E2705A" w:rsidP="00A92D87">
            <w:r w:rsidRPr="00E2705A">
              <w:t>N.A.</w:t>
            </w:r>
          </w:p>
        </w:tc>
        <w:tc>
          <w:tcPr>
            <w:tcW w:w="1766" w:type="dxa"/>
          </w:tcPr>
          <w:p w:rsidR="00E2705A" w:rsidRPr="00E2705A" w:rsidRDefault="00E2705A" w:rsidP="00A92D87">
            <w:r w:rsidRPr="00E2705A">
              <w:t>38%</w:t>
            </w:r>
          </w:p>
        </w:tc>
      </w:tr>
      <w:tr w:rsidR="00E2705A" w:rsidRPr="00E2705A" w:rsidTr="00000F81">
        <w:tc>
          <w:tcPr>
            <w:tcW w:w="2196" w:type="dxa"/>
          </w:tcPr>
          <w:p w:rsidR="00E2705A" w:rsidRPr="00E2705A" w:rsidRDefault="00E2705A" w:rsidP="00A92D87">
            <w:r w:rsidRPr="00E2705A">
              <w:t>Mínimo</w:t>
            </w:r>
          </w:p>
        </w:tc>
        <w:tc>
          <w:tcPr>
            <w:tcW w:w="1765" w:type="dxa"/>
          </w:tcPr>
          <w:p w:rsidR="00E2705A" w:rsidRPr="00E2705A" w:rsidRDefault="00E2705A" w:rsidP="00A92D87">
            <w:r w:rsidRPr="00E2705A">
              <w:t>38%</w:t>
            </w:r>
          </w:p>
        </w:tc>
        <w:tc>
          <w:tcPr>
            <w:tcW w:w="1766" w:type="dxa"/>
          </w:tcPr>
          <w:p w:rsidR="00E2705A" w:rsidRPr="00E2705A" w:rsidRDefault="00E2705A" w:rsidP="00A92D87">
            <w:r w:rsidRPr="00E2705A">
              <w:t>49%</w:t>
            </w:r>
          </w:p>
        </w:tc>
        <w:tc>
          <w:tcPr>
            <w:tcW w:w="1766" w:type="dxa"/>
          </w:tcPr>
          <w:p w:rsidR="00E2705A" w:rsidRPr="00E2705A" w:rsidRDefault="00E2705A" w:rsidP="00A92D87">
            <w:r w:rsidRPr="00E2705A">
              <w:t>N.A.</w:t>
            </w:r>
          </w:p>
        </w:tc>
        <w:tc>
          <w:tcPr>
            <w:tcW w:w="1766" w:type="dxa"/>
          </w:tcPr>
          <w:p w:rsidR="00E2705A" w:rsidRPr="00E2705A" w:rsidRDefault="00E2705A" w:rsidP="00A92D87">
            <w:r w:rsidRPr="00E2705A">
              <w:t>43%</w:t>
            </w:r>
          </w:p>
        </w:tc>
      </w:tr>
      <w:tr w:rsidR="00E2705A" w:rsidRPr="00E2705A" w:rsidTr="00000F81">
        <w:tc>
          <w:tcPr>
            <w:tcW w:w="2196" w:type="dxa"/>
          </w:tcPr>
          <w:p w:rsidR="00E2705A" w:rsidRPr="00E2705A" w:rsidRDefault="00E2705A" w:rsidP="00A92D87">
            <w:r w:rsidRPr="00E2705A">
              <w:t>Insuficiente</w:t>
            </w:r>
          </w:p>
        </w:tc>
        <w:tc>
          <w:tcPr>
            <w:tcW w:w="1765" w:type="dxa"/>
          </w:tcPr>
          <w:p w:rsidR="00E2705A" w:rsidRPr="00E2705A" w:rsidRDefault="00E2705A" w:rsidP="00A92D87">
            <w:r w:rsidRPr="00E2705A">
              <w:t>16%</w:t>
            </w:r>
          </w:p>
        </w:tc>
        <w:tc>
          <w:tcPr>
            <w:tcW w:w="1766" w:type="dxa"/>
          </w:tcPr>
          <w:p w:rsidR="00E2705A" w:rsidRPr="00E2705A" w:rsidRDefault="00E2705A" w:rsidP="00A92D87">
            <w:r w:rsidRPr="00E2705A">
              <w:t xml:space="preserve">  4% </w:t>
            </w:r>
          </w:p>
        </w:tc>
        <w:tc>
          <w:tcPr>
            <w:tcW w:w="1766" w:type="dxa"/>
          </w:tcPr>
          <w:p w:rsidR="00E2705A" w:rsidRPr="00E2705A" w:rsidRDefault="00E2705A" w:rsidP="00A92D87">
            <w:r w:rsidRPr="00E2705A">
              <w:t>N.A.</w:t>
            </w:r>
          </w:p>
        </w:tc>
        <w:tc>
          <w:tcPr>
            <w:tcW w:w="1766" w:type="dxa"/>
          </w:tcPr>
          <w:p w:rsidR="00E2705A" w:rsidRPr="00E2705A" w:rsidRDefault="00E2705A" w:rsidP="00A92D87">
            <w:r w:rsidRPr="00E2705A">
              <w:t>7%</w:t>
            </w:r>
          </w:p>
        </w:tc>
      </w:tr>
      <w:tr w:rsidR="00E2705A" w:rsidRPr="00E2705A" w:rsidTr="00000F81">
        <w:tc>
          <w:tcPr>
            <w:tcW w:w="2196" w:type="dxa"/>
          </w:tcPr>
          <w:p w:rsidR="00E2705A" w:rsidRPr="00E2705A" w:rsidRDefault="00E2705A" w:rsidP="00A92D87">
            <w:r w:rsidRPr="00E2705A">
              <w:t>Niveles de desempeño en las pruebas SABER grado 9°, Pensamiento ciudadano</w:t>
            </w:r>
          </w:p>
        </w:tc>
        <w:tc>
          <w:tcPr>
            <w:tcW w:w="1765" w:type="dxa"/>
          </w:tcPr>
          <w:p w:rsidR="00E2705A" w:rsidRPr="00E2705A" w:rsidRDefault="00E2705A" w:rsidP="00A92D87"/>
        </w:tc>
        <w:tc>
          <w:tcPr>
            <w:tcW w:w="1766" w:type="dxa"/>
          </w:tcPr>
          <w:p w:rsidR="00E2705A" w:rsidRPr="00E2705A" w:rsidRDefault="00E2705A" w:rsidP="00A92D87"/>
        </w:tc>
        <w:tc>
          <w:tcPr>
            <w:tcW w:w="1766" w:type="dxa"/>
          </w:tcPr>
          <w:p w:rsidR="00E2705A" w:rsidRPr="00E2705A" w:rsidRDefault="00E2705A" w:rsidP="00A92D87"/>
        </w:tc>
        <w:tc>
          <w:tcPr>
            <w:tcW w:w="1766" w:type="dxa"/>
          </w:tcPr>
          <w:p w:rsidR="00E2705A" w:rsidRPr="00E2705A" w:rsidRDefault="00E2705A" w:rsidP="00A92D87"/>
        </w:tc>
      </w:tr>
      <w:tr w:rsidR="00E2705A" w:rsidRPr="00E2705A" w:rsidTr="00000F81">
        <w:tc>
          <w:tcPr>
            <w:tcW w:w="2196" w:type="dxa"/>
          </w:tcPr>
          <w:p w:rsidR="00E2705A" w:rsidRPr="00E2705A" w:rsidRDefault="00E2705A" w:rsidP="00A92D87">
            <w:r w:rsidRPr="00E2705A">
              <w:t>Avanzado</w:t>
            </w:r>
          </w:p>
        </w:tc>
        <w:tc>
          <w:tcPr>
            <w:tcW w:w="1765" w:type="dxa"/>
          </w:tcPr>
          <w:p w:rsidR="00E2705A" w:rsidRPr="00E2705A" w:rsidRDefault="00E2705A" w:rsidP="00A92D87">
            <w:r w:rsidRPr="00E2705A">
              <w:t>N.A.</w:t>
            </w:r>
          </w:p>
        </w:tc>
        <w:tc>
          <w:tcPr>
            <w:tcW w:w="1766" w:type="dxa"/>
          </w:tcPr>
          <w:p w:rsidR="00E2705A" w:rsidRPr="00E2705A" w:rsidRDefault="00E2705A" w:rsidP="00A92D87">
            <w:r w:rsidRPr="00E2705A">
              <w:t>16%</w:t>
            </w:r>
          </w:p>
        </w:tc>
        <w:tc>
          <w:tcPr>
            <w:tcW w:w="1766" w:type="dxa"/>
          </w:tcPr>
          <w:p w:rsidR="00E2705A" w:rsidRPr="00E2705A" w:rsidRDefault="00E2705A" w:rsidP="00A92D87">
            <w:r w:rsidRPr="00E2705A">
              <w:t>16%</w:t>
            </w:r>
          </w:p>
        </w:tc>
        <w:tc>
          <w:tcPr>
            <w:tcW w:w="1766" w:type="dxa"/>
          </w:tcPr>
          <w:p w:rsidR="00E2705A" w:rsidRPr="00E2705A" w:rsidRDefault="00E2705A" w:rsidP="00A92D87">
            <w:r w:rsidRPr="00E2705A">
              <w:t>N.A.</w:t>
            </w:r>
          </w:p>
        </w:tc>
      </w:tr>
      <w:tr w:rsidR="00E2705A" w:rsidRPr="00E2705A" w:rsidTr="00000F81">
        <w:tc>
          <w:tcPr>
            <w:tcW w:w="2196" w:type="dxa"/>
          </w:tcPr>
          <w:p w:rsidR="00E2705A" w:rsidRPr="00E2705A" w:rsidRDefault="00E2705A" w:rsidP="00A92D87">
            <w:r w:rsidRPr="00E2705A">
              <w:t>Satisfactorio</w:t>
            </w:r>
          </w:p>
        </w:tc>
        <w:tc>
          <w:tcPr>
            <w:tcW w:w="1765" w:type="dxa"/>
          </w:tcPr>
          <w:p w:rsidR="00E2705A" w:rsidRPr="00E2705A" w:rsidRDefault="00E2705A" w:rsidP="00A92D87">
            <w:r w:rsidRPr="00E2705A">
              <w:t>N.A.</w:t>
            </w:r>
          </w:p>
        </w:tc>
        <w:tc>
          <w:tcPr>
            <w:tcW w:w="1766" w:type="dxa"/>
          </w:tcPr>
          <w:p w:rsidR="00E2705A" w:rsidRPr="00E2705A" w:rsidRDefault="00E2705A" w:rsidP="00A92D87">
            <w:r w:rsidRPr="00E2705A">
              <w:t>55%</w:t>
            </w:r>
          </w:p>
        </w:tc>
        <w:tc>
          <w:tcPr>
            <w:tcW w:w="1766" w:type="dxa"/>
          </w:tcPr>
          <w:p w:rsidR="00E2705A" w:rsidRPr="00E2705A" w:rsidRDefault="00E2705A" w:rsidP="00A92D87">
            <w:r w:rsidRPr="00E2705A">
              <w:t>55%</w:t>
            </w:r>
          </w:p>
        </w:tc>
        <w:tc>
          <w:tcPr>
            <w:tcW w:w="1766" w:type="dxa"/>
          </w:tcPr>
          <w:p w:rsidR="00E2705A" w:rsidRPr="00E2705A" w:rsidRDefault="00E2705A" w:rsidP="00A92D87">
            <w:r w:rsidRPr="00E2705A">
              <w:t>N.A.</w:t>
            </w:r>
          </w:p>
        </w:tc>
      </w:tr>
      <w:tr w:rsidR="00E2705A" w:rsidRPr="00E2705A" w:rsidTr="00000F81">
        <w:tc>
          <w:tcPr>
            <w:tcW w:w="2196" w:type="dxa"/>
          </w:tcPr>
          <w:p w:rsidR="00E2705A" w:rsidRPr="00E2705A" w:rsidRDefault="00E2705A" w:rsidP="00A92D87">
            <w:r w:rsidRPr="00E2705A">
              <w:t>Mínimo</w:t>
            </w:r>
          </w:p>
        </w:tc>
        <w:tc>
          <w:tcPr>
            <w:tcW w:w="1765" w:type="dxa"/>
          </w:tcPr>
          <w:p w:rsidR="00E2705A" w:rsidRPr="00E2705A" w:rsidRDefault="00E2705A" w:rsidP="00A92D87">
            <w:r w:rsidRPr="00E2705A">
              <w:t>N.A.</w:t>
            </w:r>
          </w:p>
        </w:tc>
        <w:tc>
          <w:tcPr>
            <w:tcW w:w="1766" w:type="dxa"/>
          </w:tcPr>
          <w:p w:rsidR="00E2705A" w:rsidRPr="00E2705A" w:rsidRDefault="00E2705A" w:rsidP="00A92D87">
            <w:r w:rsidRPr="00E2705A">
              <w:t>25%</w:t>
            </w:r>
          </w:p>
        </w:tc>
        <w:tc>
          <w:tcPr>
            <w:tcW w:w="1766" w:type="dxa"/>
          </w:tcPr>
          <w:p w:rsidR="00E2705A" w:rsidRPr="00E2705A" w:rsidRDefault="00E2705A" w:rsidP="00A92D87">
            <w:r w:rsidRPr="00E2705A">
              <w:t>25%</w:t>
            </w:r>
          </w:p>
        </w:tc>
        <w:tc>
          <w:tcPr>
            <w:tcW w:w="1766" w:type="dxa"/>
          </w:tcPr>
          <w:p w:rsidR="00E2705A" w:rsidRPr="00E2705A" w:rsidRDefault="00E2705A" w:rsidP="00A92D87">
            <w:r w:rsidRPr="00E2705A">
              <w:t>N.A.</w:t>
            </w:r>
          </w:p>
        </w:tc>
      </w:tr>
      <w:tr w:rsidR="00E2705A" w:rsidRPr="00E2705A" w:rsidTr="00000F81">
        <w:tc>
          <w:tcPr>
            <w:tcW w:w="2196" w:type="dxa"/>
          </w:tcPr>
          <w:p w:rsidR="00E2705A" w:rsidRPr="00E2705A" w:rsidRDefault="00E2705A" w:rsidP="00A92D87">
            <w:r w:rsidRPr="00E2705A">
              <w:t>Insuficiente</w:t>
            </w:r>
          </w:p>
        </w:tc>
        <w:tc>
          <w:tcPr>
            <w:tcW w:w="1765" w:type="dxa"/>
          </w:tcPr>
          <w:p w:rsidR="00E2705A" w:rsidRPr="00E2705A" w:rsidRDefault="00E2705A" w:rsidP="00A92D87">
            <w:r w:rsidRPr="00E2705A">
              <w:t>N.A.</w:t>
            </w:r>
          </w:p>
        </w:tc>
        <w:tc>
          <w:tcPr>
            <w:tcW w:w="1766" w:type="dxa"/>
          </w:tcPr>
          <w:p w:rsidR="00E2705A" w:rsidRPr="00E2705A" w:rsidRDefault="00E2705A" w:rsidP="00A92D87">
            <w:r w:rsidRPr="00E2705A">
              <w:t>5%</w:t>
            </w:r>
          </w:p>
        </w:tc>
        <w:tc>
          <w:tcPr>
            <w:tcW w:w="1766" w:type="dxa"/>
          </w:tcPr>
          <w:p w:rsidR="00E2705A" w:rsidRPr="00E2705A" w:rsidRDefault="00E2705A" w:rsidP="00A92D87">
            <w:r w:rsidRPr="00E2705A">
              <w:t>5%</w:t>
            </w:r>
          </w:p>
        </w:tc>
        <w:tc>
          <w:tcPr>
            <w:tcW w:w="1766" w:type="dxa"/>
          </w:tcPr>
          <w:p w:rsidR="00E2705A" w:rsidRPr="00E2705A" w:rsidRDefault="00E2705A" w:rsidP="00A92D87">
            <w:r w:rsidRPr="00E2705A">
              <w:t>N.A.</w:t>
            </w:r>
          </w:p>
        </w:tc>
      </w:tr>
      <w:tr w:rsidR="00E2705A" w:rsidRPr="00E2705A" w:rsidTr="00000F81">
        <w:tc>
          <w:tcPr>
            <w:tcW w:w="9259" w:type="dxa"/>
            <w:gridSpan w:val="5"/>
          </w:tcPr>
          <w:p w:rsidR="00E2705A" w:rsidRPr="00E2705A" w:rsidRDefault="00E2705A" w:rsidP="00A92D87">
            <w:pPr>
              <w:rPr>
                <w:b/>
              </w:rPr>
            </w:pPr>
            <w:r w:rsidRPr="00E2705A">
              <w:rPr>
                <w:b/>
              </w:rPr>
              <w:t xml:space="preserve">Fuente y año: </w:t>
            </w:r>
            <w:r w:rsidRPr="00E2705A">
              <w:t>ICFES 2009,2012,2013 y 2014</w:t>
            </w:r>
          </w:p>
        </w:tc>
      </w:tr>
    </w:tbl>
    <w:p w:rsidR="00E2705A" w:rsidRPr="00E2705A" w:rsidRDefault="00E2705A" w:rsidP="00A92D87">
      <w:pPr>
        <w:spacing w:line="240" w:lineRule="auto"/>
        <w:rPr>
          <w:b/>
        </w:rPr>
      </w:pPr>
    </w:p>
    <w:p w:rsidR="00E2705A" w:rsidRPr="00E2705A" w:rsidRDefault="00E2705A" w:rsidP="00A92D87">
      <w:pPr>
        <w:spacing w:line="240" w:lineRule="auto"/>
      </w:pPr>
      <w:r w:rsidRPr="00E2705A">
        <w:t xml:space="preserve">Situación detectada: </w:t>
      </w:r>
    </w:p>
    <w:p w:rsidR="00E2705A" w:rsidRPr="00E2705A" w:rsidRDefault="00E2705A" w:rsidP="00A92D87">
      <w:pPr>
        <w:spacing w:line="240" w:lineRule="auto"/>
        <w:jc w:val="both"/>
      </w:pPr>
      <w:r w:rsidRPr="00E2705A">
        <w:t xml:space="preserve">En el grado noveno se observa una tendencia parecida al del grado quinto durante los tres periodos evaluados, en lenguaje hay una tendencia positiva al mejorar el resultado promedio de </w:t>
      </w:r>
      <w:r w:rsidRPr="00E2705A">
        <w:lastRenderedPageBreak/>
        <w:t xml:space="preserve">los establecimientos educativos urbanos en 27 puntos y en los establecimientos educativos rurales en 10 puntos; en matemáticas se presenta una incremento en el resultado promedio de las instituciones urbanas  equivalente a 31 puntos y 22 puntos en las instituciones rurales; en pensamiento ciudadano se observa una tendencia negativa al presentarse un decrecimiento de 7 puntos en el sector oficial urbano y 11 puntos en el sector oficial rural; en ciencias naturales la tendencia es positiva al aumentar los E.E. oficiales urbanos  y rurales en 24 puntos. </w:t>
      </w:r>
    </w:p>
    <w:p w:rsidR="00E2705A" w:rsidRPr="00E2705A" w:rsidRDefault="00E2705A" w:rsidP="00A92D87">
      <w:pPr>
        <w:spacing w:line="240" w:lineRule="auto"/>
        <w:jc w:val="both"/>
      </w:pPr>
    </w:p>
    <w:p w:rsidR="00E2705A" w:rsidRPr="00E2705A" w:rsidRDefault="00E2705A" w:rsidP="00A92D87">
      <w:pPr>
        <w:autoSpaceDE w:val="0"/>
        <w:autoSpaceDN w:val="0"/>
        <w:adjustRightInd w:val="0"/>
        <w:spacing w:after="200" w:line="240" w:lineRule="auto"/>
        <w:jc w:val="both"/>
        <w:rPr>
          <w:rFonts w:eastAsia="Calibri" w:cs="Arial"/>
          <w:i/>
          <w:color w:val="000000"/>
        </w:rPr>
      </w:pPr>
      <w:r w:rsidRPr="00E2705A">
        <w:rPr>
          <w:rFonts w:eastAsia="Calibri" w:cs="Arial"/>
          <w:b/>
          <w:i/>
          <w:color w:val="000000"/>
        </w:rPr>
        <w:t>SABER GRADO NOVENO 9º</w:t>
      </w:r>
      <w:r w:rsidRPr="00E2705A">
        <w:rPr>
          <w:rFonts w:eastAsia="Calibri" w:cs="Arial"/>
          <w:i/>
          <w:color w:val="000000"/>
        </w:rPr>
        <w:t xml:space="preserve">   </w:t>
      </w:r>
    </w:p>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Gráfica No 5</w:t>
      </w:r>
    </w:p>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b/>
          <w:color w:val="000000"/>
        </w:rPr>
        <w:t xml:space="preserve">COMPARATIVO DE RESULTADOS PRUEBAS SABER POR COMPETENCIAS AÑOS 209-2012 EN PASTO Y COLOMBIA EN GRADO NOVENO  </w:t>
      </w:r>
      <w:r w:rsidRPr="00E2705A">
        <w:rPr>
          <w:rFonts w:eastAsia="Calibri" w:cs="Arial"/>
          <w:color w:val="000000"/>
        </w:rPr>
        <w:t xml:space="preserve">    </w:t>
      </w:r>
    </w:p>
    <w:p w:rsidR="00E2705A" w:rsidRPr="00E2705A" w:rsidRDefault="00E2705A" w:rsidP="00A92D87">
      <w:pPr>
        <w:autoSpaceDE w:val="0"/>
        <w:autoSpaceDN w:val="0"/>
        <w:adjustRightInd w:val="0"/>
        <w:spacing w:after="200" w:line="240" w:lineRule="auto"/>
        <w:jc w:val="center"/>
        <w:rPr>
          <w:rFonts w:eastAsia="Calibri" w:cs="Arial"/>
          <w:color w:val="000000"/>
        </w:rPr>
      </w:pPr>
    </w:p>
    <w:p w:rsidR="00E2705A" w:rsidRPr="00E2705A" w:rsidRDefault="00E2705A" w:rsidP="00A92D87">
      <w:pPr>
        <w:autoSpaceDE w:val="0"/>
        <w:autoSpaceDN w:val="0"/>
        <w:adjustRightInd w:val="0"/>
        <w:spacing w:after="200" w:line="240" w:lineRule="auto"/>
        <w:jc w:val="center"/>
        <w:rPr>
          <w:rFonts w:eastAsia="Calibri" w:cs="Tahoma"/>
          <w:color w:val="000000"/>
        </w:rPr>
      </w:pPr>
      <w:r w:rsidRPr="00E2705A">
        <w:rPr>
          <w:rFonts w:eastAsia="Calibri" w:cs="Arial"/>
          <w:noProof/>
          <w:lang w:val="es-ES" w:eastAsia="es-ES"/>
        </w:rPr>
        <w:drawing>
          <wp:inline distT="0" distB="0" distL="0" distR="0">
            <wp:extent cx="4580890" cy="2752090"/>
            <wp:effectExtent l="0" t="0" r="0" b="0"/>
            <wp:docPr id="51" name="Gráfico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2705A" w:rsidRPr="00E2705A" w:rsidRDefault="00E2705A" w:rsidP="00A92D87">
      <w:pPr>
        <w:autoSpaceDE w:val="0"/>
        <w:autoSpaceDN w:val="0"/>
        <w:adjustRightInd w:val="0"/>
        <w:spacing w:after="200" w:line="240" w:lineRule="auto"/>
        <w:jc w:val="center"/>
        <w:rPr>
          <w:rFonts w:eastAsia="Calibri" w:cs="Tahoma"/>
          <w:color w:val="000000"/>
        </w:rPr>
      </w:pPr>
      <w:r w:rsidRPr="00E2705A">
        <w:rPr>
          <w:rFonts w:eastAsia="Calibri" w:cs="Tahoma"/>
          <w:color w:val="000000"/>
        </w:rPr>
        <w:t>Fuente: SEM- Subsecretaría de Calidad Educativa</w:t>
      </w:r>
    </w:p>
    <w:p w:rsidR="00E2705A" w:rsidRPr="00E2705A" w:rsidRDefault="00E2705A" w:rsidP="00A92D87">
      <w:pPr>
        <w:autoSpaceDE w:val="0"/>
        <w:autoSpaceDN w:val="0"/>
        <w:adjustRightInd w:val="0"/>
        <w:spacing w:after="200" w:line="240" w:lineRule="auto"/>
        <w:jc w:val="center"/>
        <w:rPr>
          <w:rFonts w:eastAsia="Calibri" w:cs="Tahoma"/>
          <w:color w:val="000000"/>
        </w:rPr>
      </w:pP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La Gráfica  No. 5   indica el promedio  alcanzado en el grado 9 en las áreas de lenguaje, matemáticas y ciencias naturales durante los años 2009 y 2012, observándose en las tres áreas un incremento considerable,  pues los promedios alcanzados en el año 2009 estaban en nivel básico y los promedios alcanzados en el año 2012 se encuentran en nivel de desempeño satisfactorio, esto nos permite apreciar como las estrategias aplicadas pedagógica y didácticamente permitieron  desarrollar las competencias en sus tres niveles EL SER, EL SABER Y EL HACER.</w:t>
      </w:r>
    </w:p>
    <w:p w:rsidR="00E2705A" w:rsidRPr="00E2705A" w:rsidRDefault="00E2705A" w:rsidP="00A92D87">
      <w:pPr>
        <w:autoSpaceDE w:val="0"/>
        <w:autoSpaceDN w:val="0"/>
        <w:adjustRightInd w:val="0"/>
        <w:spacing w:after="200" w:line="240" w:lineRule="auto"/>
        <w:jc w:val="center"/>
        <w:rPr>
          <w:rFonts w:eastAsia="Calibri" w:cs="Arial"/>
          <w:b/>
          <w:color w:val="000000"/>
        </w:rPr>
      </w:pPr>
    </w:p>
    <w:p w:rsidR="00E2705A" w:rsidRPr="00E2705A" w:rsidRDefault="00E2705A" w:rsidP="00A92D87">
      <w:pPr>
        <w:autoSpaceDE w:val="0"/>
        <w:autoSpaceDN w:val="0"/>
        <w:adjustRightInd w:val="0"/>
        <w:spacing w:after="200" w:line="240" w:lineRule="auto"/>
        <w:jc w:val="center"/>
        <w:rPr>
          <w:rFonts w:eastAsia="Calibri" w:cs="Arial"/>
          <w:b/>
        </w:rPr>
      </w:pPr>
      <w:r w:rsidRPr="00E2705A">
        <w:rPr>
          <w:rFonts w:eastAsia="Calibri" w:cs="Arial"/>
          <w:b/>
          <w:color w:val="000000"/>
        </w:rPr>
        <w:lastRenderedPageBreak/>
        <w:t>Tabla No. 4</w:t>
      </w:r>
    </w:p>
    <w:p w:rsidR="00E2705A" w:rsidRPr="00E2705A" w:rsidRDefault="00E2705A" w:rsidP="00A92D87">
      <w:pPr>
        <w:autoSpaceDE w:val="0"/>
        <w:autoSpaceDN w:val="0"/>
        <w:adjustRightInd w:val="0"/>
        <w:spacing w:after="200" w:line="240" w:lineRule="auto"/>
        <w:jc w:val="center"/>
        <w:rPr>
          <w:rFonts w:eastAsia="Calibri" w:cs="Arial"/>
          <w:b/>
          <w:lang w:val="es-ES"/>
        </w:rPr>
      </w:pPr>
      <w:r w:rsidRPr="00E2705A">
        <w:rPr>
          <w:rFonts w:eastAsia="Calibri" w:cs="Arial"/>
          <w:b/>
          <w:lang w:val="es-ES"/>
        </w:rPr>
        <w:t>PORCENTAJE DE ESTUDIANTES EN CADA NIVEL DE DESEMPEÑO</w:t>
      </w:r>
      <w:r w:rsidRPr="00E2705A">
        <w:rPr>
          <w:rFonts w:eastAsia="Calibri" w:cs="Arial"/>
          <w:b/>
          <w:lang w:val="es-ES"/>
        </w:rPr>
        <w:br/>
        <w:t>COMPARATIVO 2009-2012 – GRADO NOVENO</w:t>
      </w:r>
    </w:p>
    <w:p w:rsidR="00E2705A" w:rsidRPr="00E2705A" w:rsidRDefault="00E2705A" w:rsidP="00A92D87">
      <w:pPr>
        <w:autoSpaceDE w:val="0"/>
        <w:autoSpaceDN w:val="0"/>
        <w:adjustRightInd w:val="0"/>
        <w:spacing w:after="200" w:line="240" w:lineRule="auto"/>
        <w:jc w:val="center"/>
        <w:rPr>
          <w:rFonts w:eastAsia="Calibri" w:cs="Arial"/>
          <w:b/>
        </w:rPr>
      </w:pPr>
    </w:p>
    <w:tbl>
      <w:tblPr>
        <w:tblW w:w="9180"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1"/>
        <w:gridCol w:w="1022"/>
        <w:gridCol w:w="993"/>
        <w:gridCol w:w="993"/>
        <w:gridCol w:w="993"/>
        <w:gridCol w:w="1080"/>
        <w:gridCol w:w="993"/>
        <w:gridCol w:w="1615"/>
      </w:tblGrid>
      <w:tr w:rsidR="00E2705A" w:rsidRPr="00E2705A" w:rsidTr="00000F81">
        <w:tc>
          <w:tcPr>
            <w:tcW w:w="1491"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Nivel de desempeño</w:t>
            </w:r>
          </w:p>
        </w:tc>
        <w:tc>
          <w:tcPr>
            <w:tcW w:w="2015" w:type="dxa"/>
            <w:gridSpan w:val="2"/>
            <w:shd w:val="clear" w:color="auto" w:fill="auto"/>
          </w:tcPr>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Lenguaje</w:t>
            </w:r>
          </w:p>
        </w:tc>
        <w:tc>
          <w:tcPr>
            <w:tcW w:w="1986" w:type="dxa"/>
            <w:gridSpan w:val="2"/>
            <w:shd w:val="clear" w:color="auto" w:fill="auto"/>
          </w:tcPr>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Matemáticas</w:t>
            </w:r>
          </w:p>
        </w:tc>
        <w:tc>
          <w:tcPr>
            <w:tcW w:w="2073" w:type="dxa"/>
            <w:gridSpan w:val="2"/>
            <w:shd w:val="clear" w:color="auto" w:fill="auto"/>
          </w:tcPr>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Ciencias Naturales</w:t>
            </w:r>
          </w:p>
        </w:tc>
        <w:tc>
          <w:tcPr>
            <w:tcW w:w="1615" w:type="dxa"/>
            <w:shd w:val="clear" w:color="auto" w:fill="auto"/>
          </w:tcPr>
          <w:p w:rsidR="00E2705A" w:rsidRPr="00E2705A" w:rsidRDefault="00E2705A" w:rsidP="00A92D87">
            <w:pPr>
              <w:autoSpaceDE w:val="0"/>
              <w:autoSpaceDN w:val="0"/>
              <w:adjustRightInd w:val="0"/>
              <w:spacing w:after="200" w:line="240" w:lineRule="auto"/>
              <w:rPr>
                <w:rFonts w:eastAsia="Calibri" w:cs="Arial"/>
                <w:b/>
                <w:color w:val="000000"/>
              </w:rPr>
            </w:pPr>
            <w:r w:rsidRPr="00E2705A">
              <w:rPr>
                <w:rFonts w:eastAsia="Calibri" w:cs="Arial"/>
                <w:b/>
                <w:color w:val="000000"/>
              </w:rPr>
              <w:t>Competencias Ciudadanas</w:t>
            </w:r>
          </w:p>
        </w:tc>
      </w:tr>
      <w:tr w:rsidR="00E2705A" w:rsidRPr="00E2705A" w:rsidTr="00000F81">
        <w:tc>
          <w:tcPr>
            <w:tcW w:w="1491"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b/>
                <w:color w:val="000000"/>
              </w:rPr>
            </w:pPr>
          </w:p>
        </w:tc>
        <w:tc>
          <w:tcPr>
            <w:tcW w:w="1022"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2009</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2012</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2009</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2012</w:t>
            </w:r>
          </w:p>
        </w:tc>
        <w:tc>
          <w:tcPr>
            <w:tcW w:w="1080"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2009</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2012</w:t>
            </w:r>
          </w:p>
        </w:tc>
        <w:tc>
          <w:tcPr>
            <w:tcW w:w="1615"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2012</w:t>
            </w:r>
          </w:p>
        </w:tc>
      </w:tr>
      <w:tr w:rsidR="00E2705A" w:rsidRPr="00E2705A" w:rsidTr="00000F81">
        <w:tc>
          <w:tcPr>
            <w:tcW w:w="1491"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Avanzado</w:t>
            </w:r>
          </w:p>
        </w:tc>
        <w:tc>
          <w:tcPr>
            <w:tcW w:w="1022"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7%</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9%</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9%</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8%</w:t>
            </w:r>
          </w:p>
        </w:tc>
        <w:tc>
          <w:tcPr>
            <w:tcW w:w="1080"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6%</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17%</w:t>
            </w:r>
          </w:p>
        </w:tc>
        <w:tc>
          <w:tcPr>
            <w:tcW w:w="1615"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16%</w:t>
            </w:r>
          </w:p>
        </w:tc>
      </w:tr>
      <w:tr w:rsidR="00E2705A" w:rsidRPr="00E2705A" w:rsidTr="00000F81">
        <w:tc>
          <w:tcPr>
            <w:tcW w:w="1491"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Satisfactorio</w:t>
            </w:r>
          </w:p>
        </w:tc>
        <w:tc>
          <w:tcPr>
            <w:tcW w:w="1022"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30%</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56%</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21%</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34%</w:t>
            </w:r>
          </w:p>
        </w:tc>
        <w:tc>
          <w:tcPr>
            <w:tcW w:w="1080"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20%</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40%</w:t>
            </w:r>
          </w:p>
        </w:tc>
        <w:tc>
          <w:tcPr>
            <w:tcW w:w="1615"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55%</w:t>
            </w:r>
          </w:p>
        </w:tc>
      </w:tr>
      <w:tr w:rsidR="00E2705A" w:rsidRPr="00E2705A" w:rsidTr="00000F81">
        <w:tc>
          <w:tcPr>
            <w:tcW w:w="1491"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Básico</w:t>
            </w:r>
          </w:p>
        </w:tc>
        <w:tc>
          <w:tcPr>
            <w:tcW w:w="1022"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49%</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30%</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38%</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49%</w:t>
            </w:r>
          </w:p>
        </w:tc>
        <w:tc>
          <w:tcPr>
            <w:tcW w:w="1080"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58%</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39%</w:t>
            </w:r>
          </w:p>
        </w:tc>
        <w:tc>
          <w:tcPr>
            <w:tcW w:w="1615"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25%</w:t>
            </w:r>
          </w:p>
        </w:tc>
      </w:tr>
      <w:tr w:rsidR="00E2705A" w:rsidRPr="00E2705A" w:rsidTr="00000F81">
        <w:tc>
          <w:tcPr>
            <w:tcW w:w="1491"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Insuficiente</w:t>
            </w:r>
          </w:p>
        </w:tc>
        <w:tc>
          <w:tcPr>
            <w:tcW w:w="1022"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16%</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5%</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33%</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10%</w:t>
            </w:r>
          </w:p>
        </w:tc>
        <w:tc>
          <w:tcPr>
            <w:tcW w:w="1080"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16%</w:t>
            </w:r>
          </w:p>
        </w:tc>
        <w:tc>
          <w:tcPr>
            <w:tcW w:w="993"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4%</w:t>
            </w:r>
          </w:p>
        </w:tc>
        <w:tc>
          <w:tcPr>
            <w:tcW w:w="1615" w:type="dxa"/>
            <w:shd w:val="clear" w:color="auto" w:fill="auto"/>
          </w:tcPr>
          <w:p w:rsidR="00E2705A" w:rsidRPr="00E2705A" w:rsidRDefault="00E2705A" w:rsidP="00A92D87">
            <w:pPr>
              <w:autoSpaceDE w:val="0"/>
              <w:autoSpaceDN w:val="0"/>
              <w:adjustRightInd w:val="0"/>
              <w:spacing w:after="200" w:line="240" w:lineRule="auto"/>
              <w:jc w:val="center"/>
              <w:rPr>
                <w:rFonts w:eastAsia="Calibri" w:cs="Arial"/>
                <w:color w:val="000000"/>
              </w:rPr>
            </w:pPr>
            <w:r w:rsidRPr="00E2705A">
              <w:rPr>
                <w:rFonts w:eastAsia="Calibri" w:cs="Arial"/>
                <w:color w:val="000000"/>
              </w:rPr>
              <w:t>5%</w:t>
            </w:r>
          </w:p>
        </w:tc>
      </w:tr>
    </w:tbl>
    <w:p w:rsidR="00E2705A" w:rsidRPr="00E2705A" w:rsidRDefault="00E2705A" w:rsidP="00A92D87">
      <w:pPr>
        <w:autoSpaceDE w:val="0"/>
        <w:autoSpaceDN w:val="0"/>
        <w:adjustRightInd w:val="0"/>
        <w:spacing w:after="200" w:line="240" w:lineRule="auto"/>
        <w:rPr>
          <w:rFonts w:eastAsia="Calibri" w:cs="Tahoma"/>
          <w:color w:val="000000"/>
        </w:rPr>
      </w:pPr>
      <w:r w:rsidRPr="00E2705A">
        <w:rPr>
          <w:rFonts w:eastAsia="Calibri" w:cs="Tahoma"/>
          <w:color w:val="000000"/>
        </w:rPr>
        <w:t xml:space="preserve">          Fuente: SEM- Subsecretaría de Calidad Educativa</w:t>
      </w: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En la  tabla No.  4  se puede observar el comparativo entre los años 2009 y 2012 sobre el nivel de desempeño de los estudiantes e las áreas evaluadas, se observa el lenguaje una tendencia bastante positiva porque se disminuyó en una 30% el nivel de desempeño insuficiente y básico al pasar del  65% al 35%  y hubo un incremento destacado del 28% en los niveles de desempeño de satisfactorio y avanzado al pasar del 37% al 65%, cabe destacar que las acciones que hayan desarrollado los EE contribuyeron en forma acertada a elevar el  nivel  de desempeño,  se debe seguir trabajando el LECTURA para que los estudiantes trabajen sobre  textos narrativos, argumentativos, informativos (verbales y no verbales) y líricos, de complejidad media, que les permita juzgar, valorar y explicar contenidos, funciones y relaciones. De igual manera en  ESCRITURA se debe desarrollar comprensión de la producción escrita, que permita planear, revisar y corregir escritos, empleando las reglas de la gramática uso de lenguaje y pertinencia social de los textos.</w:t>
      </w: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 xml:space="preserve">En Matemáticas el nivel de desempeño se ubica en promedio en  básico, pues se observa un incremento bueno  del 11% al pasar del 38% en el 2009 al 49% en el 2012,   el nivel de desempeño insuficiente disminuye en forma considerable en un 23%, situación positiva que  debe llevar a  que en un futuro tienda a cero; en nivel de desempeño satisfactorio hay un incremento destacable del 13%,  a pesar de que el comportamiento no fue positivo en el nivel avanzado. Los EE deben seguir trabajando en acciones que consigan que el estudiante solucione problemas correspondiente a la estructura multiplicativa de los números naturales, reconozca y utilice la fracción como operador, compare diferencias de figuras y sólidos  a partir de las medidas y establezca relaciones entre ellos, realice conjeturas sobre  conjuntos de datos a partir de las relaciones entre diferentes formas de representación e interprete el grado de probabilidad de un evento aleatorio.      </w:t>
      </w: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lastRenderedPageBreak/>
        <w:t>En Ciencias Naturales también hubo un comportamiento muy positivo al disminuir los niveles de desempeño de insuficiente y básico en un 31%,   y aumentar el nivel de desempeño en satisfactorio y avanzado de igual manera en un 31%, que permite en promedio ubicar esta área en nivel satisfactorio. Los EE deben fortalecer y desarrollar acciones que conlleven a que los estudiantes se formen en  el reconocimiento de la estructura y función de la célula en plantas y animales, las características físicas de los biomas, prácticas para el cuidado de la salud personal y de la comunidad y el comportamiento de los materiales cuando se someten a cambios de temperatura; saber los cambios físicos y químicos, algunos fenómenos relacionados con las ondas y con la dinámica de la corteza terrestre, la explicación del funcionamiento de un circuito eléctrico a partir de modelos. La competencia para representar datos e información derivada de investigaciones científicas, y la competencia para elaborar conclusiones y predicciones, interpretación y relación de la información presentada en tablas y distintos tipos de gráficos, el reconocimiento de patrones y regularidades en los datos.</w:t>
      </w: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En competencias ciudadanas se debe seguir trabajando para incrementar el porcentajes de nivel de desempeño  de satisfactorio y avanzado, para ello se debe lograr que loa estudiante reflexionen acerca de los mecanismos de participación ciudadana establecidos en la legislación colombiana, analicen críticamente los contextos en los que se desenvuelven o situaciones que exijan el reconocimiento de la diferencias de los diversos puntos de vista y del análisis de enunciados o argumentos</w:t>
      </w:r>
    </w:p>
    <w:p w:rsidR="00E2705A" w:rsidRPr="00E2705A" w:rsidRDefault="00E2705A" w:rsidP="00A92D87">
      <w:pPr>
        <w:autoSpaceDE w:val="0"/>
        <w:autoSpaceDN w:val="0"/>
        <w:adjustRightInd w:val="0"/>
        <w:spacing w:after="0" w:line="240" w:lineRule="auto"/>
        <w:rPr>
          <w:rFonts w:eastAsia="Calibri" w:cs="Arial"/>
          <w:b/>
          <w:color w:val="000000"/>
        </w:rPr>
      </w:pPr>
      <w:r w:rsidRPr="00E2705A">
        <w:rPr>
          <w:rFonts w:eastAsia="Calibri" w:cs="Arial"/>
          <w:b/>
          <w:color w:val="000000"/>
        </w:rPr>
        <w:t>RESULTADOS  PRUEBAS SABER  GRADO NOVENO  AÑO 2013</w:t>
      </w:r>
    </w:p>
    <w:p w:rsidR="00E2705A" w:rsidRPr="00E2705A" w:rsidRDefault="00E2705A" w:rsidP="00A92D87">
      <w:pPr>
        <w:autoSpaceDE w:val="0"/>
        <w:autoSpaceDN w:val="0"/>
        <w:adjustRightInd w:val="0"/>
        <w:spacing w:after="200" w:line="240" w:lineRule="auto"/>
        <w:jc w:val="both"/>
        <w:rPr>
          <w:rFonts w:eastAsia="Calibri" w:cs="Arial"/>
          <w:b/>
          <w:color w:val="000000"/>
        </w:rPr>
      </w:pPr>
    </w:p>
    <w:p w:rsidR="00E2705A" w:rsidRPr="00E2705A" w:rsidRDefault="00E2705A" w:rsidP="00A92D87">
      <w:pPr>
        <w:autoSpaceDE w:val="0"/>
        <w:autoSpaceDN w:val="0"/>
        <w:adjustRightInd w:val="0"/>
        <w:spacing w:after="200" w:line="240" w:lineRule="auto"/>
        <w:jc w:val="both"/>
        <w:rPr>
          <w:rFonts w:eastAsia="Calibri" w:cs="Arial"/>
          <w:b/>
          <w:i/>
          <w:color w:val="000000"/>
          <w:lang w:val="es-ES"/>
        </w:rPr>
      </w:pPr>
      <w:r w:rsidRPr="00E2705A">
        <w:rPr>
          <w:rFonts w:eastAsia="Calibri" w:cs="Arial"/>
          <w:b/>
          <w:i/>
          <w:color w:val="000000"/>
          <w:lang w:val="es-ES"/>
        </w:rPr>
        <w:t>ÁREA DE LENGUAJE</w:t>
      </w: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 xml:space="preserve">En la gráfica No. 6 se observa el nivel de desempeño  de los estudiantes  del grado noveno en el área de lenguaje, para  el año 2013 en la Entidad Territorial de Pasto y Colombia; los resultados indican que en el nivel de insuficiencia se encuentra el 7% de los estudiantes de Pasto y el 17% los del  Colombia, en </w:t>
      </w:r>
      <w:r w:rsidR="007E5119" w:rsidRPr="00E2705A">
        <w:rPr>
          <w:rFonts w:eastAsia="Calibri" w:cs="Arial"/>
          <w:color w:val="000000"/>
        </w:rPr>
        <w:t>el</w:t>
      </w:r>
      <w:r w:rsidRPr="00E2705A">
        <w:rPr>
          <w:rFonts w:eastAsia="Calibri" w:cs="Arial"/>
          <w:color w:val="000000"/>
        </w:rPr>
        <w:t xml:space="preserve"> nivel mínimo se ubica el 35% de los estudiantes del Municipio y el 41% los del País, en el nivel de desempeño satisfactorio se concentra el 50% de los estudiantes Pasto y el 37%  los de Colombia y en el nivel de desempeño avanzado se posiciona  únicamente el 8% de los estudiantes del Municipio y el 5% los estudiantes del país.</w:t>
      </w: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Esta participación porcentual permite concluir que los resultados de Pasto están por encima de los de Colombia debido a que el 58%  de los estudiantes del Ente Territorial se ubican en nivel de satisfactorio y avanzado y el 42% en nivel de desempeño insuficiente y mínimo; En el País se genera un comportamiento contrario puesto que el 42% se encuentra en nivel satisfactorio y avanzado y el 58% de los estudiantes se encuentran en nivel de desempeño mínimo e insuficiente.</w:t>
      </w:r>
    </w:p>
    <w:p w:rsidR="00E2705A" w:rsidRPr="00E2705A" w:rsidRDefault="00E2705A" w:rsidP="00A92D87">
      <w:pPr>
        <w:autoSpaceDE w:val="0"/>
        <w:autoSpaceDN w:val="0"/>
        <w:adjustRightInd w:val="0"/>
        <w:spacing w:after="200" w:line="240" w:lineRule="auto"/>
        <w:jc w:val="both"/>
        <w:rPr>
          <w:rFonts w:eastAsia="Calibri" w:cs="Arial"/>
          <w:color w:val="000000"/>
        </w:rPr>
      </w:pPr>
    </w:p>
    <w:p w:rsidR="00E2705A" w:rsidRPr="00E2705A" w:rsidRDefault="00E2705A" w:rsidP="00A92D87">
      <w:pPr>
        <w:autoSpaceDE w:val="0"/>
        <w:autoSpaceDN w:val="0"/>
        <w:adjustRightInd w:val="0"/>
        <w:spacing w:after="0" w:line="240" w:lineRule="auto"/>
        <w:jc w:val="center"/>
        <w:rPr>
          <w:rFonts w:eastAsia="Calibri" w:cs="Arial"/>
          <w:b/>
          <w:color w:val="000000"/>
        </w:rPr>
      </w:pPr>
      <w:r w:rsidRPr="00E2705A">
        <w:rPr>
          <w:rFonts w:eastAsia="Calibri" w:cs="Arial"/>
          <w:b/>
          <w:color w:val="000000"/>
        </w:rPr>
        <w:t>PORCENTAJE DE ESTUDIANTES EN CADA NIVEL DE DESEMPEÑO AREA LENGUAJE</w:t>
      </w:r>
    </w:p>
    <w:p w:rsidR="00E2705A" w:rsidRPr="00E2705A" w:rsidRDefault="00E2705A" w:rsidP="00A92D87">
      <w:pPr>
        <w:autoSpaceDE w:val="0"/>
        <w:autoSpaceDN w:val="0"/>
        <w:adjustRightInd w:val="0"/>
        <w:spacing w:after="0" w:line="240" w:lineRule="auto"/>
        <w:jc w:val="center"/>
        <w:rPr>
          <w:rFonts w:eastAsia="Calibri" w:cs="Arial"/>
          <w:b/>
          <w:color w:val="000000"/>
        </w:rPr>
      </w:pPr>
    </w:p>
    <w:p w:rsidR="00E2705A" w:rsidRPr="00E2705A" w:rsidRDefault="00E2705A" w:rsidP="00A92D87">
      <w:pPr>
        <w:autoSpaceDE w:val="0"/>
        <w:autoSpaceDN w:val="0"/>
        <w:adjustRightInd w:val="0"/>
        <w:spacing w:after="0" w:line="240" w:lineRule="auto"/>
        <w:jc w:val="center"/>
        <w:rPr>
          <w:rFonts w:eastAsia="Calibri" w:cs="Arial"/>
          <w:color w:val="000000"/>
        </w:rPr>
      </w:pPr>
      <w:r w:rsidRPr="00E2705A">
        <w:rPr>
          <w:rFonts w:eastAsia="Calibri" w:cs="Times New Roman"/>
          <w:noProof/>
          <w:lang w:val="es-ES" w:eastAsia="es-ES"/>
        </w:rPr>
        <w:lastRenderedPageBreak/>
        <w:drawing>
          <wp:inline distT="0" distB="0" distL="0" distR="0">
            <wp:extent cx="4572000" cy="2743200"/>
            <wp:effectExtent l="0" t="0" r="19050" b="1905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2705A" w:rsidRPr="00E2705A" w:rsidRDefault="00E2705A" w:rsidP="00A92D87">
      <w:pPr>
        <w:autoSpaceDE w:val="0"/>
        <w:autoSpaceDN w:val="0"/>
        <w:adjustRightInd w:val="0"/>
        <w:spacing w:after="200" w:line="240" w:lineRule="auto"/>
        <w:rPr>
          <w:rFonts w:eastAsia="Calibri" w:cs="Arial"/>
          <w:color w:val="000000"/>
        </w:rPr>
      </w:pPr>
      <w:r w:rsidRPr="00E2705A">
        <w:rPr>
          <w:rFonts w:eastAsia="Calibri" w:cs="Arial"/>
          <w:color w:val="000000"/>
        </w:rPr>
        <w:t xml:space="preserve">         Fuente: ICFES resultados saber 3°,5° y 9° </w:t>
      </w:r>
    </w:p>
    <w:p w:rsidR="00E2705A" w:rsidRPr="00E2705A" w:rsidRDefault="00E2705A" w:rsidP="00A92D87">
      <w:pPr>
        <w:autoSpaceDE w:val="0"/>
        <w:autoSpaceDN w:val="0"/>
        <w:adjustRightInd w:val="0"/>
        <w:spacing w:after="200" w:line="240" w:lineRule="auto"/>
        <w:jc w:val="both"/>
        <w:rPr>
          <w:rFonts w:eastAsia="Calibri" w:cs="Arial"/>
          <w:color w:val="000000"/>
        </w:rPr>
      </w:pP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La tabla No. 5 indica cómo ha sido el comportamiento  de los resultados entre los años 2012 y 2013 entre las SEM Pasto y Colombia; En Pasto la tendencia es negativa al observarse  que los niveles de insuficiencia y mínimo se han incrementado en un 2% y 5% respectivamente y en los niveles de desempeño satisfactorio y avanzado presentaron una disminución del  6% y el 1% respectivamente. En Colombia la tendencia también es negativa al presentarse un incremento en el nivel de desempeño insuficiente y mínimo equivalente al  3% y 2 % respectivamente; en el nivel de desempeño satisfactorio se presenta una disminución del 6%, en el nivel de desempeño avanzado la tendencia es igual, no se presenta ninguna variación.</w:t>
      </w:r>
    </w:p>
    <w:p w:rsidR="00E2705A" w:rsidRPr="00E2705A" w:rsidRDefault="00E2705A" w:rsidP="00A92D87">
      <w:pPr>
        <w:autoSpaceDE w:val="0"/>
        <w:autoSpaceDN w:val="0"/>
        <w:adjustRightInd w:val="0"/>
        <w:spacing w:after="200" w:line="240" w:lineRule="auto"/>
        <w:jc w:val="center"/>
        <w:rPr>
          <w:rFonts w:eastAsia="Calibri" w:cs="Arial"/>
          <w:b/>
          <w:color w:val="000000"/>
        </w:rPr>
      </w:pPr>
    </w:p>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Tabla No. 5</w:t>
      </w:r>
    </w:p>
    <w:p w:rsidR="00E2705A" w:rsidRPr="00E2705A" w:rsidRDefault="00E2705A" w:rsidP="00A92D87">
      <w:pPr>
        <w:autoSpaceDE w:val="0"/>
        <w:autoSpaceDN w:val="0"/>
        <w:adjustRightInd w:val="0"/>
        <w:spacing w:after="0" w:line="240" w:lineRule="auto"/>
        <w:jc w:val="center"/>
        <w:rPr>
          <w:rFonts w:eastAsia="Calibri" w:cs="Arial"/>
          <w:b/>
          <w:color w:val="000000"/>
        </w:rPr>
      </w:pPr>
      <w:r w:rsidRPr="00E2705A">
        <w:rPr>
          <w:rFonts w:eastAsia="Calibri" w:cs="Arial"/>
          <w:b/>
          <w:color w:val="000000"/>
        </w:rPr>
        <w:t xml:space="preserve">COMPARATIVO  NIVEL DE DESEMPEÑO AÑO 2012 Y 2013 ENTRE PASTO Y COLOMBIA,  ÁREA DE LENGUAJE </w:t>
      </w:r>
    </w:p>
    <w:p w:rsidR="00E2705A" w:rsidRPr="00E2705A" w:rsidRDefault="00E2705A" w:rsidP="00A92D87">
      <w:pPr>
        <w:autoSpaceDE w:val="0"/>
        <w:autoSpaceDN w:val="0"/>
        <w:adjustRightInd w:val="0"/>
        <w:spacing w:after="0" w:line="240" w:lineRule="auto"/>
        <w:jc w:val="center"/>
        <w:rPr>
          <w:rFonts w:eastAsia="Calibri" w:cs="Arial"/>
          <w:b/>
          <w:color w:val="000000"/>
        </w:rPr>
      </w:pPr>
    </w:p>
    <w:tbl>
      <w:tblPr>
        <w:tblW w:w="6760" w:type="dxa"/>
        <w:jc w:val="center"/>
        <w:tblCellMar>
          <w:left w:w="70" w:type="dxa"/>
          <w:right w:w="70" w:type="dxa"/>
        </w:tblCellMar>
        <w:tblLook w:val="04A0"/>
      </w:tblPr>
      <w:tblGrid>
        <w:gridCol w:w="1960"/>
        <w:gridCol w:w="1200"/>
        <w:gridCol w:w="1200"/>
        <w:gridCol w:w="1200"/>
        <w:gridCol w:w="1200"/>
      </w:tblGrid>
      <w:tr w:rsidR="00E2705A" w:rsidRPr="00E2705A" w:rsidTr="00000F81">
        <w:trPr>
          <w:trHeight w:val="390"/>
          <w:jc w:val="center"/>
        </w:trPr>
        <w:tc>
          <w:tcPr>
            <w:tcW w:w="1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Nivel de Desempeño</w:t>
            </w:r>
          </w:p>
        </w:tc>
        <w:tc>
          <w:tcPr>
            <w:tcW w:w="240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Pasto</w:t>
            </w:r>
          </w:p>
        </w:tc>
        <w:tc>
          <w:tcPr>
            <w:tcW w:w="240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Colombia</w:t>
            </w:r>
          </w:p>
        </w:tc>
      </w:tr>
      <w:tr w:rsidR="00E2705A" w:rsidRPr="00E2705A" w:rsidTr="00000F81">
        <w:trPr>
          <w:trHeight w:val="360"/>
          <w:jc w:val="center"/>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E2705A" w:rsidRPr="00E2705A" w:rsidRDefault="00E2705A" w:rsidP="00A92D87">
            <w:pPr>
              <w:spacing w:after="200" w:line="240" w:lineRule="auto"/>
              <w:rPr>
                <w:rFonts w:eastAsia="Times New Roman" w:cs="Times New Roman"/>
                <w:color w:val="000000"/>
                <w:lang w:eastAsia="es-CO"/>
              </w:rPr>
            </w:pP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2012</w:t>
            </w: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2013</w:t>
            </w:r>
          </w:p>
        </w:tc>
        <w:tc>
          <w:tcPr>
            <w:tcW w:w="1200"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2012</w:t>
            </w:r>
          </w:p>
        </w:tc>
        <w:tc>
          <w:tcPr>
            <w:tcW w:w="1200"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2013</w:t>
            </w:r>
          </w:p>
        </w:tc>
      </w:tr>
      <w:tr w:rsidR="00E2705A" w:rsidRPr="00E2705A" w:rsidTr="00000F81">
        <w:trPr>
          <w:trHeight w:val="533"/>
          <w:jc w:val="center"/>
        </w:trPr>
        <w:tc>
          <w:tcPr>
            <w:tcW w:w="1960" w:type="dxa"/>
            <w:tcBorders>
              <w:top w:val="nil"/>
              <w:left w:val="single" w:sz="4" w:space="0" w:color="auto"/>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Insuficiente</w:t>
            </w: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5%</w:t>
            </w: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7%</w:t>
            </w:r>
          </w:p>
        </w:tc>
        <w:tc>
          <w:tcPr>
            <w:tcW w:w="1200"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14%</w:t>
            </w:r>
          </w:p>
        </w:tc>
        <w:tc>
          <w:tcPr>
            <w:tcW w:w="1200"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17%</w:t>
            </w:r>
          </w:p>
          <w:p w:rsidR="00E2705A" w:rsidRPr="00E2705A" w:rsidRDefault="00E2705A" w:rsidP="00A92D87">
            <w:pPr>
              <w:spacing w:after="200" w:line="240" w:lineRule="auto"/>
              <w:jc w:val="right"/>
              <w:rPr>
                <w:rFonts w:eastAsia="Times New Roman" w:cs="Times New Roman"/>
                <w:color w:val="000000"/>
                <w:lang w:eastAsia="es-CO"/>
              </w:rPr>
            </w:pPr>
          </w:p>
        </w:tc>
      </w:tr>
      <w:tr w:rsidR="00E2705A" w:rsidRPr="00E2705A" w:rsidTr="00000F81">
        <w:trPr>
          <w:trHeight w:val="390"/>
          <w:jc w:val="center"/>
        </w:trPr>
        <w:tc>
          <w:tcPr>
            <w:tcW w:w="1960" w:type="dxa"/>
            <w:tcBorders>
              <w:top w:val="nil"/>
              <w:left w:val="single" w:sz="4" w:space="0" w:color="auto"/>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Mínimo</w:t>
            </w: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30%</w:t>
            </w: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35%</w:t>
            </w:r>
          </w:p>
        </w:tc>
        <w:tc>
          <w:tcPr>
            <w:tcW w:w="1200"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39%</w:t>
            </w:r>
          </w:p>
        </w:tc>
        <w:tc>
          <w:tcPr>
            <w:tcW w:w="1200"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41%</w:t>
            </w:r>
          </w:p>
          <w:p w:rsidR="00E2705A" w:rsidRPr="00E2705A" w:rsidRDefault="00E2705A" w:rsidP="00A92D87">
            <w:pPr>
              <w:spacing w:after="200" w:line="240" w:lineRule="auto"/>
              <w:jc w:val="right"/>
              <w:rPr>
                <w:rFonts w:eastAsia="Times New Roman" w:cs="Times New Roman"/>
                <w:color w:val="000000"/>
                <w:lang w:eastAsia="es-CO"/>
              </w:rPr>
            </w:pPr>
          </w:p>
        </w:tc>
      </w:tr>
      <w:tr w:rsidR="00E2705A" w:rsidRPr="00E2705A" w:rsidTr="00000F81">
        <w:trPr>
          <w:trHeight w:val="360"/>
          <w:jc w:val="center"/>
        </w:trPr>
        <w:tc>
          <w:tcPr>
            <w:tcW w:w="1960" w:type="dxa"/>
            <w:tcBorders>
              <w:top w:val="nil"/>
              <w:left w:val="single" w:sz="4" w:space="0" w:color="auto"/>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lastRenderedPageBreak/>
              <w:t>Satisfactorio</w:t>
            </w: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56%</w:t>
            </w: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50%</w:t>
            </w:r>
          </w:p>
        </w:tc>
        <w:tc>
          <w:tcPr>
            <w:tcW w:w="1200"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43%</w:t>
            </w:r>
          </w:p>
        </w:tc>
        <w:tc>
          <w:tcPr>
            <w:tcW w:w="1200"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37%</w:t>
            </w:r>
          </w:p>
          <w:p w:rsidR="00E2705A" w:rsidRPr="00E2705A" w:rsidRDefault="00E2705A" w:rsidP="00A92D87">
            <w:pPr>
              <w:spacing w:after="200" w:line="240" w:lineRule="auto"/>
              <w:jc w:val="right"/>
              <w:rPr>
                <w:rFonts w:eastAsia="Times New Roman" w:cs="Times New Roman"/>
                <w:color w:val="000000"/>
                <w:lang w:eastAsia="es-CO"/>
              </w:rPr>
            </w:pPr>
          </w:p>
        </w:tc>
      </w:tr>
      <w:tr w:rsidR="00E2705A" w:rsidRPr="00E2705A" w:rsidTr="00000F81">
        <w:trPr>
          <w:trHeight w:val="375"/>
          <w:jc w:val="center"/>
        </w:trPr>
        <w:tc>
          <w:tcPr>
            <w:tcW w:w="1960" w:type="dxa"/>
            <w:tcBorders>
              <w:top w:val="nil"/>
              <w:left w:val="single" w:sz="4" w:space="0" w:color="auto"/>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Avanzado</w:t>
            </w: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9%</w:t>
            </w:r>
          </w:p>
        </w:tc>
        <w:tc>
          <w:tcPr>
            <w:tcW w:w="1200" w:type="dxa"/>
            <w:tcBorders>
              <w:top w:val="nil"/>
              <w:left w:val="nil"/>
              <w:bottom w:val="single" w:sz="4" w:space="0" w:color="auto"/>
              <w:right w:val="single" w:sz="4" w:space="0" w:color="auto"/>
            </w:tcBorders>
            <w:shd w:val="clear" w:color="000000" w:fill="E6B8B7"/>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8%</w:t>
            </w:r>
          </w:p>
        </w:tc>
        <w:tc>
          <w:tcPr>
            <w:tcW w:w="1200"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5%</w:t>
            </w:r>
          </w:p>
        </w:tc>
        <w:tc>
          <w:tcPr>
            <w:tcW w:w="1200"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right"/>
              <w:rPr>
                <w:rFonts w:eastAsia="Times New Roman" w:cs="Times New Roman"/>
                <w:color w:val="000000"/>
                <w:lang w:eastAsia="es-CO"/>
              </w:rPr>
            </w:pPr>
            <w:r w:rsidRPr="00E2705A">
              <w:rPr>
                <w:rFonts w:eastAsia="Times New Roman" w:cs="Times New Roman"/>
                <w:color w:val="000000"/>
                <w:lang w:eastAsia="es-CO"/>
              </w:rPr>
              <w:t>5%</w:t>
            </w:r>
          </w:p>
          <w:p w:rsidR="00E2705A" w:rsidRPr="00E2705A" w:rsidRDefault="00E2705A" w:rsidP="00A92D87">
            <w:pPr>
              <w:spacing w:after="200" w:line="240" w:lineRule="auto"/>
              <w:jc w:val="right"/>
              <w:rPr>
                <w:rFonts w:eastAsia="Times New Roman" w:cs="Times New Roman"/>
                <w:color w:val="000000"/>
                <w:lang w:eastAsia="es-CO"/>
              </w:rPr>
            </w:pPr>
          </w:p>
        </w:tc>
      </w:tr>
    </w:tbl>
    <w:p w:rsidR="00E2705A" w:rsidRPr="00E2705A" w:rsidRDefault="00E2705A" w:rsidP="00A92D87">
      <w:pPr>
        <w:autoSpaceDE w:val="0"/>
        <w:autoSpaceDN w:val="0"/>
        <w:adjustRightInd w:val="0"/>
        <w:spacing w:after="200" w:line="240" w:lineRule="auto"/>
        <w:rPr>
          <w:rFonts w:eastAsia="Calibri" w:cs="Arial"/>
          <w:b/>
          <w:color w:val="000000"/>
        </w:rPr>
      </w:pPr>
      <w:r w:rsidRPr="00E2705A">
        <w:rPr>
          <w:rFonts w:eastAsia="Calibri" w:cs="Arial"/>
          <w:b/>
          <w:color w:val="000000"/>
        </w:rPr>
        <w:t xml:space="preserve">              </w:t>
      </w:r>
      <w:r w:rsidRPr="00E2705A">
        <w:rPr>
          <w:rFonts w:eastAsia="Calibri" w:cs="Arial"/>
          <w:color w:val="000000"/>
        </w:rPr>
        <w:t>Fuente: ICFES resultados saber 3°,5° y 9</w:t>
      </w:r>
      <w:r w:rsidRPr="00E2705A">
        <w:rPr>
          <w:rFonts w:eastAsia="Calibri" w:cs="Arial"/>
          <w:b/>
          <w:color w:val="000000"/>
        </w:rPr>
        <w:t xml:space="preserve">°, </w:t>
      </w:r>
      <w:r w:rsidRPr="00E2705A">
        <w:rPr>
          <w:rFonts w:eastAsia="Calibri" w:cs="Arial"/>
          <w:color w:val="000000"/>
        </w:rPr>
        <w:t>años 2012 y 2013</w:t>
      </w:r>
    </w:p>
    <w:p w:rsidR="00E2705A" w:rsidRPr="00E2705A" w:rsidRDefault="00E2705A" w:rsidP="00A92D87">
      <w:pPr>
        <w:autoSpaceDE w:val="0"/>
        <w:autoSpaceDN w:val="0"/>
        <w:adjustRightInd w:val="0"/>
        <w:spacing w:after="200" w:line="240" w:lineRule="auto"/>
        <w:jc w:val="center"/>
        <w:rPr>
          <w:rFonts w:eastAsia="Calibri" w:cs="Arial"/>
          <w:b/>
          <w:color w:val="000000"/>
        </w:rPr>
      </w:pPr>
    </w:p>
    <w:p w:rsidR="00E2705A" w:rsidRPr="00E2705A" w:rsidRDefault="00E2705A" w:rsidP="00A92D87">
      <w:pPr>
        <w:autoSpaceDE w:val="0"/>
        <w:autoSpaceDN w:val="0"/>
        <w:adjustRightInd w:val="0"/>
        <w:spacing w:after="200" w:line="240" w:lineRule="auto"/>
        <w:jc w:val="both"/>
        <w:rPr>
          <w:rFonts w:eastAsia="Calibri" w:cs="Arial"/>
          <w:b/>
          <w:i/>
          <w:color w:val="000000"/>
          <w:lang w:val="es-ES"/>
        </w:rPr>
      </w:pPr>
      <w:r w:rsidRPr="00E2705A">
        <w:rPr>
          <w:rFonts w:eastAsia="Calibri" w:cs="Arial"/>
          <w:b/>
          <w:i/>
          <w:color w:val="000000"/>
          <w:lang w:val="es-ES"/>
        </w:rPr>
        <w:t>ÁREA DE MATEMATICAS</w:t>
      </w:r>
    </w:p>
    <w:p w:rsidR="00E2705A" w:rsidRPr="00E2705A" w:rsidRDefault="00E2705A" w:rsidP="00A92D87">
      <w:pPr>
        <w:spacing w:after="200" w:line="240" w:lineRule="auto"/>
        <w:jc w:val="both"/>
        <w:rPr>
          <w:rFonts w:eastAsia="Calibri" w:cs="Arial"/>
          <w:lang w:val="es-ES"/>
        </w:rPr>
      </w:pPr>
      <w:r w:rsidRPr="00E2705A">
        <w:rPr>
          <w:rFonts w:eastAsia="Calibri" w:cs="Arial"/>
          <w:lang w:val="es-ES"/>
        </w:rPr>
        <w:t>La gráfica No. 7 enseña los resultados en el área de matemáticas en el grado noveno para el año 2013;  observándose  que los resultados alcanzados por el Ente Territorial de Pasto son mejores que los de Colombia, los estudiantes de Pasto del grado noveno que se ubican en nivel de insuficiencia son del 10% mientras que en Colombia se registra un 21%. En el nivel de desempeño mínimo se concentra el 53% de los estudiantes de los dos Entes; en nivel de desempeño satisfactorio el Municipio se posiciona con un 32% frente al País  que solo alcanza el 21%, en nivel  de desempeño avanzado hay una variación muy pequeña del Pasto frente a Colombia del 1%.</w:t>
      </w:r>
    </w:p>
    <w:p w:rsidR="00E2705A" w:rsidRPr="00E2705A" w:rsidRDefault="00E2705A" w:rsidP="00A92D87">
      <w:pPr>
        <w:spacing w:after="200" w:line="240" w:lineRule="auto"/>
        <w:jc w:val="both"/>
        <w:rPr>
          <w:rFonts w:eastAsia="Calibri" w:cs="Arial"/>
          <w:lang w:val="es-ES"/>
        </w:rPr>
      </w:pPr>
    </w:p>
    <w:p w:rsidR="00E2705A" w:rsidRPr="00E2705A" w:rsidRDefault="00E2705A" w:rsidP="00A92D87">
      <w:pPr>
        <w:spacing w:after="200" w:line="240" w:lineRule="auto"/>
        <w:jc w:val="both"/>
        <w:rPr>
          <w:rFonts w:eastAsia="Calibri" w:cs="Arial"/>
          <w:lang w:val="es-ES"/>
        </w:rPr>
      </w:pPr>
      <w:r w:rsidRPr="00E2705A">
        <w:rPr>
          <w:rFonts w:eastAsia="Calibri" w:cs="Arial"/>
          <w:lang w:val="es-ES"/>
        </w:rPr>
        <w:t xml:space="preserve">En términos generales es procedente decir que los estudiantes del Ente Territorial de Pasto se ubican en nivel de desempeño insuficiente y mínimo con un 63% y los estudiantes de Colombia con un 74%, situación bastante preocupante porque si no se mejora el proceso enseñanza aprendizaje en el área y se crean estrategias de mejoramiento por cada uno de los establecimientos educativos, de acuerdo a las debilidades y fortalezas detectadas cada institución, difícilmente estos estudiantes van a lograr alcanzar resultados buenos en las pruebas saber 11 para dicha área.  </w:t>
      </w:r>
    </w:p>
    <w:p w:rsidR="00E2705A" w:rsidRPr="00E2705A" w:rsidRDefault="00E2705A" w:rsidP="00A92D87">
      <w:pPr>
        <w:spacing w:after="200" w:line="240" w:lineRule="auto"/>
        <w:jc w:val="both"/>
        <w:rPr>
          <w:rFonts w:eastAsia="Calibri" w:cs="Arial"/>
          <w:lang w:val="es-ES"/>
        </w:rPr>
      </w:pPr>
    </w:p>
    <w:p w:rsidR="00E2705A" w:rsidRPr="00E2705A" w:rsidRDefault="00E2705A" w:rsidP="00A92D87">
      <w:pPr>
        <w:spacing w:after="0" w:line="240" w:lineRule="auto"/>
        <w:jc w:val="center"/>
        <w:rPr>
          <w:rFonts w:eastAsia="Calibri" w:cs="Arial"/>
          <w:b/>
          <w:lang w:val="es-ES"/>
        </w:rPr>
      </w:pPr>
      <w:r w:rsidRPr="00E2705A">
        <w:rPr>
          <w:rFonts w:eastAsia="Calibri" w:cs="Arial"/>
          <w:b/>
          <w:lang w:val="es-ES"/>
        </w:rPr>
        <w:t xml:space="preserve">PORCENTAJE DE ESTUDIANTES EN CADA NIVEL DE DESEMPEÑO ENMATEMÁTICAS </w:t>
      </w:r>
    </w:p>
    <w:p w:rsidR="00E2705A" w:rsidRPr="00E2705A" w:rsidRDefault="00E2705A" w:rsidP="00A92D87">
      <w:pPr>
        <w:spacing w:after="200" w:line="240" w:lineRule="auto"/>
        <w:jc w:val="center"/>
        <w:rPr>
          <w:rFonts w:eastAsia="Calibri" w:cs="Arial"/>
          <w:lang w:val="es-ES"/>
        </w:rPr>
      </w:pPr>
      <w:r w:rsidRPr="00E2705A">
        <w:rPr>
          <w:rFonts w:eastAsia="Calibri" w:cs="Times New Roman"/>
          <w:noProof/>
          <w:lang w:val="es-ES" w:eastAsia="es-ES"/>
        </w:rPr>
        <w:lastRenderedPageBreak/>
        <w:drawing>
          <wp:inline distT="0" distB="0" distL="0" distR="0">
            <wp:extent cx="4572000" cy="2743200"/>
            <wp:effectExtent l="0" t="0" r="19050" b="1905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2705A" w:rsidRPr="00E2705A" w:rsidRDefault="00E2705A" w:rsidP="00A92D87">
      <w:pPr>
        <w:spacing w:after="200" w:line="240" w:lineRule="auto"/>
        <w:rPr>
          <w:rFonts w:eastAsia="Calibri" w:cs="Arial"/>
          <w:lang w:val="es-ES"/>
        </w:rPr>
      </w:pPr>
      <w:r w:rsidRPr="00E2705A">
        <w:rPr>
          <w:rFonts w:eastAsia="Calibri" w:cs="Arial"/>
          <w:lang w:val="es-ES"/>
        </w:rPr>
        <w:t xml:space="preserve">             Fuente: ICFES saber 3°, 5° y 9°, año 2013 </w:t>
      </w:r>
    </w:p>
    <w:p w:rsidR="00E2705A" w:rsidRPr="00E2705A" w:rsidRDefault="00E2705A" w:rsidP="00A92D87">
      <w:pPr>
        <w:spacing w:after="200" w:line="240" w:lineRule="auto"/>
        <w:jc w:val="both"/>
        <w:rPr>
          <w:rFonts w:eastAsia="Calibri" w:cs="Arial"/>
          <w:lang w:val="es-ES"/>
        </w:rPr>
      </w:pPr>
    </w:p>
    <w:p w:rsidR="00E2705A" w:rsidRPr="00E2705A" w:rsidRDefault="00E2705A" w:rsidP="00A92D87">
      <w:pPr>
        <w:spacing w:after="200" w:line="240" w:lineRule="auto"/>
        <w:jc w:val="both"/>
        <w:rPr>
          <w:rFonts w:eastAsia="Calibri" w:cs="Arial"/>
          <w:lang w:val="es-ES"/>
        </w:rPr>
      </w:pPr>
      <w:r w:rsidRPr="00E2705A">
        <w:rPr>
          <w:rFonts w:eastAsia="Calibri" w:cs="Arial"/>
          <w:lang w:val="es-ES"/>
        </w:rPr>
        <w:t>El contenido de la tabla No. 6  ilustra sobre  la tendencia  en el nivel de desempeño del área de matemáticas en el Ente Territorial y la nación durante el periodo 2012-2013 para el grado noveno;   al compararse los resultados de los dos años en Pasto se observa un  decrecimiento en el nivel de desempeño de los estudiantes de este grado, permanece constante el nivel de insuficiente, hay un incremento del  4% en el nivel de desempeño mínimo, disminuye en un 2% el nivel de desempeño de satisfactorio de los estudiantes y en nivel de desempeño avanzado hay un descenso del 2%.</w:t>
      </w:r>
    </w:p>
    <w:p w:rsidR="00E2705A" w:rsidRPr="00E2705A" w:rsidRDefault="00E2705A" w:rsidP="00A92D87">
      <w:pPr>
        <w:spacing w:after="200" w:line="240" w:lineRule="auto"/>
        <w:jc w:val="both"/>
        <w:rPr>
          <w:rFonts w:eastAsia="Calibri" w:cs="Arial"/>
          <w:lang w:val="es-ES"/>
        </w:rPr>
      </w:pPr>
      <w:r w:rsidRPr="00E2705A">
        <w:rPr>
          <w:rFonts w:eastAsia="Calibri" w:cs="Arial"/>
          <w:lang w:val="es-ES"/>
        </w:rPr>
        <w:t xml:space="preserve">En Colombia el comportamiento es casi similar al del Municipio,  permanecen constantes los niveles de desempeño insuficiente y avanzado, se observa un incremento del 1% en el nivel de desempeño mínimo y una baja del 1% en el nivel de desempeño satisfactorio. </w:t>
      </w:r>
    </w:p>
    <w:p w:rsidR="00E2705A" w:rsidRPr="00E2705A" w:rsidRDefault="00E2705A" w:rsidP="00A92D87">
      <w:pPr>
        <w:spacing w:after="200" w:line="240" w:lineRule="auto"/>
        <w:jc w:val="both"/>
        <w:rPr>
          <w:rFonts w:eastAsia="Calibri" w:cs="Arial"/>
          <w:lang w:val="es-ES"/>
        </w:rPr>
      </w:pPr>
      <w:r w:rsidRPr="00E2705A">
        <w:rPr>
          <w:rFonts w:eastAsia="Calibri" w:cs="Arial"/>
          <w:lang w:val="es-ES"/>
        </w:rPr>
        <w:t>Este comportamiento en la tendencia tanto del Municipio como de la nación es una alerta tanto para los Establecimientos Educativos, Secretaría de Educación y Ministerio que nos invita a reflexionar  sobre cada una de las responsabilidades que tenemos frente al proceso enseñanza – aprendizaje, competencias en matemáticas y estrategias para lograr que la tendencia a futuro sea positiva</w:t>
      </w:r>
    </w:p>
    <w:p w:rsidR="00E2705A" w:rsidRPr="00E2705A" w:rsidRDefault="00E2705A" w:rsidP="00A92D87">
      <w:pPr>
        <w:spacing w:after="0" w:line="240" w:lineRule="auto"/>
        <w:jc w:val="center"/>
        <w:rPr>
          <w:rFonts w:eastAsia="Calibri" w:cs="Arial"/>
          <w:b/>
          <w:lang w:val="es-ES"/>
        </w:rPr>
      </w:pPr>
      <w:r w:rsidRPr="00E2705A">
        <w:rPr>
          <w:rFonts w:eastAsia="Calibri" w:cs="Arial"/>
          <w:b/>
          <w:lang w:val="es-ES"/>
        </w:rPr>
        <w:t>Tabla No. 6 COMPARATIVO  NIVEL DE DESEMPEÑO AÑO 2012 Y 2013 ENTRE PASTO Y COLOMBIA ÁREA DE MATEMÁTICAS</w:t>
      </w:r>
    </w:p>
    <w:p w:rsidR="00E2705A" w:rsidRPr="00E2705A" w:rsidRDefault="00E2705A" w:rsidP="00A92D87">
      <w:pPr>
        <w:spacing w:after="200" w:line="240" w:lineRule="auto"/>
        <w:jc w:val="center"/>
        <w:rPr>
          <w:rFonts w:eastAsia="Calibri" w:cs="Arial"/>
          <w:b/>
          <w:lang w:val="es-ES"/>
        </w:rPr>
      </w:pPr>
    </w:p>
    <w:tbl>
      <w:tblPr>
        <w:tblW w:w="5545" w:type="dxa"/>
        <w:jc w:val="center"/>
        <w:tblCellMar>
          <w:left w:w="70" w:type="dxa"/>
          <w:right w:w="70" w:type="dxa"/>
        </w:tblCellMar>
        <w:tblLook w:val="04A0"/>
      </w:tblPr>
      <w:tblGrid>
        <w:gridCol w:w="1340"/>
        <w:gridCol w:w="930"/>
        <w:gridCol w:w="1190"/>
        <w:gridCol w:w="1078"/>
        <w:gridCol w:w="1007"/>
      </w:tblGrid>
      <w:tr w:rsidR="00E2705A" w:rsidRPr="00E2705A" w:rsidTr="00000F81">
        <w:trPr>
          <w:trHeight w:val="300"/>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E2705A" w:rsidRPr="00E2705A" w:rsidRDefault="00E2705A" w:rsidP="00A92D87">
            <w:pPr>
              <w:spacing w:after="200" w:line="240" w:lineRule="auto"/>
              <w:jc w:val="center"/>
              <w:rPr>
                <w:rFonts w:eastAsia="Times New Roman" w:cs="Times New Roman"/>
                <w:b/>
                <w:lang w:eastAsia="es-CO"/>
              </w:rPr>
            </w:pPr>
            <w:r w:rsidRPr="00E2705A">
              <w:rPr>
                <w:rFonts w:eastAsia="Times New Roman" w:cs="Times New Roman"/>
                <w:b/>
                <w:lang w:eastAsia="es-CO"/>
              </w:rPr>
              <w:t>Nivel</w:t>
            </w:r>
          </w:p>
        </w:tc>
        <w:tc>
          <w:tcPr>
            <w:tcW w:w="2120" w:type="dxa"/>
            <w:gridSpan w:val="2"/>
            <w:tcBorders>
              <w:top w:val="single" w:sz="4" w:space="0" w:color="auto"/>
              <w:left w:val="nil"/>
              <w:bottom w:val="single" w:sz="4" w:space="0" w:color="auto"/>
              <w:right w:val="single" w:sz="4" w:space="0" w:color="auto"/>
            </w:tcBorders>
            <w:shd w:val="clear" w:color="000000" w:fill="8DB4E2"/>
            <w:noWrap/>
            <w:vAlign w:val="center"/>
            <w:hideMark/>
          </w:tcPr>
          <w:p w:rsidR="00E2705A" w:rsidRPr="00E2705A" w:rsidRDefault="00E2705A" w:rsidP="00A92D87">
            <w:pPr>
              <w:spacing w:after="200" w:line="240" w:lineRule="auto"/>
              <w:jc w:val="center"/>
              <w:rPr>
                <w:rFonts w:eastAsia="Times New Roman" w:cs="Times New Roman"/>
                <w:b/>
                <w:lang w:eastAsia="es-CO"/>
              </w:rPr>
            </w:pPr>
            <w:r w:rsidRPr="00E2705A">
              <w:rPr>
                <w:rFonts w:eastAsia="Times New Roman" w:cs="Times New Roman"/>
                <w:b/>
                <w:lang w:eastAsia="es-CO"/>
              </w:rPr>
              <w:t>2012</w:t>
            </w:r>
          </w:p>
        </w:tc>
        <w:tc>
          <w:tcPr>
            <w:tcW w:w="2085" w:type="dxa"/>
            <w:gridSpan w:val="2"/>
            <w:tcBorders>
              <w:top w:val="single" w:sz="4" w:space="0" w:color="auto"/>
              <w:left w:val="nil"/>
              <w:bottom w:val="single" w:sz="4" w:space="0" w:color="auto"/>
              <w:right w:val="single" w:sz="4" w:space="0" w:color="auto"/>
            </w:tcBorders>
            <w:shd w:val="clear" w:color="000000" w:fill="8DB4E2"/>
            <w:noWrap/>
            <w:vAlign w:val="center"/>
            <w:hideMark/>
          </w:tcPr>
          <w:p w:rsidR="00E2705A" w:rsidRPr="00E2705A" w:rsidRDefault="00E2705A" w:rsidP="00A92D87">
            <w:pPr>
              <w:spacing w:after="200" w:line="240" w:lineRule="auto"/>
              <w:jc w:val="center"/>
              <w:rPr>
                <w:rFonts w:eastAsia="Times New Roman" w:cs="Times New Roman"/>
                <w:b/>
                <w:lang w:eastAsia="es-CO"/>
              </w:rPr>
            </w:pPr>
            <w:r w:rsidRPr="00E2705A">
              <w:rPr>
                <w:rFonts w:eastAsia="Times New Roman" w:cs="Times New Roman"/>
                <w:b/>
                <w:lang w:eastAsia="es-CO"/>
              </w:rPr>
              <w:t>2013</w:t>
            </w:r>
          </w:p>
          <w:p w:rsidR="00E2705A" w:rsidRPr="00E2705A" w:rsidRDefault="00E2705A" w:rsidP="00A92D87">
            <w:pPr>
              <w:spacing w:after="200" w:line="240" w:lineRule="auto"/>
              <w:jc w:val="center"/>
              <w:rPr>
                <w:rFonts w:eastAsia="Times New Roman" w:cs="Times New Roman"/>
                <w:b/>
                <w:lang w:eastAsia="es-CO"/>
              </w:rPr>
            </w:pPr>
          </w:p>
        </w:tc>
      </w:tr>
      <w:tr w:rsidR="00E2705A" w:rsidRPr="00E2705A" w:rsidTr="00000F81">
        <w:trPr>
          <w:trHeight w:val="300"/>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E2705A" w:rsidRPr="00E2705A" w:rsidRDefault="00E2705A" w:rsidP="00A92D87">
            <w:pPr>
              <w:spacing w:after="200" w:line="240" w:lineRule="auto"/>
              <w:jc w:val="center"/>
              <w:rPr>
                <w:rFonts w:eastAsia="Times New Roman" w:cs="Times New Roman"/>
                <w:b/>
                <w:lang w:eastAsia="es-CO"/>
              </w:rPr>
            </w:pPr>
          </w:p>
        </w:tc>
        <w:tc>
          <w:tcPr>
            <w:tcW w:w="930"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b/>
                <w:lang w:eastAsia="es-CO"/>
              </w:rPr>
            </w:pPr>
            <w:r w:rsidRPr="00E2705A">
              <w:rPr>
                <w:rFonts w:eastAsia="Times New Roman" w:cs="Times New Roman"/>
                <w:b/>
                <w:lang w:eastAsia="es-CO"/>
              </w:rPr>
              <w:t>Pasto</w:t>
            </w:r>
          </w:p>
        </w:tc>
        <w:tc>
          <w:tcPr>
            <w:tcW w:w="1190"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b/>
                <w:lang w:eastAsia="es-CO"/>
              </w:rPr>
            </w:pPr>
            <w:r w:rsidRPr="00E2705A">
              <w:rPr>
                <w:rFonts w:eastAsia="Times New Roman" w:cs="Times New Roman"/>
                <w:b/>
                <w:lang w:eastAsia="es-CO"/>
              </w:rPr>
              <w:t>Colombia</w:t>
            </w:r>
          </w:p>
        </w:tc>
        <w:tc>
          <w:tcPr>
            <w:tcW w:w="1078"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b/>
                <w:lang w:eastAsia="es-CO"/>
              </w:rPr>
            </w:pPr>
            <w:r w:rsidRPr="00E2705A">
              <w:rPr>
                <w:rFonts w:eastAsia="Times New Roman" w:cs="Times New Roman"/>
                <w:b/>
                <w:lang w:eastAsia="es-CO"/>
              </w:rPr>
              <w:t>Pasto</w:t>
            </w:r>
          </w:p>
        </w:tc>
        <w:tc>
          <w:tcPr>
            <w:tcW w:w="1007"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b/>
                <w:lang w:eastAsia="es-CO"/>
              </w:rPr>
            </w:pPr>
            <w:r w:rsidRPr="00E2705A">
              <w:rPr>
                <w:rFonts w:eastAsia="Times New Roman" w:cs="Times New Roman"/>
                <w:b/>
                <w:lang w:eastAsia="es-CO"/>
              </w:rPr>
              <w:t>Colombia</w:t>
            </w:r>
          </w:p>
          <w:p w:rsidR="00E2705A" w:rsidRPr="00E2705A" w:rsidRDefault="00E2705A" w:rsidP="00A92D87">
            <w:pPr>
              <w:spacing w:after="200" w:line="240" w:lineRule="auto"/>
              <w:jc w:val="center"/>
              <w:rPr>
                <w:rFonts w:eastAsia="Times New Roman" w:cs="Times New Roman"/>
                <w:b/>
                <w:lang w:eastAsia="es-CO"/>
              </w:rPr>
            </w:pPr>
          </w:p>
        </w:tc>
      </w:tr>
      <w:tr w:rsidR="00E2705A" w:rsidRPr="00E2705A" w:rsidTr="00000F81">
        <w:trPr>
          <w:trHeight w:val="300"/>
          <w:jc w:val="center"/>
        </w:trPr>
        <w:tc>
          <w:tcPr>
            <w:tcW w:w="1340" w:type="dxa"/>
            <w:tcBorders>
              <w:top w:val="nil"/>
              <w:left w:val="single" w:sz="4" w:space="0" w:color="auto"/>
              <w:bottom w:val="single" w:sz="4" w:space="0" w:color="auto"/>
              <w:right w:val="single" w:sz="4" w:space="0" w:color="auto"/>
            </w:tcBorders>
            <w:shd w:val="clear" w:color="000000" w:fill="8DB4E2"/>
            <w:noWrap/>
            <w:vAlign w:val="center"/>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Insuficiente</w:t>
            </w:r>
          </w:p>
        </w:tc>
        <w:tc>
          <w:tcPr>
            <w:tcW w:w="930"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10%</w:t>
            </w:r>
          </w:p>
        </w:tc>
        <w:tc>
          <w:tcPr>
            <w:tcW w:w="1190"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21%</w:t>
            </w:r>
          </w:p>
        </w:tc>
        <w:tc>
          <w:tcPr>
            <w:tcW w:w="1078"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10%</w:t>
            </w:r>
          </w:p>
        </w:tc>
        <w:tc>
          <w:tcPr>
            <w:tcW w:w="1007"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21%</w:t>
            </w:r>
          </w:p>
          <w:p w:rsidR="00E2705A" w:rsidRPr="00E2705A" w:rsidRDefault="00E2705A" w:rsidP="00A92D87">
            <w:pPr>
              <w:spacing w:after="200" w:line="240" w:lineRule="auto"/>
              <w:jc w:val="center"/>
              <w:rPr>
                <w:rFonts w:eastAsia="Times New Roman" w:cs="Times New Roman"/>
                <w:color w:val="000000"/>
                <w:lang w:eastAsia="es-CO"/>
              </w:rPr>
            </w:pPr>
          </w:p>
        </w:tc>
      </w:tr>
      <w:tr w:rsidR="00E2705A" w:rsidRPr="00E2705A" w:rsidTr="00000F81">
        <w:trPr>
          <w:trHeight w:val="300"/>
          <w:jc w:val="center"/>
        </w:trPr>
        <w:tc>
          <w:tcPr>
            <w:tcW w:w="1340" w:type="dxa"/>
            <w:tcBorders>
              <w:top w:val="nil"/>
              <w:left w:val="single" w:sz="4" w:space="0" w:color="auto"/>
              <w:bottom w:val="single" w:sz="4" w:space="0" w:color="auto"/>
              <w:right w:val="single" w:sz="4" w:space="0" w:color="auto"/>
            </w:tcBorders>
            <w:shd w:val="clear" w:color="000000" w:fill="8DB4E2"/>
            <w:noWrap/>
            <w:vAlign w:val="center"/>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Mínimo</w:t>
            </w:r>
          </w:p>
        </w:tc>
        <w:tc>
          <w:tcPr>
            <w:tcW w:w="930"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49%</w:t>
            </w:r>
          </w:p>
        </w:tc>
        <w:tc>
          <w:tcPr>
            <w:tcW w:w="1190"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52%</w:t>
            </w:r>
          </w:p>
        </w:tc>
        <w:tc>
          <w:tcPr>
            <w:tcW w:w="1078"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53%</w:t>
            </w:r>
          </w:p>
        </w:tc>
        <w:tc>
          <w:tcPr>
            <w:tcW w:w="1007"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53%</w:t>
            </w:r>
          </w:p>
          <w:p w:rsidR="00E2705A" w:rsidRPr="00E2705A" w:rsidRDefault="00E2705A" w:rsidP="00A92D87">
            <w:pPr>
              <w:spacing w:after="200" w:line="240" w:lineRule="auto"/>
              <w:jc w:val="center"/>
              <w:rPr>
                <w:rFonts w:eastAsia="Times New Roman" w:cs="Times New Roman"/>
                <w:color w:val="000000"/>
                <w:lang w:eastAsia="es-CO"/>
              </w:rPr>
            </w:pPr>
          </w:p>
        </w:tc>
      </w:tr>
      <w:tr w:rsidR="00E2705A" w:rsidRPr="00E2705A" w:rsidTr="00000F81">
        <w:trPr>
          <w:trHeight w:val="300"/>
          <w:jc w:val="center"/>
        </w:trPr>
        <w:tc>
          <w:tcPr>
            <w:tcW w:w="1340" w:type="dxa"/>
            <w:tcBorders>
              <w:top w:val="nil"/>
              <w:left w:val="single" w:sz="4" w:space="0" w:color="auto"/>
              <w:bottom w:val="single" w:sz="4" w:space="0" w:color="auto"/>
              <w:right w:val="single" w:sz="4" w:space="0" w:color="auto"/>
            </w:tcBorders>
            <w:shd w:val="clear" w:color="000000" w:fill="8DB4E2"/>
            <w:noWrap/>
            <w:vAlign w:val="center"/>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Satisfactorio</w:t>
            </w:r>
          </w:p>
        </w:tc>
        <w:tc>
          <w:tcPr>
            <w:tcW w:w="930"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34%</w:t>
            </w:r>
          </w:p>
        </w:tc>
        <w:tc>
          <w:tcPr>
            <w:tcW w:w="1190"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22%</w:t>
            </w:r>
          </w:p>
        </w:tc>
        <w:tc>
          <w:tcPr>
            <w:tcW w:w="1078"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32%</w:t>
            </w:r>
          </w:p>
        </w:tc>
        <w:tc>
          <w:tcPr>
            <w:tcW w:w="1007"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21%</w:t>
            </w:r>
          </w:p>
          <w:p w:rsidR="00E2705A" w:rsidRPr="00E2705A" w:rsidRDefault="00E2705A" w:rsidP="00A92D87">
            <w:pPr>
              <w:spacing w:after="200" w:line="240" w:lineRule="auto"/>
              <w:jc w:val="center"/>
              <w:rPr>
                <w:rFonts w:eastAsia="Times New Roman" w:cs="Times New Roman"/>
                <w:color w:val="000000"/>
                <w:lang w:eastAsia="es-CO"/>
              </w:rPr>
            </w:pPr>
          </w:p>
        </w:tc>
      </w:tr>
      <w:tr w:rsidR="00E2705A" w:rsidRPr="00E2705A" w:rsidTr="00000F81">
        <w:trPr>
          <w:trHeight w:val="300"/>
          <w:jc w:val="center"/>
        </w:trPr>
        <w:tc>
          <w:tcPr>
            <w:tcW w:w="1340" w:type="dxa"/>
            <w:tcBorders>
              <w:top w:val="nil"/>
              <w:left w:val="single" w:sz="4" w:space="0" w:color="auto"/>
              <w:bottom w:val="single" w:sz="4" w:space="0" w:color="auto"/>
              <w:right w:val="single" w:sz="4" w:space="0" w:color="auto"/>
            </w:tcBorders>
            <w:shd w:val="clear" w:color="000000" w:fill="8DB4E2"/>
            <w:noWrap/>
            <w:vAlign w:val="center"/>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Avanzado</w:t>
            </w:r>
          </w:p>
        </w:tc>
        <w:tc>
          <w:tcPr>
            <w:tcW w:w="930"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8%</w:t>
            </w:r>
          </w:p>
        </w:tc>
        <w:tc>
          <w:tcPr>
            <w:tcW w:w="1190"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5%</w:t>
            </w:r>
          </w:p>
        </w:tc>
        <w:tc>
          <w:tcPr>
            <w:tcW w:w="1078" w:type="dxa"/>
            <w:tcBorders>
              <w:top w:val="nil"/>
              <w:left w:val="nil"/>
              <w:bottom w:val="single" w:sz="4" w:space="0" w:color="auto"/>
              <w:right w:val="single" w:sz="4" w:space="0" w:color="auto"/>
            </w:tcBorders>
            <w:shd w:val="clear" w:color="000000" w:fill="E6B8B7"/>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6%</w:t>
            </w:r>
          </w:p>
        </w:tc>
        <w:tc>
          <w:tcPr>
            <w:tcW w:w="1007"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5%</w:t>
            </w:r>
          </w:p>
          <w:p w:rsidR="00E2705A" w:rsidRPr="00E2705A" w:rsidRDefault="00E2705A" w:rsidP="00A92D87">
            <w:pPr>
              <w:spacing w:after="200" w:line="240" w:lineRule="auto"/>
              <w:jc w:val="center"/>
              <w:rPr>
                <w:rFonts w:eastAsia="Times New Roman" w:cs="Times New Roman"/>
                <w:color w:val="000000"/>
                <w:lang w:eastAsia="es-CO"/>
              </w:rPr>
            </w:pPr>
          </w:p>
        </w:tc>
      </w:tr>
    </w:tbl>
    <w:p w:rsidR="00E2705A" w:rsidRPr="00E2705A" w:rsidRDefault="00E2705A" w:rsidP="00A92D87">
      <w:pPr>
        <w:spacing w:after="200" w:line="240" w:lineRule="auto"/>
        <w:jc w:val="center"/>
        <w:rPr>
          <w:rFonts w:eastAsia="Calibri" w:cs="Arial"/>
          <w:lang w:val="es-ES"/>
        </w:rPr>
      </w:pPr>
      <w:r w:rsidRPr="00E2705A">
        <w:rPr>
          <w:rFonts w:eastAsia="Calibri" w:cs="Arial"/>
          <w:lang w:val="es-ES"/>
        </w:rPr>
        <w:t>Fuente ICFES saber 3°, 5° y 9° años 2012, 2013</w:t>
      </w:r>
    </w:p>
    <w:p w:rsidR="00E2705A" w:rsidRPr="00E2705A" w:rsidRDefault="00E2705A" w:rsidP="00A92D87">
      <w:pPr>
        <w:spacing w:after="200" w:line="240" w:lineRule="auto"/>
        <w:rPr>
          <w:rFonts w:eastAsia="Calibri" w:cs="Arial"/>
          <w:lang w:val="es-ES"/>
        </w:rPr>
      </w:pPr>
    </w:p>
    <w:p w:rsidR="00E2705A" w:rsidRPr="00E2705A" w:rsidRDefault="00E2705A" w:rsidP="00A92D87">
      <w:pPr>
        <w:spacing w:after="200" w:line="240" w:lineRule="auto"/>
        <w:rPr>
          <w:rFonts w:eastAsia="Calibri" w:cs="Arial"/>
          <w:b/>
          <w:i/>
          <w:lang w:val="es-ES"/>
        </w:rPr>
      </w:pPr>
      <w:r w:rsidRPr="00E2705A">
        <w:rPr>
          <w:rFonts w:eastAsia="Calibri" w:cs="Arial"/>
          <w:b/>
          <w:i/>
          <w:lang w:val="es-ES"/>
        </w:rPr>
        <w:t>ÁREA DE PENSAMIENTO CIUDADANO</w:t>
      </w:r>
    </w:p>
    <w:p w:rsidR="00E2705A" w:rsidRPr="00E2705A" w:rsidRDefault="00E2705A" w:rsidP="00A92D87">
      <w:pPr>
        <w:spacing w:after="200" w:line="240" w:lineRule="auto"/>
        <w:jc w:val="both"/>
        <w:rPr>
          <w:rFonts w:eastAsia="Calibri" w:cs="Arial"/>
          <w:lang w:val="es-ES"/>
        </w:rPr>
      </w:pPr>
      <w:r w:rsidRPr="00E2705A">
        <w:rPr>
          <w:rFonts w:eastAsia="Calibri" w:cs="Arial"/>
          <w:lang w:val="es-ES"/>
        </w:rPr>
        <w:t xml:space="preserve">El gráfico No. 8 se observa la ubicación de los  estudiantes en cada nivel de desempeño en pensamiento ciudadano del grado noveno para el año 2013, en el Ente Territorial de Pasto y de Colombia. Al comparar  cada nivel de desempeño se observa que en el nivel insuficiente en Pasto se ubican el 6% de los estudiantes superando a  Colombia que alcanza el 15% observándose una diferencia considerable del 9%. En el Nivel de desempeño medio Pasto concentra al 25% de los Estudiantes y Colombia al 31% con una mínima diferencia del 6%. En el Nivel de desempeño satisfactorio el Ente Municipal agrupa al 55% de los Estudiantes mientras que  Colombia al 29%, la posición del Municipio supera a la nación en un 10%. En el Nivel de desempeño avanzado también existe una mejor ubicación de Pasto frente a Colombia con una diferencia del 4% debido a que mientras Pasto alcanza un 14% Colombia alcanza el 10%.     </w:t>
      </w:r>
    </w:p>
    <w:p w:rsidR="00E2705A" w:rsidRPr="00E2705A" w:rsidRDefault="00E2705A" w:rsidP="00A92D87">
      <w:pPr>
        <w:spacing w:after="200" w:line="240" w:lineRule="auto"/>
        <w:jc w:val="both"/>
        <w:rPr>
          <w:rFonts w:eastAsia="Calibri" w:cs="Arial"/>
          <w:lang w:val="es-ES"/>
        </w:rPr>
      </w:pPr>
      <w:r w:rsidRPr="00E2705A">
        <w:rPr>
          <w:rFonts w:eastAsia="Calibri" w:cs="Arial"/>
          <w:lang w:val="es-ES"/>
        </w:rPr>
        <w:t xml:space="preserve">De manera resumida es pertinente decir que en pensamiento ciudadano del grado noveno,   los estudiantes del Ente Territorial de Pasto presentan un mayor nivel de desempeño  que los estudiantes de Colombia, debido a que en nivel de desempeño satisfactorio y avanzado se concentra  el 69% de  los estudiantes de Pasto y los de Colombia en el 55%;   en nivel insuficiente y mínimo se posiciona el 45% de los estudiantes de Colombia y los estudiantes de Pasto con el 31%. </w:t>
      </w:r>
    </w:p>
    <w:p w:rsidR="00E2705A" w:rsidRPr="00E2705A" w:rsidRDefault="00E2705A" w:rsidP="00A92D87">
      <w:pPr>
        <w:spacing w:after="200" w:line="240" w:lineRule="auto"/>
        <w:rPr>
          <w:rFonts w:eastAsia="Calibri" w:cs="Arial"/>
          <w:b/>
          <w:lang w:val="es-ES"/>
        </w:rPr>
      </w:pPr>
    </w:p>
    <w:p w:rsidR="00E2705A" w:rsidRPr="00E2705A" w:rsidRDefault="00E2705A" w:rsidP="00A92D87">
      <w:pPr>
        <w:spacing w:after="0" w:line="240" w:lineRule="auto"/>
        <w:jc w:val="center"/>
        <w:rPr>
          <w:rFonts w:eastAsia="Calibri" w:cs="Arial"/>
          <w:b/>
          <w:lang w:val="es-ES"/>
        </w:rPr>
      </w:pPr>
      <w:r w:rsidRPr="00E2705A">
        <w:rPr>
          <w:rFonts w:eastAsia="Calibri" w:cs="Arial"/>
          <w:b/>
          <w:lang w:val="es-ES"/>
        </w:rPr>
        <w:t>PORCENTAJE DE ESTUDIANTES EN CADA NIVEL DE DESEMPEÑO EN</w:t>
      </w:r>
    </w:p>
    <w:p w:rsidR="00E2705A" w:rsidRPr="00E2705A" w:rsidRDefault="00E2705A" w:rsidP="00A92D87">
      <w:pPr>
        <w:spacing w:after="0" w:line="240" w:lineRule="auto"/>
        <w:jc w:val="center"/>
        <w:rPr>
          <w:rFonts w:eastAsia="Calibri" w:cs="Arial"/>
          <w:b/>
          <w:lang w:val="es-ES"/>
        </w:rPr>
      </w:pPr>
      <w:r w:rsidRPr="00E2705A">
        <w:rPr>
          <w:rFonts w:eastAsia="Calibri" w:cs="Arial"/>
          <w:b/>
          <w:lang w:val="es-ES"/>
        </w:rPr>
        <w:t xml:space="preserve">PENSAMIENTO CIUDADANO </w:t>
      </w:r>
    </w:p>
    <w:p w:rsidR="00E2705A" w:rsidRPr="00E2705A" w:rsidRDefault="00E2705A" w:rsidP="00A92D87">
      <w:pPr>
        <w:spacing w:after="0" w:line="240" w:lineRule="auto"/>
        <w:jc w:val="center"/>
        <w:rPr>
          <w:rFonts w:eastAsia="Calibri" w:cs="Arial"/>
          <w:b/>
          <w:lang w:val="es-ES"/>
        </w:rPr>
      </w:pPr>
    </w:p>
    <w:p w:rsidR="00E2705A" w:rsidRPr="00E2705A" w:rsidRDefault="00E2705A" w:rsidP="00A92D87">
      <w:pPr>
        <w:spacing w:after="200" w:line="240" w:lineRule="auto"/>
        <w:jc w:val="center"/>
        <w:rPr>
          <w:rFonts w:eastAsia="Calibri" w:cs="Arial"/>
          <w:lang w:val="es-ES"/>
        </w:rPr>
      </w:pPr>
      <w:r w:rsidRPr="00E2705A">
        <w:rPr>
          <w:rFonts w:eastAsia="Calibri" w:cs="Times New Roman"/>
          <w:noProof/>
          <w:lang w:val="es-ES" w:eastAsia="es-ES"/>
        </w:rPr>
        <w:lastRenderedPageBreak/>
        <w:drawing>
          <wp:inline distT="0" distB="0" distL="0" distR="0">
            <wp:extent cx="4572000" cy="2743200"/>
            <wp:effectExtent l="0" t="0" r="19050" b="1905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2705A" w:rsidRPr="00E2705A" w:rsidRDefault="00E2705A" w:rsidP="00A92D87">
      <w:pPr>
        <w:spacing w:after="200" w:line="240" w:lineRule="auto"/>
        <w:jc w:val="both"/>
        <w:rPr>
          <w:rFonts w:eastAsia="Calibri" w:cs="Arial"/>
          <w:lang w:val="es-ES"/>
        </w:rPr>
      </w:pPr>
      <w:r w:rsidRPr="00E2705A">
        <w:rPr>
          <w:rFonts w:eastAsia="Calibri" w:cs="Arial"/>
          <w:lang w:val="es-ES"/>
        </w:rPr>
        <w:t xml:space="preserve">               Fuente: ICFES, saber 3°,5° y 9 año 2013.</w:t>
      </w:r>
    </w:p>
    <w:p w:rsidR="00E2705A" w:rsidRPr="00E2705A" w:rsidRDefault="00E2705A" w:rsidP="00A92D87">
      <w:pPr>
        <w:spacing w:after="200" w:line="240" w:lineRule="auto"/>
        <w:jc w:val="both"/>
        <w:rPr>
          <w:rFonts w:eastAsia="Calibri" w:cs="Arial"/>
          <w:b/>
          <w:lang w:val="es-ES"/>
        </w:rPr>
      </w:pPr>
    </w:p>
    <w:p w:rsidR="00E2705A" w:rsidRPr="00E2705A" w:rsidRDefault="00E2705A" w:rsidP="00A92D87">
      <w:pPr>
        <w:spacing w:after="200" w:line="240" w:lineRule="auto"/>
        <w:jc w:val="both"/>
        <w:rPr>
          <w:rFonts w:eastAsia="Calibri" w:cs="Arial"/>
          <w:lang w:val="es-ES"/>
        </w:rPr>
      </w:pPr>
      <w:r w:rsidRPr="00E2705A">
        <w:rPr>
          <w:rFonts w:eastAsia="Calibri" w:cs="Arial"/>
          <w:lang w:val="es-ES"/>
        </w:rPr>
        <w:t>En Tabla No. 6 se encuentra la variación porcentual de los niveles de desempeño en el área de pensamiento ciudadano en Pasto y Colombia para los años 2012 y 2013 en el grado noveno; en Pasto se observa una leve tendencia negativa al incrementarse en el 1% el nivel de insuficiencia y decrecer en el 2%  en el nivel de desempeño avanzado, los niveles de desempeño mínimo y satisfactorio no presenta ninguna variación en el tiempo. En Colombia también se aprecia una leve tendencia decreciente al incrementarse los   nivel de desempeño insuficiente y avanzado en  el 2% y1% respectivamente;  baja el nivel de desempeño mínimo en el 1%, permanece constante el nivel de desempeño satisfactorio.</w:t>
      </w:r>
    </w:p>
    <w:p w:rsidR="00E2705A" w:rsidRPr="00E2705A" w:rsidRDefault="00E2705A" w:rsidP="00A92D87">
      <w:pPr>
        <w:spacing w:after="200" w:line="240" w:lineRule="auto"/>
        <w:jc w:val="both"/>
        <w:rPr>
          <w:rFonts w:eastAsia="Calibri" w:cs="Arial"/>
          <w:lang w:val="es-ES"/>
        </w:rPr>
      </w:pPr>
    </w:p>
    <w:p w:rsidR="00E2705A" w:rsidRPr="00E2705A" w:rsidRDefault="00E2705A" w:rsidP="00A92D87">
      <w:pPr>
        <w:spacing w:after="200" w:line="240" w:lineRule="auto"/>
        <w:jc w:val="center"/>
        <w:rPr>
          <w:rFonts w:eastAsia="Calibri" w:cs="Arial"/>
          <w:b/>
          <w:lang w:val="es-ES"/>
        </w:rPr>
      </w:pPr>
      <w:r w:rsidRPr="00E2705A">
        <w:rPr>
          <w:rFonts w:eastAsia="Calibri" w:cs="Arial"/>
          <w:b/>
          <w:lang w:val="es-ES"/>
        </w:rPr>
        <w:t>Tabla No. 6 COMPARATIVO  NIVEL DE DESEMPEÑO AÑO 2012 y 2013 ENTRE PASTO Y             COLOMBIA ÁREA DE PENSAMIENTO CIUDADANO GRADO NOVENO</w:t>
      </w:r>
    </w:p>
    <w:tbl>
      <w:tblPr>
        <w:tblW w:w="6940" w:type="dxa"/>
        <w:jc w:val="center"/>
        <w:tblCellMar>
          <w:left w:w="70" w:type="dxa"/>
          <w:right w:w="70" w:type="dxa"/>
        </w:tblCellMar>
        <w:tblLook w:val="04A0"/>
      </w:tblPr>
      <w:tblGrid>
        <w:gridCol w:w="1780"/>
        <w:gridCol w:w="1382"/>
        <w:gridCol w:w="1218"/>
        <w:gridCol w:w="1334"/>
        <w:gridCol w:w="1226"/>
      </w:tblGrid>
      <w:tr w:rsidR="00E2705A" w:rsidRPr="00E2705A" w:rsidTr="00000F81">
        <w:trPr>
          <w:trHeight w:val="465"/>
          <w:jc w:val="center"/>
        </w:trPr>
        <w:tc>
          <w:tcPr>
            <w:tcW w:w="1780" w:type="dxa"/>
            <w:vMerge w:val="restar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 xml:space="preserve">Nivel </w:t>
            </w:r>
          </w:p>
        </w:tc>
        <w:tc>
          <w:tcPr>
            <w:tcW w:w="260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jc w:val="center"/>
              <w:rPr>
                <w:rFonts w:eastAsia="Times New Roman" w:cs="Times New Roman"/>
                <w:b/>
                <w:color w:val="000000"/>
                <w:lang w:eastAsia="es-CO"/>
              </w:rPr>
            </w:pPr>
            <w:r w:rsidRPr="00E2705A">
              <w:rPr>
                <w:rFonts w:eastAsia="Times New Roman" w:cs="Times New Roman"/>
                <w:b/>
                <w:color w:val="000000"/>
                <w:lang w:eastAsia="es-CO"/>
              </w:rPr>
              <w:t>2012</w:t>
            </w:r>
          </w:p>
        </w:tc>
        <w:tc>
          <w:tcPr>
            <w:tcW w:w="2560"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jc w:val="center"/>
              <w:rPr>
                <w:rFonts w:eastAsia="Times New Roman" w:cs="Times New Roman"/>
                <w:b/>
                <w:color w:val="000000"/>
                <w:lang w:eastAsia="es-CO"/>
              </w:rPr>
            </w:pPr>
            <w:r w:rsidRPr="00E2705A">
              <w:rPr>
                <w:rFonts w:eastAsia="Times New Roman" w:cs="Times New Roman"/>
                <w:b/>
                <w:color w:val="000000"/>
                <w:lang w:eastAsia="es-CO"/>
              </w:rPr>
              <w:t>2013</w:t>
            </w:r>
          </w:p>
        </w:tc>
      </w:tr>
      <w:tr w:rsidR="00E2705A" w:rsidRPr="00E2705A" w:rsidTr="00000F81">
        <w:trPr>
          <w:trHeight w:val="525"/>
          <w:jc w:val="center"/>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E2705A" w:rsidRPr="00E2705A" w:rsidRDefault="00E2705A" w:rsidP="00A92D87">
            <w:pPr>
              <w:spacing w:after="200" w:line="240" w:lineRule="auto"/>
              <w:rPr>
                <w:rFonts w:eastAsia="Times New Roman" w:cs="Times New Roman"/>
                <w:color w:val="000000"/>
                <w:lang w:eastAsia="es-CO"/>
              </w:rPr>
            </w:pPr>
          </w:p>
        </w:tc>
        <w:tc>
          <w:tcPr>
            <w:tcW w:w="1382" w:type="dxa"/>
            <w:tcBorders>
              <w:top w:val="nil"/>
              <w:left w:val="nil"/>
              <w:bottom w:val="single" w:sz="4" w:space="0" w:color="auto"/>
              <w:right w:val="single" w:sz="4" w:space="0" w:color="auto"/>
            </w:tcBorders>
            <w:shd w:val="clear" w:color="000000" w:fill="FDE9D9"/>
            <w:noWrap/>
            <w:vAlign w:val="bottom"/>
            <w:hideMark/>
          </w:tcPr>
          <w:p w:rsidR="00E2705A" w:rsidRPr="00E2705A" w:rsidRDefault="00E2705A" w:rsidP="00A92D87">
            <w:pPr>
              <w:spacing w:after="200" w:line="240" w:lineRule="auto"/>
              <w:jc w:val="center"/>
              <w:rPr>
                <w:rFonts w:eastAsia="Times New Roman" w:cs="Times New Roman"/>
                <w:b/>
                <w:color w:val="000000"/>
                <w:lang w:eastAsia="es-CO"/>
              </w:rPr>
            </w:pPr>
            <w:r w:rsidRPr="00E2705A">
              <w:rPr>
                <w:rFonts w:eastAsia="Times New Roman" w:cs="Times New Roman"/>
                <w:b/>
                <w:color w:val="000000"/>
                <w:lang w:eastAsia="es-CO"/>
              </w:rPr>
              <w:t>Pasto</w:t>
            </w:r>
          </w:p>
        </w:tc>
        <w:tc>
          <w:tcPr>
            <w:tcW w:w="1218"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center"/>
              <w:rPr>
                <w:rFonts w:eastAsia="Times New Roman" w:cs="Times New Roman"/>
                <w:b/>
                <w:color w:val="000000"/>
                <w:lang w:eastAsia="es-CO"/>
              </w:rPr>
            </w:pPr>
            <w:r w:rsidRPr="00E2705A">
              <w:rPr>
                <w:rFonts w:eastAsia="Times New Roman" w:cs="Times New Roman"/>
                <w:b/>
                <w:color w:val="000000"/>
                <w:lang w:eastAsia="es-CO"/>
              </w:rPr>
              <w:t>Colombia</w:t>
            </w:r>
          </w:p>
        </w:tc>
        <w:tc>
          <w:tcPr>
            <w:tcW w:w="1334" w:type="dxa"/>
            <w:tcBorders>
              <w:top w:val="nil"/>
              <w:left w:val="nil"/>
              <w:bottom w:val="single" w:sz="4" w:space="0" w:color="auto"/>
              <w:right w:val="single" w:sz="4" w:space="0" w:color="auto"/>
            </w:tcBorders>
            <w:shd w:val="clear" w:color="000000" w:fill="FDE9D9"/>
            <w:noWrap/>
            <w:vAlign w:val="bottom"/>
            <w:hideMark/>
          </w:tcPr>
          <w:p w:rsidR="00E2705A" w:rsidRPr="00E2705A" w:rsidRDefault="00E2705A" w:rsidP="00A92D87">
            <w:pPr>
              <w:spacing w:after="200" w:line="240" w:lineRule="auto"/>
              <w:jc w:val="center"/>
              <w:rPr>
                <w:rFonts w:eastAsia="Times New Roman" w:cs="Times New Roman"/>
                <w:b/>
                <w:color w:val="000000"/>
                <w:lang w:eastAsia="es-CO"/>
              </w:rPr>
            </w:pPr>
            <w:r w:rsidRPr="00E2705A">
              <w:rPr>
                <w:rFonts w:eastAsia="Times New Roman" w:cs="Times New Roman"/>
                <w:b/>
                <w:color w:val="000000"/>
                <w:lang w:eastAsia="es-CO"/>
              </w:rPr>
              <w:t>Pasto</w:t>
            </w:r>
          </w:p>
        </w:tc>
        <w:tc>
          <w:tcPr>
            <w:tcW w:w="1226"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center"/>
              <w:rPr>
                <w:rFonts w:eastAsia="Times New Roman" w:cs="Times New Roman"/>
                <w:b/>
                <w:color w:val="000000"/>
                <w:lang w:eastAsia="es-CO"/>
              </w:rPr>
            </w:pPr>
            <w:r w:rsidRPr="00E2705A">
              <w:rPr>
                <w:rFonts w:eastAsia="Times New Roman" w:cs="Times New Roman"/>
                <w:b/>
                <w:color w:val="000000"/>
                <w:lang w:eastAsia="es-CO"/>
              </w:rPr>
              <w:t>Colombia</w:t>
            </w:r>
          </w:p>
        </w:tc>
      </w:tr>
      <w:tr w:rsidR="00E2705A" w:rsidRPr="00E2705A" w:rsidTr="00000F81">
        <w:trPr>
          <w:trHeight w:val="591"/>
          <w:jc w:val="center"/>
        </w:trPr>
        <w:tc>
          <w:tcPr>
            <w:tcW w:w="1780" w:type="dxa"/>
            <w:tcBorders>
              <w:top w:val="nil"/>
              <w:left w:val="single" w:sz="4" w:space="0" w:color="auto"/>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Insuficiente</w:t>
            </w:r>
          </w:p>
        </w:tc>
        <w:tc>
          <w:tcPr>
            <w:tcW w:w="1382" w:type="dxa"/>
            <w:tcBorders>
              <w:top w:val="nil"/>
              <w:left w:val="nil"/>
              <w:bottom w:val="single" w:sz="4" w:space="0" w:color="auto"/>
              <w:right w:val="single" w:sz="4" w:space="0" w:color="auto"/>
            </w:tcBorders>
            <w:shd w:val="clear" w:color="000000" w:fill="FDE9D9"/>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5%</w:t>
            </w:r>
          </w:p>
        </w:tc>
        <w:tc>
          <w:tcPr>
            <w:tcW w:w="1218"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13%</w:t>
            </w:r>
          </w:p>
        </w:tc>
        <w:tc>
          <w:tcPr>
            <w:tcW w:w="1334" w:type="dxa"/>
            <w:tcBorders>
              <w:top w:val="nil"/>
              <w:left w:val="nil"/>
              <w:bottom w:val="single" w:sz="4" w:space="0" w:color="auto"/>
              <w:right w:val="single" w:sz="4" w:space="0" w:color="auto"/>
            </w:tcBorders>
            <w:shd w:val="clear" w:color="000000" w:fill="FDE9D9"/>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6%</w:t>
            </w:r>
          </w:p>
        </w:tc>
        <w:tc>
          <w:tcPr>
            <w:tcW w:w="1226"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15%</w:t>
            </w:r>
          </w:p>
          <w:p w:rsidR="00E2705A" w:rsidRPr="00E2705A" w:rsidRDefault="00E2705A" w:rsidP="00A92D87">
            <w:pPr>
              <w:spacing w:after="200" w:line="240" w:lineRule="auto"/>
              <w:jc w:val="center"/>
              <w:rPr>
                <w:rFonts w:eastAsia="Times New Roman" w:cs="Times New Roman"/>
                <w:color w:val="000000"/>
                <w:lang w:eastAsia="es-CO"/>
              </w:rPr>
            </w:pPr>
          </w:p>
        </w:tc>
      </w:tr>
      <w:tr w:rsidR="00E2705A" w:rsidRPr="00E2705A" w:rsidTr="00000F81">
        <w:trPr>
          <w:trHeight w:val="300"/>
          <w:jc w:val="center"/>
        </w:trPr>
        <w:tc>
          <w:tcPr>
            <w:tcW w:w="1780" w:type="dxa"/>
            <w:tcBorders>
              <w:top w:val="nil"/>
              <w:left w:val="single" w:sz="4" w:space="0" w:color="auto"/>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Mínimo</w:t>
            </w:r>
          </w:p>
        </w:tc>
        <w:tc>
          <w:tcPr>
            <w:tcW w:w="1382" w:type="dxa"/>
            <w:tcBorders>
              <w:top w:val="nil"/>
              <w:left w:val="nil"/>
              <w:bottom w:val="single" w:sz="4" w:space="0" w:color="auto"/>
              <w:right w:val="single" w:sz="4" w:space="0" w:color="auto"/>
            </w:tcBorders>
            <w:shd w:val="clear" w:color="000000" w:fill="FDE9D9"/>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25%</w:t>
            </w:r>
          </w:p>
        </w:tc>
        <w:tc>
          <w:tcPr>
            <w:tcW w:w="1218"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32%</w:t>
            </w:r>
          </w:p>
        </w:tc>
        <w:tc>
          <w:tcPr>
            <w:tcW w:w="1334" w:type="dxa"/>
            <w:tcBorders>
              <w:top w:val="nil"/>
              <w:left w:val="nil"/>
              <w:bottom w:val="single" w:sz="4" w:space="0" w:color="auto"/>
              <w:right w:val="single" w:sz="4" w:space="0" w:color="auto"/>
            </w:tcBorders>
            <w:shd w:val="clear" w:color="000000" w:fill="FDE9D9"/>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25%</w:t>
            </w:r>
          </w:p>
        </w:tc>
        <w:tc>
          <w:tcPr>
            <w:tcW w:w="1226"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31%</w:t>
            </w:r>
          </w:p>
          <w:p w:rsidR="00E2705A" w:rsidRPr="00E2705A" w:rsidRDefault="00E2705A" w:rsidP="00A92D87">
            <w:pPr>
              <w:spacing w:after="200" w:line="240" w:lineRule="auto"/>
              <w:jc w:val="center"/>
              <w:rPr>
                <w:rFonts w:eastAsia="Times New Roman" w:cs="Times New Roman"/>
                <w:color w:val="000000"/>
                <w:lang w:eastAsia="es-CO"/>
              </w:rPr>
            </w:pPr>
          </w:p>
        </w:tc>
      </w:tr>
      <w:tr w:rsidR="00E2705A" w:rsidRPr="00E2705A" w:rsidTr="00000F81">
        <w:trPr>
          <w:trHeight w:val="300"/>
          <w:jc w:val="center"/>
        </w:trPr>
        <w:tc>
          <w:tcPr>
            <w:tcW w:w="1780" w:type="dxa"/>
            <w:tcBorders>
              <w:top w:val="nil"/>
              <w:left w:val="single" w:sz="4" w:space="0" w:color="auto"/>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lastRenderedPageBreak/>
              <w:t>Satisfactorio</w:t>
            </w:r>
          </w:p>
        </w:tc>
        <w:tc>
          <w:tcPr>
            <w:tcW w:w="1382" w:type="dxa"/>
            <w:tcBorders>
              <w:top w:val="nil"/>
              <w:left w:val="nil"/>
              <w:bottom w:val="single" w:sz="4" w:space="0" w:color="auto"/>
              <w:right w:val="single" w:sz="4" w:space="0" w:color="auto"/>
            </w:tcBorders>
            <w:shd w:val="clear" w:color="000000" w:fill="FDE9D9"/>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55%</w:t>
            </w:r>
          </w:p>
        </w:tc>
        <w:tc>
          <w:tcPr>
            <w:tcW w:w="1218"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45%</w:t>
            </w:r>
          </w:p>
        </w:tc>
        <w:tc>
          <w:tcPr>
            <w:tcW w:w="1334" w:type="dxa"/>
            <w:tcBorders>
              <w:top w:val="nil"/>
              <w:left w:val="nil"/>
              <w:bottom w:val="single" w:sz="4" w:space="0" w:color="auto"/>
              <w:right w:val="single" w:sz="4" w:space="0" w:color="auto"/>
            </w:tcBorders>
            <w:shd w:val="clear" w:color="000000" w:fill="FDE9D9"/>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55%</w:t>
            </w:r>
          </w:p>
        </w:tc>
        <w:tc>
          <w:tcPr>
            <w:tcW w:w="1226"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45%</w:t>
            </w:r>
          </w:p>
          <w:p w:rsidR="00E2705A" w:rsidRPr="00E2705A" w:rsidRDefault="00E2705A" w:rsidP="00A92D87">
            <w:pPr>
              <w:spacing w:after="200" w:line="240" w:lineRule="auto"/>
              <w:jc w:val="center"/>
              <w:rPr>
                <w:rFonts w:eastAsia="Times New Roman" w:cs="Times New Roman"/>
                <w:color w:val="000000"/>
                <w:lang w:eastAsia="es-CO"/>
              </w:rPr>
            </w:pPr>
          </w:p>
        </w:tc>
      </w:tr>
      <w:tr w:rsidR="00E2705A" w:rsidRPr="00E2705A" w:rsidTr="00000F81">
        <w:trPr>
          <w:trHeight w:val="300"/>
          <w:jc w:val="center"/>
        </w:trPr>
        <w:tc>
          <w:tcPr>
            <w:tcW w:w="1780" w:type="dxa"/>
            <w:tcBorders>
              <w:top w:val="nil"/>
              <w:left w:val="single" w:sz="4" w:space="0" w:color="auto"/>
              <w:bottom w:val="single" w:sz="4" w:space="0" w:color="auto"/>
              <w:right w:val="single" w:sz="4" w:space="0" w:color="auto"/>
            </w:tcBorders>
            <w:shd w:val="clear" w:color="000000" w:fill="C5D9F1"/>
            <w:noWrap/>
            <w:vAlign w:val="bottom"/>
            <w:hideMark/>
          </w:tcPr>
          <w:p w:rsidR="00E2705A" w:rsidRPr="00E2705A" w:rsidRDefault="00E2705A" w:rsidP="00A92D87">
            <w:pPr>
              <w:spacing w:after="200" w:line="240" w:lineRule="auto"/>
              <w:rPr>
                <w:rFonts w:eastAsia="Times New Roman" w:cs="Times New Roman"/>
                <w:color w:val="000000"/>
                <w:lang w:eastAsia="es-CO"/>
              </w:rPr>
            </w:pPr>
            <w:r w:rsidRPr="00E2705A">
              <w:rPr>
                <w:rFonts w:eastAsia="Times New Roman" w:cs="Times New Roman"/>
                <w:color w:val="000000"/>
                <w:lang w:eastAsia="es-CO"/>
              </w:rPr>
              <w:t>Avanzado</w:t>
            </w:r>
          </w:p>
        </w:tc>
        <w:tc>
          <w:tcPr>
            <w:tcW w:w="1382" w:type="dxa"/>
            <w:tcBorders>
              <w:top w:val="nil"/>
              <w:left w:val="nil"/>
              <w:bottom w:val="single" w:sz="4" w:space="0" w:color="auto"/>
              <w:right w:val="single" w:sz="4" w:space="0" w:color="auto"/>
            </w:tcBorders>
            <w:shd w:val="clear" w:color="000000" w:fill="FDE9D9"/>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16%</w:t>
            </w:r>
          </w:p>
        </w:tc>
        <w:tc>
          <w:tcPr>
            <w:tcW w:w="1218" w:type="dxa"/>
            <w:tcBorders>
              <w:top w:val="nil"/>
              <w:left w:val="nil"/>
              <w:bottom w:val="single" w:sz="4" w:space="0" w:color="auto"/>
              <w:right w:val="single" w:sz="4" w:space="0" w:color="auto"/>
            </w:tcBorders>
            <w:shd w:val="clear" w:color="000000" w:fill="D8E4BC"/>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9%</w:t>
            </w:r>
          </w:p>
        </w:tc>
        <w:tc>
          <w:tcPr>
            <w:tcW w:w="1334" w:type="dxa"/>
            <w:tcBorders>
              <w:top w:val="nil"/>
              <w:left w:val="nil"/>
              <w:bottom w:val="single" w:sz="4" w:space="0" w:color="auto"/>
              <w:right w:val="single" w:sz="4" w:space="0" w:color="auto"/>
            </w:tcBorders>
            <w:shd w:val="clear" w:color="000000" w:fill="FDE9D9"/>
            <w:noWrap/>
            <w:vAlign w:val="center"/>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14%</w:t>
            </w:r>
          </w:p>
        </w:tc>
        <w:tc>
          <w:tcPr>
            <w:tcW w:w="1226" w:type="dxa"/>
            <w:tcBorders>
              <w:top w:val="nil"/>
              <w:left w:val="nil"/>
              <w:bottom w:val="single" w:sz="4" w:space="0" w:color="auto"/>
              <w:right w:val="single" w:sz="4" w:space="0" w:color="auto"/>
            </w:tcBorders>
            <w:shd w:val="clear" w:color="000000" w:fill="D8E4BC"/>
            <w:noWrap/>
            <w:vAlign w:val="bottom"/>
            <w:hideMark/>
          </w:tcPr>
          <w:p w:rsidR="00E2705A" w:rsidRPr="00E2705A" w:rsidRDefault="00E2705A" w:rsidP="00A92D87">
            <w:pPr>
              <w:spacing w:after="200" w:line="240" w:lineRule="auto"/>
              <w:jc w:val="center"/>
              <w:rPr>
                <w:rFonts w:eastAsia="Times New Roman" w:cs="Times New Roman"/>
                <w:color w:val="000000"/>
                <w:lang w:eastAsia="es-CO"/>
              </w:rPr>
            </w:pPr>
            <w:r w:rsidRPr="00E2705A">
              <w:rPr>
                <w:rFonts w:eastAsia="Times New Roman" w:cs="Times New Roman"/>
                <w:color w:val="000000"/>
                <w:lang w:eastAsia="es-CO"/>
              </w:rPr>
              <w:t>10%</w:t>
            </w:r>
          </w:p>
          <w:p w:rsidR="00E2705A" w:rsidRPr="00E2705A" w:rsidRDefault="00E2705A" w:rsidP="00A92D87">
            <w:pPr>
              <w:spacing w:after="200" w:line="240" w:lineRule="auto"/>
              <w:jc w:val="center"/>
              <w:rPr>
                <w:rFonts w:eastAsia="Times New Roman" w:cs="Times New Roman"/>
                <w:color w:val="000000"/>
                <w:lang w:eastAsia="es-CO"/>
              </w:rPr>
            </w:pPr>
          </w:p>
        </w:tc>
      </w:tr>
    </w:tbl>
    <w:p w:rsidR="00E2705A" w:rsidRPr="00E2705A" w:rsidRDefault="00E2705A" w:rsidP="00A92D87">
      <w:pPr>
        <w:spacing w:after="200" w:line="240" w:lineRule="auto"/>
        <w:jc w:val="both"/>
        <w:rPr>
          <w:rFonts w:eastAsia="Calibri" w:cs="Arial"/>
          <w:lang w:val="es-ES"/>
        </w:rPr>
      </w:pPr>
      <w:r w:rsidRPr="00E2705A">
        <w:rPr>
          <w:rFonts w:eastAsia="Calibri" w:cs="Arial"/>
          <w:lang w:val="es-ES"/>
        </w:rPr>
        <w:t xml:space="preserve">               Fuente: ICFES, pruebas saber 3°, 5° y 9°, 2012 y 2013 </w:t>
      </w:r>
    </w:p>
    <w:p w:rsidR="00E2705A" w:rsidRPr="00E2705A" w:rsidRDefault="00E2705A" w:rsidP="00064BA9">
      <w:pPr>
        <w:spacing w:line="240" w:lineRule="auto"/>
        <w:jc w:val="center"/>
        <w:rPr>
          <w:b/>
        </w:rPr>
      </w:pPr>
      <w:r w:rsidRPr="00E2705A">
        <w:t>D</w:t>
      </w:r>
      <w:r w:rsidRPr="00E2705A">
        <w:rPr>
          <w:b/>
        </w:rPr>
        <w:t>ESCRIPCIÓN DEL INDICADOR No. 64</w:t>
      </w:r>
    </w:p>
    <w:tbl>
      <w:tblPr>
        <w:tblStyle w:val="Tabladecuadrcula2-nfasis5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Nombre del indicador: Porcentaje de establecimientos educativos en las categorías de desempeño en las pruebas SABER 11</w:t>
            </w:r>
          </w:p>
        </w:tc>
      </w:tr>
      <w:tr w:rsidR="00E2705A" w:rsidRPr="00E2705A" w:rsidTr="00000F81">
        <w:trPr>
          <w:trHeight w:val="332"/>
          <w:jc w:val="center"/>
        </w:trPr>
        <w:tc>
          <w:tcPr>
            <w:cnfStyle w:val="001000000000"/>
            <w:tcW w:w="8828" w:type="dxa"/>
          </w:tcPr>
          <w:p w:rsidR="00E2705A" w:rsidRPr="00E2705A" w:rsidRDefault="00E2705A" w:rsidP="00A92D87">
            <w:r w:rsidRPr="00E2705A">
              <w:t>Fuente Nacional: ICFES</w:t>
            </w:r>
          </w:p>
          <w:p w:rsidR="00E2705A" w:rsidRPr="00E2705A" w:rsidRDefault="00E2705A" w:rsidP="00A92D87">
            <w:r w:rsidRPr="00E2705A">
              <w:t xml:space="preserve">Otra Fuente: </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Categoría de derechos: Derechos Civiles y Políticos</w:t>
            </w:r>
          </w:p>
        </w:tc>
      </w:tr>
      <w:tr w:rsidR="00E2705A" w:rsidRPr="00E2705A" w:rsidTr="00000F81">
        <w:trPr>
          <w:trHeight w:val="458"/>
          <w:jc w:val="center"/>
        </w:trPr>
        <w:tc>
          <w:tcPr>
            <w:cnfStyle w:val="001000000000"/>
            <w:tcW w:w="8828" w:type="dxa"/>
          </w:tcPr>
          <w:p w:rsidR="00E2705A" w:rsidRPr="00E2705A" w:rsidRDefault="00E2705A" w:rsidP="00A92D87">
            <w:r w:rsidRPr="00E2705A">
              <w:t>Derechos: Derechos al Desarrollo</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 xml:space="preserve">Temas relacionados: </w:t>
            </w:r>
          </w:p>
          <w:p w:rsidR="00E2705A" w:rsidRPr="00E2705A" w:rsidRDefault="00E2705A" w:rsidP="00A92D87"/>
        </w:tc>
      </w:tr>
      <w:tr w:rsidR="00E2705A" w:rsidRPr="00E2705A" w:rsidTr="00000F81">
        <w:trPr>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A92D87">
      <w:pPr>
        <w:spacing w:line="240" w:lineRule="auto"/>
      </w:pPr>
    </w:p>
    <w:p w:rsidR="00E2705A" w:rsidRPr="00E2705A" w:rsidRDefault="00E2705A" w:rsidP="00A92D87">
      <w:pPr>
        <w:numPr>
          <w:ilvl w:val="0"/>
          <w:numId w:val="54"/>
        </w:numPr>
        <w:spacing w:after="0" w:line="240" w:lineRule="auto"/>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contextualSpacing/>
        <w:rPr>
          <w:rFonts w:eastAsia="Times New Roman" w:cs="Times New Roman"/>
          <w:b/>
          <w:lang w:eastAsia="es-CO"/>
        </w:rPr>
      </w:pPr>
    </w:p>
    <w:tbl>
      <w:tblPr>
        <w:tblStyle w:val="Tablaconcuadrcula8"/>
        <w:tblW w:w="0" w:type="auto"/>
        <w:tblInd w:w="108" w:type="dxa"/>
        <w:tblLayout w:type="fixed"/>
        <w:tblLook w:val="04A0"/>
      </w:tblPr>
      <w:tblGrid>
        <w:gridCol w:w="1701"/>
        <w:gridCol w:w="1134"/>
        <w:gridCol w:w="993"/>
        <w:gridCol w:w="992"/>
        <w:gridCol w:w="992"/>
        <w:gridCol w:w="1559"/>
      </w:tblGrid>
      <w:tr w:rsidR="00E2705A" w:rsidRPr="00E2705A" w:rsidTr="00000F81">
        <w:tc>
          <w:tcPr>
            <w:tcW w:w="1701" w:type="dxa"/>
          </w:tcPr>
          <w:p w:rsidR="00E2705A" w:rsidRPr="00E2705A" w:rsidRDefault="00E2705A" w:rsidP="00A92D87">
            <w:pPr>
              <w:jc w:val="center"/>
              <w:rPr>
                <w:b/>
              </w:rPr>
            </w:pPr>
            <w:r w:rsidRPr="00E2705A">
              <w:rPr>
                <w:b/>
              </w:rPr>
              <w:t>Indicador</w:t>
            </w:r>
          </w:p>
        </w:tc>
        <w:tc>
          <w:tcPr>
            <w:tcW w:w="1134" w:type="dxa"/>
          </w:tcPr>
          <w:p w:rsidR="00E2705A" w:rsidRPr="00E2705A" w:rsidRDefault="00E2705A" w:rsidP="00A92D87">
            <w:pPr>
              <w:jc w:val="center"/>
              <w:rPr>
                <w:b/>
              </w:rPr>
            </w:pPr>
            <w:r w:rsidRPr="00E2705A">
              <w:rPr>
                <w:b/>
              </w:rPr>
              <w:t>2011</w:t>
            </w:r>
          </w:p>
        </w:tc>
        <w:tc>
          <w:tcPr>
            <w:tcW w:w="993" w:type="dxa"/>
          </w:tcPr>
          <w:p w:rsidR="00E2705A" w:rsidRPr="00E2705A" w:rsidRDefault="00E2705A" w:rsidP="00A92D87">
            <w:pPr>
              <w:jc w:val="center"/>
              <w:rPr>
                <w:b/>
              </w:rPr>
            </w:pPr>
            <w:r w:rsidRPr="00E2705A">
              <w:rPr>
                <w:b/>
              </w:rPr>
              <w:t>2012</w:t>
            </w:r>
          </w:p>
        </w:tc>
        <w:tc>
          <w:tcPr>
            <w:tcW w:w="992" w:type="dxa"/>
          </w:tcPr>
          <w:p w:rsidR="00E2705A" w:rsidRPr="00E2705A" w:rsidRDefault="00E2705A" w:rsidP="00A92D87">
            <w:pPr>
              <w:jc w:val="center"/>
              <w:rPr>
                <w:b/>
              </w:rPr>
            </w:pPr>
            <w:r w:rsidRPr="00E2705A">
              <w:rPr>
                <w:b/>
              </w:rPr>
              <w:t>2013</w:t>
            </w:r>
          </w:p>
        </w:tc>
        <w:tc>
          <w:tcPr>
            <w:tcW w:w="2551" w:type="dxa"/>
            <w:gridSpan w:val="2"/>
          </w:tcPr>
          <w:p w:rsidR="00E2705A" w:rsidRPr="00E2705A" w:rsidRDefault="00E2705A" w:rsidP="00A92D87">
            <w:pPr>
              <w:jc w:val="center"/>
              <w:rPr>
                <w:b/>
              </w:rPr>
            </w:pPr>
            <w:r w:rsidRPr="00E2705A">
              <w:rPr>
                <w:b/>
              </w:rPr>
              <w:t>2014 Calendario A</w:t>
            </w:r>
          </w:p>
        </w:tc>
      </w:tr>
      <w:tr w:rsidR="00E2705A" w:rsidRPr="00E2705A" w:rsidTr="00000F81">
        <w:tc>
          <w:tcPr>
            <w:tcW w:w="1701" w:type="dxa"/>
          </w:tcPr>
          <w:p w:rsidR="00E2705A" w:rsidRPr="00E2705A" w:rsidRDefault="00E2705A" w:rsidP="00A92D87">
            <w:r w:rsidRPr="00E2705A">
              <w:t>Porcentaje de establecimientos educativos en las categorías de desempeño en las pruebas SABER 11</w:t>
            </w:r>
          </w:p>
        </w:tc>
        <w:tc>
          <w:tcPr>
            <w:tcW w:w="1134" w:type="dxa"/>
          </w:tcPr>
          <w:p w:rsidR="00E2705A" w:rsidRPr="00E2705A" w:rsidRDefault="00E2705A" w:rsidP="00A92D87"/>
        </w:tc>
        <w:tc>
          <w:tcPr>
            <w:tcW w:w="993" w:type="dxa"/>
          </w:tcPr>
          <w:p w:rsidR="00E2705A" w:rsidRPr="00E2705A" w:rsidRDefault="00E2705A" w:rsidP="00A92D87"/>
        </w:tc>
        <w:tc>
          <w:tcPr>
            <w:tcW w:w="992" w:type="dxa"/>
          </w:tcPr>
          <w:p w:rsidR="00E2705A" w:rsidRPr="00E2705A" w:rsidRDefault="00E2705A" w:rsidP="00A92D87"/>
        </w:tc>
        <w:tc>
          <w:tcPr>
            <w:tcW w:w="992" w:type="dxa"/>
          </w:tcPr>
          <w:p w:rsidR="00E2705A" w:rsidRPr="00E2705A" w:rsidRDefault="00E2705A" w:rsidP="00A92D87"/>
        </w:tc>
        <w:tc>
          <w:tcPr>
            <w:tcW w:w="1559" w:type="dxa"/>
          </w:tcPr>
          <w:p w:rsidR="00E2705A" w:rsidRPr="00E2705A" w:rsidRDefault="00E2705A" w:rsidP="00A92D87"/>
        </w:tc>
      </w:tr>
      <w:tr w:rsidR="00E2705A" w:rsidRPr="00E2705A" w:rsidTr="00000F81">
        <w:trPr>
          <w:trHeight w:val="166"/>
        </w:trPr>
        <w:tc>
          <w:tcPr>
            <w:tcW w:w="1701" w:type="dxa"/>
          </w:tcPr>
          <w:p w:rsidR="00E2705A" w:rsidRPr="00E2705A" w:rsidRDefault="00E2705A" w:rsidP="00A92D87">
            <w:r w:rsidRPr="00E2705A">
              <w:t>Muy Superior</w:t>
            </w:r>
          </w:p>
        </w:tc>
        <w:tc>
          <w:tcPr>
            <w:tcW w:w="1134" w:type="dxa"/>
          </w:tcPr>
          <w:p w:rsidR="00E2705A" w:rsidRPr="00E2705A" w:rsidRDefault="00E2705A" w:rsidP="00A92D87">
            <w:r w:rsidRPr="00E2705A">
              <w:t>3.8%</w:t>
            </w:r>
          </w:p>
        </w:tc>
        <w:tc>
          <w:tcPr>
            <w:tcW w:w="993" w:type="dxa"/>
          </w:tcPr>
          <w:p w:rsidR="00E2705A" w:rsidRPr="00E2705A" w:rsidRDefault="00E2705A" w:rsidP="00A92D87">
            <w:r w:rsidRPr="00E2705A">
              <w:t>5.56%</w:t>
            </w:r>
          </w:p>
        </w:tc>
        <w:tc>
          <w:tcPr>
            <w:tcW w:w="992" w:type="dxa"/>
          </w:tcPr>
          <w:p w:rsidR="00E2705A" w:rsidRPr="00E2705A" w:rsidRDefault="00E2705A" w:rsidP="00A92D87">
            <w:r w:rsidRPr="00E2705A">
              <w:t>10.59%</w:t>
            </w:r>
          </w:p>
        </w:tc>
        <w:tc>
          <w:tcPr>
            <w:tcW w:w="992" w:type="dxa"/>
          </w:tcPr>
          <w:p w:rsidR="00E2705A" w:rsidRPr="00E2705A" w:rsidRDefault="00E2705A" w:rsidP="00A92D87">
            <w:r w:rsidRPr="00E2705A">
              <w:t>A+</w:t>
            </w:r>
          </w:p>
        </w:tc>
        <w:tc>
          <w:tcPr>
            <w:tcW w:w="1559" w:type="dxa"/>
          </w:tcPr>
          <w:p w:rsidR="00E2705A" w:rsidRPr="00E2705A" w:rsidRDefault="00E2705A" w:rsidP="00A92D87">
            <w:r w:rsidRPr="00E2705A">
              <w:t>10.81%</w:t>
            </w:r>
          </w:p>
        </w:tc>
      </w:tr>
      <w:tr w:rsidR="00E2705A" w:rsidRPr="00E2705A" w:rsidTr="00000F81">
        <w:tc>
          <w:tcPr>
            <w:tcW w:w="1701" w:type="dxa"/>
          </w:tcPr>
          <w:p w:rsidR="00E2705A" w:rsidRPr="00E2705A" w:rsidRDefault="00E2705A" w:rsidP="00A92D87">
            <w:r w:rsidRPr="00E2705A">
              <w:t>Superior</w:t>
            </w:r>
          </w:p>
        </w:tc>
        <w:tc>
          <w:tcPr>
            <w:tcW w:w="1134" w:type="dxa"/>
          </w:tcPr>
          <w:p w:rsidR="00E2705A" w:rsidRPr="00E2705A" w:rsidRDefault="00E2705A" w:rsidP="00A92D87">
            <w:r w:rsidRPr="00E2705A">
              <w:t>23.1%</w:t>
            </w:r>
          </w:p>
        </w:tc>
        <w:tc>
          <w:tcPr>
            <w:tcW w:w="993" w:type="dxa"/>
          </w:tcPr>
          <w:p w:rsidR="00E2705A" w:rsidRPr="00E2705A" w:rsidRDefault="00E2705A" w:rsidP="00A92D87">
            <w:r w:rsidRPr="00E2705A">
              <w:t>24.7%</w:t>
            </w:r>
          </w:p>
        </w:tc>
        <w:tc>
          <w:tcPr>
            <w:tcW w:w="992" w:type="dxa"/>
          </w:tcPr>
          <w:p w:rsidR="00E2705A" w:rsidRPr="00E2705A" w:rsidRDefault="00E2705A" w:rsidP="00A92D87">
            <w:r w:rsidRPr="00E2705A">
              <w:t>18.82%</w:t>
            </w:r>
          </w:p>
        </w:tc>
        <w:tc>
          <w:tcPr>
            <w:tcW w:w="992" w:type="dxa"/>
          </w:tcPr>
          <w:p w:rsidR="00E2705A" w:rsidRPr="00E2705A" w:rsidRDefault="00E2705A" w:rsidP="00A92D87">
            <w:r w:rsidRPr="00E2705A">
              <w:t>A</w:t>
            </w:r>
          </w:p>
        </w:tc>
        <w:tc>
          <w:tcPr>
            <w:tcW w:w="1559" w:type="dxa"/>
          </w:tcPr>
          <w:p w:rsidR="00E2705A" w:rsidRPr="00E2705A" w:rsidRDefault="00E2705A" w:rsidP="00A92D87">
            <w:r w:rsidRPr="00E2705A">
              <w:t>20.27%</w:t>
            </w:r>
          </w:p>
        </w:tc>
      </w:tr>
      <w:tr w:rsidR="00E2705A" w:rsidRPr="00E2705A" w:rsidTr="00000F81">
        <w:tc>
          <w:tcPr>
            <w:tcW w:w="1701" w:type="dxa"/>
          </w:tcPr>
          <w:p w:rsidR="00E2705A" w:rsidRPr="00E2705A" w:rsidRDefault="00E2705A" w:rsidP="00A92D87">
            <w:r w:rsidRPr="00E2705A">
              <w:t>Alto</w:t>
            </w:r>
          </w:p>
        </w:tc>
        <w:tc>
          <w:tcPr>
            <w:tcW w:w="1134" w:type="dxa"/>
          </w:tcPr>
          <w:p w:rsidR="00E2705A" w:rsidRPr="00E2705A" w:rsidRDefault="00E2705A" w:rsidP="00A92D87">
            <w:r w:rsidRPr="00E2705A">
              <w:t>30.8%</w:t>
            </w:r>
          </w:p>
        </w:tc>
        <w:tc>
          <w:tcPr>
            <w:tcW w:w="993" w:type="dxa"/>
          </w:tcPr>
          <w:p w:rsidR="00E2705A" w:rsidRPr="00E2705A" w:rsidRDefault="00E2705A" w:rsidP="00A92D87">
            <w:r w:rsidRPr="00E2705A">
              <w:t>27.78%</w:t>
            </w:r>
          </w:p>
        </w:tc>
        <w:tc>
          <w:tcPr>
            <w:tcW w:w="992" w:type="dxa"/>
          </w:tcPr>
          <w:p w:rsidR="00E2705A" w:rsidRPr="00E2705A" w:rsidRDefault="00E2705A" w:rsidP="00A92D87">
            <w:r w:rsidRPr="00E2705A">
              <w:t>29.41%</w:t>
            </w:r>
          </w:p>
        </w:tc>
        <w:tc>
          <w:tcPr>
            <w:tcW w:w="992" w:type="dxa"/>
          </w:tcPr>
          <w:p w:rsidR="00E2705A" w:rsidRPr="00E2705A" w:rsidRDefault="00E2705A" w:rsidP="00A92D87">
            <w:r w:rsidRPr="00E2705A">
              <w:t>B</w:t>
            </w:r>
          </w:p>
        </w:tc>
        <w:tc>
          <w:tcPr>
            <w:tcW w:w="1559" w:type="dxa"/>
          </w:tcPr>
          <w:p w:rsidR="00E2705A" w:rsidRPr="00E2705A" w:rsidRDefault="00E2705A" w:rsidP="00A92D87">
            <w:r w:rsidRPr="00E2705A">
              <w:t>32.43%</w:t>
            </w:r>
          </w:p>
        </w:tc>
      </w:tr>
      <w:tr w:rsidR="00E2705A" w:rsidRPr="00E2705A" w:rsidTr="00000F81">
        <w:tc>
          <w:tcPr>
            <w:tcW w:w="1701" w:type="dxa"/>
          </w:tcPr>
          <w:p w:rsidR="00E2705A" w:rsidRPr="00E2705A" w:rsidRDefault="00E2705A" w:rsidP="00A92D87">
            <w:r w:rsidRPr="00E2705A">
              <w:t>Medio</w:t>
            </w:r>
          </w:p>
        </w:tc>
        <w:tc>
          <w:tcPr>
            <w:tcW w:w="1134" w:type="dxa"/>
          </w:tcPr>
          <w:p w:rsidR="00E2705A" w:rsidRPr="00E2705A" w:rsidRDefault="00E2705A" w:rsidP="00A92D87">
            <w:r w:rsidRPr="00E2705A">
              <w:t>38.5%</w:t>
            </w:r>
          </w:p>
        </w:tc>
        <w:tc>
          <w:tcPr>
            <w:tcW w:w="993" w:type="dxa"/>
          </w:tcPr>
          <w:p w:rsidR="00E2705A" w:rsidRPr="00E2705A" w:rsidRDefault="00E2705A" w:rsidP="00A92D87">
            <w:r w:rsidRPr="00E2705A">
              <w:t>33.33%</w:t>
            </w:r>
          </w:p>
        </w:tc>
        <w:tc>
          <w:tcPr>
            <w:tcW w:w="992" w:type="dxa"/>
          </w:tcPr>
          <w:p w:rsidR="00E2705A" w:rsidRPr="00E2705A" w:rsidRDefault="00E2705A" w:rsidP="00A92D87">
            <w:r w:rsidRPr="00E2705A">
              <w:t>30.59%</w:t>
            </w:r>
          </w:p>
        </w:tc>
        <w:tc>
          <w:tcPr>
            <w:tcW w:w="992" w:type="dxa"/>
          </w:tcPr>
          <w:p w:rsidR="00E2705A" w:rsidRPr="00E2705A" w:rsidRDefault="00E2705A" w:rsidP="00A92D87">
            <w:r w:rsidRPr="00E2705A">
              <w:t>C</w:t>
            </w:r>
          </w:p>
        </w:tc>
        <w:tc>
          <w:tcPr>
            <w:tcW w:w="1559" w:type="dxa"/>
          </w:tcPr>
          <w:p w:rsidR="00E2705A" w:rsidRPr="00E2705A" w:rsidRDefault="00E2705A" w:rsidP="00A92D87">
            <w:r w:rsidRPr="00E2705A">
              <w:t>32.43%</w:t>
            </w:r>
          </w:p>
        </w:tc>
      </w:tr>
      <w:tr w:rsidR="00E2705A" w:rsidRPr="00E2705A" w:rsidTr="00000F81">
        <w:tc>
          <w:tcPr>
            <w:tcW w:w="1701" w:type="dxa"/>
          </w:tcPr>
          <w:p w:rsidR="00E2705A" w:rsidRPr="00E2705A" w:rsidRDefault="00E2705A" w:rsidP="00A92D87">
            <w:r w:rsidRPr="00E2705A">
              <w:t>Bajo</w:t>
            </w:r>
          </w:p>
        </w:tc>
        <w:tc>
          <w:tcPr>
            <w:tcW w:w="1134" w:type="dxa"/>
          </w:tcPr>
          <w:p w:rsidR="00E2705A" w:rsidRPr="00E2705A" w:rsidRDefault="00E2705A" w:rsidP="00A92D87">
            <w:r w:rsidRPr="00E2705A">
              <w:t>3.8%</w:t>
            </w:r>
          </w:p>
        </w:tc>
        <w:tc>
          <w:tcPr>
            <w:tcW w:w="993" w:type="dxa"/>
          </w:tcPr>
          <w:p w:rsidR="00E2705A" w:rsidRPr="00E2705A" w:rsidRDefault="00E2705A" w:rsidP="00A92D87">
            <w:r w:rsidRPr="00E2705A">
              <w:t>9.26%</w:t>
            </w:r>
          </w:p>
        </w:tc>
        <w:tc>
          <w:tcPr>
            <w:tcW w:w="992" w:type="dxa"/>
          </w:tcPr>
          <w:p w:rsidR="00E2705A" w:rsidRPr="00E2705A" w:rsidRDefault="00E2705A" w:rsidP="00A92D87">
            <w:r w:rsidRPr="00E2705A">
              <w:t>10.59%</w:t>
            </w:r>
          </w:p>
        </w:tc>
        <w:tc>
          <w:tcPr>
            <w:tcW w:w="992" w:type="dxa"/>
          </w:tcPr>
          <w:p w:rsidR="00E2705A" w:rsidRPr="00E2705A" w:rsidRDefault="00E2705A" w:rsidP="00A92D87">
            <w:r w:rsidRPr="00E2705A">
              <w:t>D</w:t>
            </w:r>
          </w:p>
        </w:tc>
        <w:tc>
          <w:tcPr>
            <w:tcW w:w="1559" w:type="dxa"/>
          </w:tcPr>
          <w:p w:rsidR="00E2705A" w:rsidRPr="00E2705A" w:rsidRDefault="00E2705A" w:rsidP="00A92D87">
            <w:r w:rsidRPr="00E2705A">
              <w:t>4.05%</w:t>
            </w:r>
          </w:p>
        </w:tc>
      </w:tr>
      <w:tr w:rsidR="00E2705A" w:rsidRPr="00E2705A" w:rsidTr="00000F81">
        <w:tc>
          <w:tcPr>
            <w:tcW w:w="7371" w:type="dxa"/>
            <w:gridSpan w:val="6"/>
          </w:tcPr>
          <w:p w:rsidR="00E2705A" w:rsidRPr="00E2705A" w:rsidRDefault="00E2705A" w:rsidP="00A92D87">
            <w:r w:rsidRPr="00E2705A">
              <w:t>Fuente y año: ICFES 2009,2012,2013 y 2014</w:t>
            </w:r>
          </w:p>
        </w:tc>
      </w:tr>
    </w:tbl>
    <w:p w:rsidR="00E2705A" w:rsidRPr="00E2705A" w:rsidRDefault="00E2705A" w:rsidP="00A92D87">
      <w:pPr>
        <w:spacing w:line="240" w:lineRule="auto"/>
        <w:jc w:val="both"/>
        <w:rPr>
          <w:b/>
        </w:rPr>
      </w:pPr>
    </w:p>
    <w:p w:rsidR="00E2705A" w:rsidRPr="00E2705A" w:rsidRDefault="00000F81" w:rsidP="00A92D87">
      <w:pPr>
        <w:autoSpaceDE w:val="0"/>
        <w:autoSpaceDN w:val="0"/>
        <w:adjustRightInd w:val="0"/>
        <w:spacing w:after="200" w:line="240" w:lineRule="auto"/>
        <w:jc w:val="center"/>
        <w:rPr>
          <w:rFonts w:eastAsia="Calibri" w:cs="Arial"/>
          <w:b/>
          <w:color w:val="000000"/>
        </w:rPr>
      </w:pPr>
      <w:r>
        <w:rPr>
          <w:rFonts w:eastAsia="Calibri" w:cs="Arial"/>
          <w:b/>
          <w:color w:val="000000"/>
        </w:rPr>
        <w:lastRenderedPageBreak/>
        <w:t>G</w:t>
      </w:r>
      <w:r w:rsidR="00E2705A" w:rsidRPr="00E2705A">
        <w:rPr>
          <w:rFonts w:eastAsia="Calibri" w:cs="Arial"/>
          <w:b/>
          <w:color w:val="000000"/>
        </w:rPr>
        <w:t>ráfico No. 9</w:t>
      </w:r>
    </w:p>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RESULTADOS SABER 11° MUNICIPIO DE PASTO</w:t>
      </w:r>
    </w:p>
    <w:p w:rsidR="00E2705A" w:rsidRPr="00E2705A" w:rsidRDefault="00E2705A" w:rsidP="00A92D87">
      <w:pPr>
        <w:autoSpaceDE w:val="0"/>
        <w:autoSpaceDN w:val="0"/>
        <w:adjustRightInd w:val="0"/>
        <w:spacing w:after="200" w:line="240" w:lineRule="auto"/>
        <w:jc w:val="center"/>
        <w:rPr>
          <w:rFonts w:eastAsia="Calibri" w:cs="Times New Roman"/>
          <w:noProof/>
          <w:bdr w:val="single" w:sz="4" w:space="0" w:color="943634"/>
          <w:lang w:eastAsia="es-CO"/>
        </w:rPr>
      </w:pPr>
      <w:r w:rsidRPr="00E2705A">
        <w:rPr>
          <w:rFonts w:eastAsia="Calibri" w:cs="Arial"/>
          <w:b/>
          <w:color w:val="000000"/>
        </w:rPr>
        <w:t>POR ESTABLECIMIENTOS</w:t>
      </w:r>
    </w:p>
    <w:p w:rsidR="00E2705A" w:rsidRPr="00E2705A" w:rsidRDefault="00E2705A" w:rsidP="00A92D87">
      <w:pPr>
        <w:autoSpaceDE w:val="0"/>
        <w:autoSpaceDN w:val="0"/>
        <w:adjustRightInd w:val="0"/>
        <w:spacing w:after="200" w:line="240" w:lineRule="auto"/>
        <w:jc w:val="center"/>
        <w:rPr>
          <w:rFonts w:eastAsia="Calibri" w:cs="Times New Roman"/>
          <w:noProof/>
          <w:bdr w:val="single" w:sz="4" w:space="0" w:color="943634"/>
          <w:lang w:eastAsia="es-CO"/>
        </w:rPr>
      </w:pPr>
      <w:r w:rsidRPr="00E2705A">
        <w:rPr>
          <w:rFonts w:eastAsia="Calibri" w:cs="Times New Roman"/>
          <w:noProof/>
          <w:bdr w:val="single" w:sz="4" w:space="0" w:color="943634"/>
          <w:lang w:val="es-ES" w:eastAsia="es-ES"/>
        </w:rPr>
        <w:drawing>
          <wp:inline distT="0" distB="0" distL="0" distR="0">
            <wp:extent cx="3966210" cy="3006090"/>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6210" cy="3006090"/>
                    </a:xfrm>
                    <a:prstGeom prst="rect">
                      <a:avLst/>
                    </a:prstGeom>
                    <a:noFill/>
                  </pic:spPr>
                </pic:pic>
              </a:graphicData>
            </a:graphic>
          </wp:inline>
        </w:drawing>
      </w:r>
    </w:p>
    <w:p w:rsidR="00E2705A" w:rsidRPr="00E2705A" w:rsidRDefault="00E2705A" w:rsidP="00A92D87">
      <w:pPr>
        <w:autoSpaceDE w:val="0"/>
        <w:autoSpaceDN w:val="0"/>
        <w:adjustRightInd w:val="0"/>
        <w:spacing w:after="200" w:line="240" w:lineRule="auto"/>
        <w:jc w:val="center"/>
        <w:rPr>
          <w:rFonts w:eastAsia="Calibri" w:cs="Times New Roman"/>
          <w:noProof/>
          <w:bdr w:val="single" w:sz="4" w:space="0" w:color="943634"/>
          <w:lang w:eastAsia="es-CO"/>
        </w:rPr>
      </w:pPr>
      <w:r w:rsidRPr="00E2705A">
        <w:rPr>
          <w:rFonts w:eastAsia="Calibri" w:cs="Times New Roman"/>
          <w:noProof/>
          <w:bdr w:val="single" w:sz="4" w:space="0" w:color="943634"/>
          <w:lang w:eastAsia="es-CO"/>
        </w:rPr>
        <w:t>Fuente: Subsecretaría de Calidad Educativa</w:t>
      </w: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La tendencia mostrada de acuerdo a los resultados obtenidos en las pruebas Saber 11° en el año 2012 con respecto al anterior se resumen en el siguiente cuadro:</w:t>
      </w:r>
    </w:p>
    <w:p w:rsidR="00E2705A" w:rsidRPr="00E2705A" w:rsidRDefault="00E2705A" w:rsidP="00A92D87">
      <w:pPr>
        <w:autoSpaceDE w:val="0"/>
        <w:autoSpaceDN w:val="0"/>
        <w:adjustRightInd w:val="0"/>
        <w:spacing w:after="200" w:line="240" w:lineRule="auto"/>
        <w:jc w:val="center"/>
        <w:rPr>
          <w:rFonts w:eastAsia="Calibri" w:cs="Tahoma"/>
          <w:b/>
        </w:rPr>
      </w:pPr>
      <w:r w:rsidRPr="00E2705A">
        <w:rPr>
          <w:rFonts w:eastAsia="Calibri" w:cs="Tahoma"/>
          <w:b/>
        </w:rPr>
        <w:t>Tabla No. 7</w:t>
      </w:r>
    </w:p>
    <w:tbl>
      <w:tblPr>
        <w:tblW w:w="9208" w:type="dxa"/>
        <w:jc w:val="center"/>
        <w:tblCellMar>
          <w:left w:w="70" w:type="dxa"/>
          <w:right w:w="70" w:type="dxa"/>
        </w:tblCellMar>
        <w:tblLook w:val="04A0"/>
      </w:tblPr>
      <w:tblGrid>
        <w:gridCol w:w="2642"/>
        <w:gridCol w:w="1957"/>
        <w:gridCol w:w="1681"/>
        <w:gridCol w:w="1464"/>
        <w:gridCol w:w="1464"/>
      </w:tblGrid>
      <w:tr w:rsidR="00E2705A" w:rsidRPr="00E2705A" w:rsidTr="00000F81">
        <w:trPr>
          <w:trHeight w:val="300"/>
          <w:jc w:val="center"/>
        </w:trPr>
        <w:tc>
          <w:tcPr>
            <w:tcW w:w="9208"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RESUMEN 2011 y 2012 PASTO</w:t>
            </w:r>
          </w:p>
        </w:tc>
      </w:tr>
      <w:tr w:rsidR="00E2705A" w:rsidRPr="00E2705A" w:rsidTr="00000F81">
        <w:trPr>
          <w:trHeight w:val="300"/>
          <w:jc w:val="center"/>
        </w:trPr>
        <w:tc>
          <w:tcPr>
            <w:tcW w:w="2642" w:type="dxa"/>
            <w:tcBorders>
              <w:top w:val="nil"/>
              <w:left w:val="single" w:sz="4" w:space="0" w:color="auto"/>
              <w:bottom w:val="single" w:sz="4" w:space="0" w:color="auto"/>
              <w:right w:val="single" w:sz="4" w:space="0" w:color="auto"/>
            </w:tcBorders>
            <w:shd w:val="clear" w:color="000000" w:fill="E4DFEC"/>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TENDENCIA</w:t>
            </w:r>
          </w:p>
        </w:tc>
        <w:tc>
          <w:tcPr>
            <w:tcW w:w="1957" w:type="dxa"/>
            <w:tcBorders>
              <w:top w:val="nil"/>
              <w:left w:val="nil"/>
              <w:bottom w:val="single" w:sz="4" w:space="0" w:color="auto"/>
              <w:right w:val="single" w:sz="4" w:space="0" w:color="auto"/>
            </w:tcBorders>
            <w:shd w:val="clear" w:color="000000" w:fill="E4DFEC"/>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CANT.EE 2011</w:t>
            </w:r>
          </w:p>
        </w:tc>
        <w:tc>
          <w:tcPr>
            <w:tcW w:w="1681" w:type="dxa"/>
            <w:tcBorders>
              <w:top w:val="nil"/>
              <w:left w:val="nil"/>
              <w:bottom w:val="single" w:sz="4" w:space="0" w:color="auto"/>
              <w:right w:val="single" w:sz="4" w:space="0" w:color="auto"/>
            </w:tcBorders>
            <w:shd w:val="clear" w:color="000000" w:fill="E4DFEC"/>
            <w:noWrap/>
            <w:vAlign w:val="bottom"/>
            <w:hideMark/>
          </w:tcPr>
          <w:p w:rsidR="00E2705A" w:rsidRPr="00E2705A" w:rsidRDefault="00E2705A" w:rsidP="00A92D87">
            <w:pPr>
              <w:spacing w:after="200" w:line="240" w:lineRule="auto"/>
              <w:jc w:val="center"/>
              <w:rPr>
                <w:rFonts w:eastAsia="Times New Roman" w:cs="Arial"/>
                <w:bCs/>
                <w:lang w:eastAsia="es-CO"/>
              </w:rPr>
            </w:pPr>
            <w:r w:rsidRPr="00E2705A">
              <w:rPr>
                <w:rFonts w:eastAsia="Times New Roman" w:cs="Arial"/>
                <w:bCs/>
                <w:lang w:eastAsia="es-CO"/>
              </w:rPr>
              <w:t>%</w:t>
            </w:r>
          </w:p>
        </w:tc>
        <w:tc>
          <w:tcPr>
            <w:tcW w:w="1464" w:type="dxa"/>
            <w:tcBorders>
              <w:top w:val="nil"/>
              <w:left w:val="nil"/>
              <w:bottom w:val="single" w:sz="4" w:space="0" w:color="auto"/>
              <w:right w:val="single" w:sz="4" w:space="0" w:color="auto"/>
            </w:tcBorders>
            <w:shd w:val="clear" w:color="000000" w:fill="E4DFEC"/>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CANT.EE 2012</w:t>
            </w:r>
          </w:p>
        </w:tc>
        <w:tc>
          <w:tcPr>
            <w:tcW w:w="1464" w:type="dxa"/>
            <w:tcBorders>
              <w:top w:val="nil"/>
              <w:left w:val="nil"/>
              <w:bottom w:val="single" w:sz="4" w:space="0" w:color="auto"/>
              <w:right w:val="single" w:sz="4" w:space="0" w:color="auto"/>
            </w:tcBorders>
            <w:shd w:val="clear" w:color="000000" w:fill="E4DFEC"/>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w:t>
            </w:r>
          </w:p>
        </w:tc>
      </w:tr>
      <w:tr w:rsidR="00E2705A" w:rsidRPr="00E2705A" w:rsidTr="00000F81">
        <w:trPr>
          <w:trHeight w:val="255"/>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Subió</w:t>
            </w:r>
          </w:p>
        </w:tc>
        <w:tc>
          <w:tcPr>
            <w:tcW w:w="195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20</w:t>
            </w:r>
          </w:p>
        </w:tc>
        <w:tc>
          <w:tcPr>
            <w:tcW w:w="168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lang w:eastAsia="es-CO"/>
              </w:rPr>
            </w:pPr>
            <w:r w:rsidRPr="00E2705A">
              <w:rPr>
                <w:rFonts w:eastAsia="Times New Roman" w:cs="Arial"/>
                <w:b/>
                <w:lang w:eastAsia="es-CO"/>
              </w:rPr>
              <w:t>40,8</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7</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13.46</w:t>
            </w:r>
          </w:p>
        </w:tc>
      </w:tr>
      <w:tr w:rsidR="00E2705A" w:rsidRPr="00E2705A" w:rsidTr="00000F81">
        <w:trPr>
          <w:trHeight w:val="255"/>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Bajó</w:t>
            </w:r>
          </w:p>
        </w:tc>
        <w:tc>
          <w:tcPr>
            <w:tcW w:w="1957" w:type="dxa"/>
            <w:tcBorders>
              <w:top w:val="nil"/>
              <w:left w:val="nil"/>
              <w:bottom w:val="single" w:sz="4" w:space="0" w:color="auto"/>
              <w:right w:val="single" w:sz="4" w:space="0" w:color="auto"/>
            </w:tcBorders>
            <w:shd w:val="clear" w:color="auto" w:fill="auto"/>
            <w:noWrap/>
            <w:vAlign w:val="center"/>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w:t>
            </w:r>
          </w:p>
        </w:tc>
        <w:tc>
          <w:tcPr>
            <w:tcW w:w="168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lang w:eastAsia="es-CO"/>
              </w:rPr>
            </w:pPr>
            <w:r w:rsidRPr="00E2705A">
              <w:rPr>
                <w:rFonts w:eastAsia="Times New Roman" w:cs="Arial"/>
                <w:b/>
                <w:lang w:eastAsia="es-CO"/>
              </w:rPr>
              <w:t>4,1</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7</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13.46</w:t>
            </w:r>
          </w:p>
        </w:tc>
      </w:tr>
      <w:tr w:rsidR="00E2705A" w:rsidRPr="00E2705A" w:rsidTr="00000F81">
        <w:trPr>
          <w:trHeight w:val="255"/>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Constante</w:t>
            </w:r>
          </w:p>
        </w:tc>
        <w:tc>
          <w:tcPr>
            <w:tcW w:w="1957" w:type="dxa"/>
            <w:tcBorders>
              <w:top w:val="nil"/>
              <w:left w:val="nil"/>
              <w:bottom w:val="single" w:sz="4" w:space="0" w:color="auto"/>
              <w:right w:val="single" w:sz="4" w:space="0" w:color="auto"/>
            </w:tcBorders>
            <w:shd w:val="clear" w:color="auto" w:fill="auto"/>
            <w:noWrap/>
            <w:vAlign w:val="center"/>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27</w:t>
            </w:r>
          </w:p>
        </w:tc>
        <w:tc>
          <w:tcPr>
            <w:tcW w:w="168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lang w:eastAsia="es-CO"/>
              </w:rPr>
            </w:pPr>
            <w:r w:rsidRPr="00E2705A">
              <w:rPr>
                <w:rFonts w:eastAsia="Times New Roman" w:cs="Arial"/>
                <w:b/>
                <w:lang w:eastAsia="es-CO"/>
              </w:rPr>
              <w:t>55,1</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38</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73.08</w:t>
            </w:r>
          </w:p>
        </w:tc>
      </w:tr>
      <w:tr w:rsidR="00E2705A" w:rsidRPr="00E2705A" w:rsidTr="00000F81">
        <w:trPr>
          <w:trHeight w:val="270"/>
          <w:jc w:val="center"/>
        </w:trPr>
        <w:tc>
          <w:tcPr>
            <w:tcW w:w="2642" w:type="dxa"/>
            <w:tcBorders>
              <w:top w:val="nil"/>
              <w:left w:val="single" w:sz="4" w:space="0" w:color="auto"/>
              <w:bottom w:val="double" w:sz="6" w:space="0" w:color="auto"/>
              <w:right w:val="single" w:sz="4" w:space="0" w:color="auto"/>
            </w:tcBorders>
            <w:shd w:val="clear" w:color="000000" w:fill="D9D9D9"/>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TOTAL</w:t>
            </w:r>
          </w:p>
        </w:tc>
        <w:tc>
          <w:tcPr>
            <w:tcW w:w="1957" w:type="dxa"/>
            <w:tcBorders>
              <w:top w:val="nil"/>
              <w:left w:val="nil"/>
              <w:bottom w:val="double" w:sz="6" w:space="0" w:color="auto"/>
              <w:right w:val="single" w:sz="4" w:space="0" w:color="auto"/>
            </w:tcBorders>
            <w:shd w:val="clear" w:color="000000" w:fill="D9D9D9"/>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49</w:t>
            </w:r>
          </w:p>
        </w:tc>
        <w:tc>
          <w:tcPr>
            <w:tcW w:w="1681" w:type="dxa"/>
            <w:tcBorders>
              <w:top w:val="nil"/>
              <w:left w:val="nil"/>
              <w:bottom w:val="double" w:sz="6" w:space="0" w:color="auto"/>
              <w:right w:val="single" w:sz="4" w:space="0" w:color="auto"/>
            </w:tcBorders>
            <w:shd w:val="clear" w:color="000000" w:fill="D9D9D9"/>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100,0</w:t>
            </w:r>
          </w:p>
        </w:tc>
        <w:tc>
          <w:tcPr>
            <w:tcW w:w="1464" w:type="dxa"/>
            <w:tcBorders>
              <w:top w:val="nil"/>
              <w:left w:val="nil"/>
              <w:bottom w:val="double" w:sz="6" w:space="0" w:color="auto"/>
              <w:right w:val="single" w:sz="4" w:space="0" w:color="auto"/>
            </w:tcBorders>
            <w:shd w:val="clear" w:color="000000" w:fill="D9D9D9"/>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52</w:t>
            </w:r>
          </w:p>
        </w:tc>
        <w:tc>
          <w:tcPr>
            <w:tcW w:w="1464" w:type="dxa"/>
            <w:tcBorders>
              <w:top w:val="nil"/>
              <w:left w:val="nil"/>
              <w:bottom w:val="double" w:sz="6" w:space="0" w:color="auto"/>
              <w:right w:val="single" w:sz="4" w:space="0" w:color="auto"/>
            </w:tcBorders>
            <w:shd w:val="clear" w:color="000000" w:fill="D9D9D9"/>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100.0</w:t>
            </w:r>
          </w:p>
        </w:tc>
      </w:tr>
    </w:tbl>
    <w:p w:rsidR="00E2705A" w:rsidRPr="00E2705A" w:rsidRDefault="00E2705A" w:rsidP="00A92D87">
      <w:pPr>
        <w:autoSpaceDE w:val="0"/>
        <w:autoSpaceDN w:val="0"/>
        <w:adjustRightInd w:val="0"/>
        <w:spacing w:after="200" w:line="240" w:lineRule="auto"/>
        <w:jc w:val="both"/>
        <w:rPr>
          <w:rFonts w:eastAsia="Calibri" w:cs="Arial"/>
          <w:color w:val="000000"/>
        </w:rPr>
      </w:pP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lastRenderedPageBreak/>
        <w:t xml:space="preserve">El resultado en las pruebas Saber 11° aplicadas en el año 2011 es positivo y la tendencia es muy favorable, toda vez que con relación al año 2010 el 40.8% de los EE Subió de categoría, el 55.1% permanece constante y tan solo el 4.1% Bajó de categoría. Al comparar los resultados con el año 2012 la tendencia no fue tan positiva puesto que el 73.08% de los establecimientos no subieron de categoría sino que tuvieron un comportamiento constante, tan solo el 13.46 % subió de categoría y  bajo 13.46 %, tendencia preocupante, porque de 2 EE que bajaron de categoría en el 2011 se incrementaron  a 7 EE, que porcentualmente representan el 28.57%. </w:t>
      </w:r>
    </w:p>
    <w:p w:rsidR="00E2705A" w:rsidRPr="00E2705A" w:rsidRDefault="00E2705A" w:rsidP="00A92D87">
      <w:pPr>
        <w:spacing w:line="240" w:lineRule="auto"/>
        <w:jc w:val="both"/>
        <w:rPr>
          <w:b/>
        </w:rPr>
      </w:pPr>
    </w:p>
    <w:p w:rsidR="00E2705A" w:rsidRPr="00E2705A" w:rsidRDefault="00E2705A" w:rsidP="00A92D87">
      <w:pPr>
        <w:spacing w:after="0" w:line="240" w:lineRule="auto"/>
        <w:jc w:val="both"/>
        <w:rPr>
          <w:rFonts w:eastAsia="Calibri" w:cs="Arial"/>
          <w:b/>
          <w:lang w:eastAsia="es-ES"/>
        </w:rPr>
      </w:pPr>
      <w:r w:rsidRPr="00E2705A">
        <w:rPr>
          <w:rFonts w:eastAsia="Calibri" w:cs="Arial"/>
          <w:b/>
          <w:lang w:eastAsia="es-ES"/>
        </w:rPr>
        <w:t>CLASIFICACIÓN DE LOS ESTABLECIMIENTOS EDUCATIVOS PÚBLICOS EN PRUEBAS SABER 11 AÑO 2013</w:t>
      </w:r>
    </w:p>
    <w:p w:rsidR="00E2705A" w:rsidRPr="00E2705A" w:rsidRDefault="00E2705A" w:rsidP="00A92D87">
      <w:pPr>
        <w:spacing w:after="200" w:line="240" w:lineRule="auto"/>
        <w:jc w:val="both"/>
        <w:rPr>
          <w:rFonts w:eastAsia="Calibri" w:cs="Arial"/>
          <w:lang w:eastAsia="es-ES"/>
        </w:rPr>
      </w:pPr>
      <w:r w:rsidRPr="00E2705A">
        <w:rPr>
          <w:rFonts w:eastAsia="Calibri" w:cs="Arial"/>
          <w:lang w:eastAsia="es-ES"/>
        </w:rPr>
        <w:t>Realizado el análisis de la clasificación total de los  resultados de pruebas saber 11 a nivel de las instituciones educativas en el Municipio de Pasto   para el año 2013, con resultados obtenidos por   establecimientos participantes y se encuentras publicados por el ICFES como  de los que no fueron publicados  de acuerdo con el artículo 5° de la resolución 569 de 2011(inscripción extemporánea, planteles con menos de seis estudiantes evaluados, actuaciones administrativas, diferencia de matriculados Vs evaluados mayor al 10%,  DANE reportado por el colegio no coincide con el SIMAT, población 100% con discapacidad, matricula sin datos y  sin población en un año que se presenta al examen saber 11).</w:t>
      </w:r>
    </w:p>
    <w:p w:rsidR="00E2705A" w:rsidRPr="00E2705A" w:rsidRDefault="00E2705A" w:rsidP="00A92D87">
      <w:pPr>
        <w:spacing w:after="200" w:line="240" w:lineRule="auto"/>
        <w:jc w:val="both"/>
        <w:rPr>
          <w:rFonts w:eastAsia="Calibri" w:cs="Arial"/>
          <w:lang w:eastAsia="es-ES"/>
        </w:rPr>
      </w:pPr>
      <w:r w:rsidRPr="00E2705A">
        <w:rPr>
          <w:rFonts w:eastAsia="Calibri" w:cs="Arial"/>
          <w:lang w:eastAsia="es-ES"/>
        </w:rPr>
        <w:t xml:space="preserve">En la gráfica  No.  </w:t>
      </w:r>
      <w:r w:rsidR="007E5119" w:rsidRPr="00E2705A">
        <w:rPr>
          <w:rFonts w:eastAsia="Calibri" w:cs="Arial"/>
          <w:lang w:eastAsia="es-ES"/>
        </w:rPr>
        <w:t>Se</w:t>
      </w:r>
      <w:r w:rsidRPr="00E2705A">
        <w:rPr>
          <w:rFonts w:eastAsia="Calibri" w:cs="Arial"/>
          <w:lang w:eastAsia="es-ES"/>
        </w:rPr>
        <w:t xml:space="preserve"> puede observar </w:t>
      </w:r>
      <w:r w:rsidR="007E5119" w:rsidRPr="00E2705A">
        <w:rPr>
          <w:rFonts w:eastAsia="Calibri" w:cs="Arial"/>
          <w:lang w:eastAsia="es-ES"/>
        </w:rPr>
        <w:t>que para</w:t>
      </w:r>
      <w:r w:rsidRPr="00E2705A">
        <w:rPr>
          <w:rFonts w:eastAsia="Calibri" w:cs="Arial"/>
          <w:lang w:eastAsia="es-ES"/>
        </w:rPr>
        <w:t xml:space="preserve"> el año 2013 los establecimientos educativas se clasificaron así: en muy superior </w:t>
      </w:r>
      <w:r w:rsidR="007E5119" w:rsidRPr="00E2705A">
        <w:rPr>
          <w:rFonts w:eastAsia="Calibri" w:cs="Arial"/>
          <w:lang w:eastAsia="es-ES"/>
        </w:rPr>
        <w:t>el 10,59</w:t>
      </w:r>
      <w:r w:rsidRPr="00E2705A">
        <w:rPr>
          <w:rFonts w:eastAsia="Calibri" w:cs="Arial"/>
          <w:lang w:eastAsia="es-ES"/>
        </w:rPr>
        <w:t xml:space="preserve">% correspondiente a 9 colegios, en nivel superior </w:t>
      </w:r>
      <w:r w:rsidR="007E5119" w:rsidRPr="00E2705A">
        <w:rPr>
          <w:rFonts w:eastAsia="Calibri" w:cs="Arial"/>
          <w:lang w:eastAsia="es-ES"/>
        </w:rPr>
        <w:t>el 18.82</w:t>
      </w:r>
      <w:r w:rsidRPr="00E2705A">
        <w:rPr>
          <w:rFonts w:eastAsia="Calibri" w:cs="Arial"/>
          <w:lang w:eastAsia="es-ES"/>
        </w:rPr>
        <w:t xml:space="preserve">% (16 EE), en nivel alto el 29.41% equivalente a 25 EE, el 30.59% se clasifica en nivel medio correspondiente </w:t>
      </w:r>
      <w:r w:rsidR="007E5119" w:rsidRPr="00E2705A">
        <w:rPr>
          <w:rFonts w:eastAsia="Calibri" w:cs="Arial"/>
          <w:lang w:eastAsia="es-ES"/>
        </w:rPr>
        <w:t>a 26</w:t>
      </w:r>
      <w:r w:rsidRPr="00E2705A">
        <w:rPr>
          <w:rFonts w:eastAsia="Calibri" w:cs="Arial"/>
          <w:lang w:eastAsia="es-ES"/>
        </w:rPr>
        <w:t xml:space="preserve"> EE y en nivel bajo se encuentra el 10.59% (9 EE). </w:t>
      </w:r>
    </w:p>
    <w:p w:rsidR="00E2705A" w:rsidRPr="00E2705A" w:rsidRDefault="00E2705A" w:rsidP="00A92D87">
      <w:pPr>
        <w:spacing w:after="200" w:line="240" w:lineRule="auto"/>
        <w:jc w:val="center"/>
        <w:rPr>
          <w:rFonts w:eastAsia="Calibri" w:cs="Arial"/>
          <w:lang w:eastAsia="es-ES"/>
        </w:rPr>
      </w:pPr>
      <w:r w:rsidRPr="00E2705A">
        <w:rPr>
          <w:rFonts w:eastAsia="Calibri" w:cs="Arial"/>
          <w:b/>
          <w:lang w:eastAsia="es-ES"/>
        </w:rPr>
        <w:lastRenderedPageBreak/>
        <w:t>GRAFICO No.   CLASIFICACIÓN DE LOS PLANTELES EDUCATIVOS</w:t>
      </w:r>
      <w:r w:rsidRPr="00E2705A">
        <w:rPr>
          <w:rFonts w:eastAsia="Calibri" w:cs="Times New Roman"/>
          <w:noProof/>
          <w:lang w:val="es-ES" w:eastAsia="es-ES"/>
        </w:rPr>
        <w:drawing>
          <wp:inline distT="0" distB="0" distL="0" distR="0">
            <wp:extent cx="5419725" cy="3943350"/>
            <wp:effectExtent l="0" t="0" r="9525" b="1905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2705A" w:rsidRPr="00E2705A" w:rsidRDefault="00E2705A" w:rsidP="00A92D87">
      <w:pPr>
        <w:spacing w:after="200" w:line="240" w:lineRule="auto"/>
        <w:jc w:val="both"/>
        <w:rPr>
          <w:rFonts w:eastAsia="Calibri" w:cs="Arial"/>
          <w:lang w:eastAsia="es-ES"/>
        </w:rPr>
      </w:pPr>
      <w:r w:rsidRPr="00E2705A">
        <w:rPr>
          <w:rFonts w:eastAsia="Calibri" w:cs="Arial"/>
          <w:lang w:eastAsia="es-ES"/>
        </w:rPr>
        <w:t>Fuente: Subsecretaría de Calidad Educativa – Evaluación 2014</w:t>
      </w:r>
    </w:p>
    <w:p w:rsidR="00E2705A" w:rsidRPr="00E2705A" w:rsidRDefault="00E2705A" w:rsidP="00A92D87">
      <w:pPr>
        <w:spacing w:after="200" w:line="240" w:lineRule="auto"/>
        <w:jc w:val="both"/>
        <w:rPr>
          <w:rFonts w:eastAsia="Calibri" w:cs="Arial"/>
          <w:lang w:eastAsia="es-ES"/>
        </w:rPr>
      </w:pPr>
    </w:p>
    <w:p w:rsidR="00E2705A" w:rsidRPr="00E2705A" w:rsidRDefault="00E2705A" w:rsidP="00A92D87">
      <w:pPr>
        <w:spacing w:after="0" w:line="240" w:lineRule="auto"/>
        <w:contextualSpacing/>
        <w:jc w:val="both"/>
        <w:rPr>
          <w:rFonts w:eastAsia="Calibri" w:cs="Arial"/>
          <w:b/>
          <w:lang w:eastAsia="es-ES"/>
        </w:rPr>
      </w:pPr>
      <w:r w:rsidRPr="00E2705A">
        <w:rPr>
          <w:rFonts w:eastAsia="Calibri" w:cs="Arial"/>
          <w:b/>
          <w:i/>
          <w:lang w:eastAsia="es-ES"/>
        </w:rPr>
        <w:t>CLASIFICACIÓN COMPARATIVA ENTRE ESTABLECIMIENTOS EDUCATIVOS OFICIALES Y NO OFICIALES</w:t>
      </w:r>
      <w:r w:rsidRPr="00E2705A">
        <w:rPr>
          <w:rFonts w:eastAsia="Calibri" w:cs="Arial"/>
          <w:b/>
          <w:lang w:eastAsia="es-ES"/>
        </w:rPr>
        <w:t xml:space="preserve"> </w:t>
      </w:r>
    </w:p>
    <w:p w:rsidR="00E2705A" w:rsidRPr="00E2705A" w:rsidRDefault="00E2705A" w:rsidP="00A92D87">
      <w:pPr>
        <w:spacing w:after="0" w:line="240" w:lineRule="auto"/>
        <w:jc w:val="both"/>
        <w:rPr>
          <w:rFonts w:eastAsia="Calibri" w:cs="Arial"/>
          <w:b/>
          <w:lang w:eastAsia="es-ES"/>
        </w:rPr>
      </w:pPr>
    </w:p>
    <w:p w:rsidR="00E2705A" w:rsidRPr="00E2705A" w:rsidRDefault="00E2705A" w:rsidP="00A92D87">
      <w:pPr>
        <w:spacing w:after="200" w:line="240" w:lineRule="auto"/>
        <w:jc w:val="both"/>
        <w:rPr>
          <w:rFonts w:eastAsia="Calibri" w:cs="Arial"/>
          <w:lang w:eastAsia="es-ES"/>
        </w:rPr>
      </w:pPr>
      <w:r w:rsidRPr="00E2705A">
        <w:rPr>
          <w:rFonts w:eastAsia="Calibri" w:cs="Arial"/>
          <w:lang w:eastAsia="es-ES"/>
        </w:rPr>
        <w:t xml:space="preserve">El gráfico No.   establece un comparativo entre la clasificación de los planteles educativos oficiales y no oficiales para el año 2013 en pruebas saber 11, se puede observar que los establecimientos  educativos  no oficiales se ubican en mayor porcentaje (57.69%) en los niveles muy superior y superior, mientras los establecimientos educativos oficiales presentan mayor concentración en los niveles alto y medio alcanzando un porcentaje de 67.79%,  en el sector privado  ninguno de los establecimientos educativos se ubican en nivel bajo, sin embargo en el sector público se sitúa el 15.25% que corresponden a jornadas nocturnas y fines de semana (Decreto 3011 DE 1997; en el sector no oficial el mayor porcentaje de EE están en nivel superior con un 30.77% (8 E.E.) y el menor porcentaje se concentra en nivel alto con un 15.38 % (4 E.E.), en el sector oficial el comportamiento es diferente el mayor porcentaje de instituciones se ubican en nivel alto con un 35.59 % equivalente a 21 E.E. y el porcentaje más bajo se ubica en nivel muy superior con 3.39% (2 E.E.).  </w:t>
      </w:r>
    </w:p>
    <w:p w:rsidR="00E2705A" w:rsidRPr="00E2705A" w:rsidRDefault="00E2705A" w:rsidP="00A92D87">
      <w:pPr>
        <w:spacing w:after="0" w:line="240" w:lineRule="auto"/>
        <w:jc w:val="center"/>
        <w:rPr>
          <w:rFonts w:eastAsia="Times New Roman" w:cs="Arial"/>
          <w:b/>
          <w:bCs/>
          <w:color w:val="000000"/>
          <w:lang w:eastAsia="es-CO"/>
        </w:rPr>
      </w:pPr>
    </w:p>
    <w:p w:rsidR="00E2705A" w:rsidRPr="00E2705A" w:rsidRDefault="00E2705A" w:rsidP="00A92D87">
      <w:pPr>
        <w:spacing w:after="0" w:line="240" w:lineRule="auto"/>
        <w:jc w:val="center"/>
        <w:rPr>
          <w:rFonts w:eastAsia="Times New Roman" w:cs="Arial"/>
          <w:b/>
          <w:bCs/>
          <w:color w:val="000000"/>
          <w:lang w:eastAsia="es-CO"/>
        </w:rPr>
      </w:pPr>
    </w:p>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 xml:space="preserve">GRAFICO No. </w:t>
      </w:r>
    </w:p>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 xml:space="preserve">COMPARATIVO CLASIFICACIÓN ESTABLECIMIENTOS EDUCATIVOS OFICIALES Y NO OFICIALES </w:t>
      </w:r>
    </w:p>
    <w:p w:rsidR="00E2705A" w:rsidRPr="00E2705A" w:rsidRDefault="00E2705A" w:rsidP="00A92D87">
      <w:pPr>
        <w:spacing w:after="0" w:line="240" w:lineRule="auto"/>
        <w:jc w:val="center"/>
        <w:rPr>
          <w:rFonts w:eastAsia="Times New Roman" w:cs="Arial"/>
          <w:b/>
          <w:bCs/>
          <w:color w:val="000000"/>
          <w:lang w:eastAsia="es-CO"/>
        </w:rPr>
      </w:pPr>
    </w:p>
    <w:p w:rsidR="00E2705A" w:rsidRPr="00E2705A" w:rsidRDefault="00E2705A" w:rsidP="00A92D87">
      <w:pPr>
        <w:spacing w:after="0" w:line="240" w:lineRule="auto"/>
        <w:jc w:val="center"/>
        <w:rPr>
          <w:rFonts w:eastAsia="Times New Roman" w:cs="Arial"/>
          <w:b/>
          <w:bCs/>
          <w:color w:val="000000"/>
          <w:lang w:eastAsia="es-CO"/>
        </w:rPr>
      </w:pPr>
    </w:p>
    <w:p w:rsidR="00E2705A" w:rsidRPr="00E2705A" w:rsidRDefault="00E2705A" w:rsidP="00A92D87">
      <w:pPr>
        <w:spacing w:after="0" w:line="240" w:lineRule="auto"/>
        <w:jc w:val="center"/>
        <w:rPr>
          <w:rFonts w:eastAsia="Times New Roman" w:cs="Arial"/>
          <w:b/>
          <w:bCs/>
          <w:color w:val="000000"/>
          <w:lang w:eastAsia="es-CO"/>
        </w:rPr>
      </w:pPr>
      <w:r w:rsidRPr="00E2705A">
        <w:rPr>
          <w:rFonts w:eastAsia="Calibri" w:cs="Times New Roman"/>
          <w:noProof/>
          <w:lang w:val="es-ES" w:eastAsia="es-ES"/>
        </w:rPr>
        <w:drawing>
          <wp:inline distT="0" distB="0" distL="0" distR="0">
            <wp:extent cx="4572000" cy="3419475"/>
            <wp:effectExtent l="0" t="0" r="19050"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Fuente: Subsecretaria de Calidad 2014</w:t>
      </w:r>
    </w:p>
    <w:p w:rsidR="00E2705A" w:rsidRPr="00E2705A" w:rsidRDefault="00E2705A" w:rsidP="00A92D87">
      <w:pPr>
        <w:spacing w:after="0" w:line="240" w:lineRule="auto"/>
        <w:jc w:val="both"/>
        <w:rPr>
          <w:rFonts w:eastAsia="Calibri" w:cs="Arial"/>
          <w:b/>
          <w:lang w:eastAsia="es-ES"/>
        </w:rPr>
      </w:pPr>
    </w:p>
    <w:p w:rsidR="00E2705A" w:rsidRPr="00E2705A" w:rsidRDefault="00E2705A" w:rsidP="00A92D87">
      <w:pPr>
        <w:spacing w:after="0" w:line="240" w:lineRule="auto"/>
        <w:jc w:val="both"/>
        <w:rPr>
          <w:rFonts w:eastAsia="Calibri" w:cs="Arial"/>
          <w:b/>
          <w:lang w:eastAsia="es-ES"/>
        </w:rPr>
      </w:pPr>
    </w:p>
    <w:p w:rsidR="00E2705A" w:rsidRPr="00E2705A" w:rsidRDefault="00E2705A" w:rsidP="00A92D87">
      <w:pPr>
        <w:spacing w:after="0" w:line="240" w:lineRule="auto"/>
        <w:jc w:val="both"/>
        <w:rPr>
          <w:rFonts w:eastAsia="Calibri" w:cs="Arial"/>
          <w:b/>
          <w:lang w:eastAsia="es-ES"/>
        </w:rPr>
      </w:pPr>
    </w:p>
    <w:p w:rsidR="00E2705A" w:rsidRPr="00E2705A" w:rsidRDefault="00E2705A" w:rsidP="00A92D87">
      <w:pPr>
        <w:spacing w:after="0" w:line="240" w:lineRule="auto"/>
        <w:jc w:val="both"/>
        <w:rPr>
          <w:rFonts w:eastAsia="Calibri" w:cs="Arial"/>
          <w:lang w:eastAsia="es-ES"/>
        </w:rPr>
      </w:pPr>
      <w:r w:rsidRPr="00E2705A">
        <w:rPr>
          <w:rFonts w:eastAsia="Calibri" w:cs="Arial"/>
          <w:lang w:eastAsia="es-ES"/>
        </w:rPr>
        <w:t xml:space="preserve">En la Tabla  No. 8   se encuentra la relación de los establecimientos educativos que fueron publicado por el ICFES hasta el 31 de enero de 2014, la  clasificación va desde nivel muy superior hasta nivel bajo.  </w:t>
      </w:r>
    </w:p>
    <w:p w:rsidR="00E2705A" w:rsidRPr="00E2705A" w:rsidRDefault="00E2705A" w:rsidP="00A92D87">
      <w:pPr>
        <w:spacing w:after="200" w:line="240" w:lineRule="auto"/>
        <w:jc w:val="center"/>
        <w:rPr>
          <w:rFonts w:eastAsia="Calibri" w:cs="Arial"/>
          <w:b/>
          <w:lang w:eastAsia="es-ES"/>
        </w:rPr>
      </w:pPr>
    </w:p>
    <w:p w:rsidR="00E2705A" w:rsidRPr="00E2705A" w:rsidRDefault="00E2705A" w:rsidP="00A92D87">
      <w:pPr>
        <w:spacing w:after="200" w:line="240" w:lineRule="auto"/>
        <w:jc w:val="center"/>
        <w:rPr>
          <w:rFonts w:eastAsia="Calibri" w:cs="Arial"/>
          <w:b/>
          <w:lang w:eastAsia="es-ES"/>
        </w:rPr>
      </w:pPr>
      <w:r w:rsidRPr="00E2705A">
        <w:rPr>
          <w:rFonts w:eastAsia="Calibri" w:cs="Arial"/>
          <w:b/>
          <w:lang w:eastAsia="es-ES"/>
        </w:rPr>
        <w:t>Tabla No. 8  CLASIFICACIÓN DE LOS ESTABLECIMIENTOS EDUCATIVOS PUBLICADOS EN                               PRUEBAS  SABER 11 AÑO 2013</w:t>
      </w:r>
    </w:p>
    <w:tbl>
      <w:tblPr>
        <w:tblW w:w="7953" w:type="dxa"/>
        <w:jc w:val="center"/>
        <w:tblLayout w:type="fixed"/>
        <w:tblCellMar>
          <w:left w:w="70" w:type="dxa"/>
          <w:right w:w="70" w:type="dxa"/>
        </w:tblCellMar>
        <w:tblLook w:val="04A0"/>
      </w:tblPr>
      <w:tblGrid>
        <w:gridCol w:w="4126"/>
        <w:gridCol w:w="1985"/>
        <w:gridCol w:w="1842"/>
      </w:tblGrid>
      <w:tr w:rsidR="00E2705A" w:rsidRPr="00E2705A" w:rsidTr="00000F81">
        <w:trPr>
          <w:trHeight w:val="675"/>
          <w:jc w:val="center"/>
        </w:trPr>
        <w:tc>
          <w:tcPr>
            <w:tcW w:w="4126"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jc w:val="center"/>
              <w:rPr>
                <w:rFonts w:eastAsia="Times New Roman" w:cs="Calibri"/>
                <w:b/>
                <w:bCs/>
                <w:color w:val="000000"/>
                <w:lang w:eastAsia="es-CO"/>
              </w:rPr>
            </w:pPr>
            <w:r w:rsidRPr="00E2705A">
              <w:rPr>
                <w:rFonts w:eastAsia="Times New Roman" w:cs="Calibri"/>
                <w:b/>
                <w:bCs/>
                <w:color w:val="000000"/>
                <w:lang w:eastAsia="es-CO"/>
              </w:rPr>
              <w:t>ESTABLECIMIENTO  EDUCATIVO</w:t>
            </w:r>
          </w:p>
        </w:tc>
        <w:tc>
          <w:tcPr>
            <w:tcW w:w="1985" w:type="dxa"/>
            <w:tcBorders>
              <w:top w:val="single" w:sz="4" w:space="0" w:color="auto"/>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jc w:val="center"/>
              <w:rPr>
                <w:rFonts w:eastAsia="Times New Roman" w:cs="Calibri"/>
                <w:b/>
                <w:bCs/>
                <w:color w:val="000000"/>
                <w:lang w:eastAsia="es-CO"/>
              </w:rPr>
            </w:pPr>
            <w:r w:rsidRPr="00E2705A">
              <w:rPr>
                <w:rFonts w:eastAsia="Times New Roman" w:cs="Calibri"/>
                <w:b/>
                <w:bCs/>
                <w:color w:val="000000"/>
                <w:lang w:eastAsia="es-CO"/>
              </w:rPr>
              <w:t>JORNADA</w:t>
            </w:r>
          </w:p>
        </w:tc>
        <w:tc>
          <w:tcPr>
            <w:tcW w:w="1842" w:type="dxa"/>
            <w:tcBorders>
              <w:top w:val="single" w:sz="4" w:space="0" w:color="auto"/>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jc w:val="center"/>
              <w:rPr>
                <w:rFonts w:eastAsia="Times New Roman" w:cs="Calibri"/>
                <w:b/>
                <w:bCs/>
                <w:color w:val="000000"/>
                <w:lang w:eastAsia="es-CO"/>
              </w:rPr>
            </w:pPr>
            <w:r w:rsidRPr="00E2705A">
              <w:rPr>
                <w:rFonts w:eastAsia="Times New Roman" w:cs="Calibri"/>
                <w:b/>
                <w:bCs/>
                <w:color w:val="000000"/>
                <w:lang w:eastAsia="es-CO"/>
              </w:rPr>
              <w:t>CATEGORIA</w:t>
            </w:r>
          </w:p>
        </w:tc>
      </w:tr>
      <w:tr w:rsidR="00E2705A" w:rsidRPr="00E2705A" w:rsidTr="00000F81">
        <w:trPr>
          <w:trHeight w:val="383"/>
          <w:jc w:val="center"/>
        </w:trPr>
        <w:tc>
          <w:tcPr>
            <w:tcW w:w="4126" w:type="dxa"/>
            <w:tcBorders>
              <w:top w:val="nil"/>
              <w:left w:val="single" w:sz="4" w:space="0" w:color="auto"/>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CIUDAD DE PASTO - SEDE PRINCIPAL</w:t>
            </w:r>
          </w:p>
        </w:tc>
        <w:tc>
          <w:tcPr>
            <w:tcW w:w="1985"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MUY SUPERIOR</w:t>
            </w:r>
          </w:p>
        </w:tc>
      </w:tr>
      <w:tr w:rsidR="00E2705A" w:rsidRPr="00E2705A" w:rsidTr="00000F81">
        <w:trPr>
          <w:trHeight w:val="420"/>
          <w:jc w:val="center"/>
        </w:trPr>
        <w:tc>
          <w:tcPr>
            <w:tcW w:w="4126" w:type="dxa"/>
            <w:tcBorders>
              <w:top w:val="nil"/>
              <w:left w:val="single" w:sz="4" w:space="0" w:color="auto"/>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COMFAMILIAR DE NARIÑO SIGLO XXI</w:t>
            </w:r>
          </w:p>
        </w:tc>
        <w:tc>
          <w:tcPr>
            <w:tcW w:w="1985"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MUY SUPERIOR</w:t>
            </w:r>
          </w:p>
        </w:tc>
      </w:tr>
      <w:tr w:rsidR="00E2705A" w:rsidRPr="00E2705A" w:rsidTr="00000F81">
        <w:trPr>
          <w:trHeight w:val="345"/>
          <w:jc w:val="center"/>
        </w:trPr>
        <w:tc>
          <w:tcPr>
            <w:tcW w:w="4126" w:type="dxa"/>
            <w:tcBorders>
              <w:top w:val="nil"/>
              <w:left w:val="single" w:sz="4" w:space="0" w:color="auto"/>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LA INMACULADA</w:t>
            </w:r>
          </w:p>
        </w:tc>
        <w:tc>
          <w:tcPr>
            <w:tcW w:w="1985"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MUY SUPERIOR</w:t>
            </w:r>
          </w:p>
        </w:tc>
      </w:tr>
      <w:tr w:rsidR="00E2705A" w:rsidRPr="00E2705A" w:rsidTr="00000F81">
        <w:trPr>
          <w:trHeight w:val="265"/>
          <w:jc w:val="center"/>
        </w:trPr>
        <w:tc>
          <w:tcPr>
            <w:tcW w:w="4126" w:type="dxa"/>
            <w:tcBorders>
              <w:top w:val="nil"/>
              <w:left w:val="single" w:sz="4" w:space="0" w:color="auto"/>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lastRenderedPageBreak/>
              <w:t>LICEO DE LA MERCED MARIDIAZ</w:t>
            </w:r>
          </w:p>
        </w:tc>
        <w:tc>
          <w:tcPr>
            <w:tcW w:w="1985"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MUY SUPERIOR</w:t>
            </w:r>
          </w:p>
        </w:tc>
      </w:tr>
      <w:tr w:rsidR="00E2705A" w:rsidRPr="00E2705A" w:rsidTr="00000F81">
        <w:trPr>
          <w:trHeight w:val="283"/>
          <w:jc w:val="center"/>
        </w:trPr>
        <w:tc>
          <w:tcPr>
            <w:tcW w:w="4126" w:type="dxa"/>
            <w:tcBorders>
              <w:top w:val="nil"/>
              <w:left w:val="single" w:sz="4" w:space="0" w:color="auto"/>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SAN FRANCISCO JAVIER</w:t>
            </w:r>
          </w:p>
        </w:tc>
        <w:tc>
          <w:tcPr>
            <w:tcW w:w="1985"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COMPLETA</w:t>
            </w:r>
          </w:p>
        </w:tc>
        <w:tc>
          <w:tcPr>
            <w:tcW w:w="1842"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MUY SUPERIOR</w:t>
            </w:r>
          </w:p>
        </w:tc>
      </w:tr>
      <w:tr w:rsidR="00E2705A" w:rsidRPr="00E2705A" w:rsidTr="00000F81">
        <w:trPr>
          <w:trHeight w:val="543"/>
          <w:jc w:val="center"/>
        </w:trPr>
        <w:tc>
          <w:tcPr>
            <w:tcW w:w="4126" w:type="dxa"/>
            <w:tcBorders>
              <w:top w:val="nil"/>
              <w:left w:val="single" w:sz="4" w:space="0" w:color="auto"/>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DEL SGDO CORAZON DE JESUS BETHLEMITAS</w:t>
            </w:r>
          </w:p>
        </w:tc>
        <w:tc>
          <w:tcPr>
            <w:tcW w:w="1985"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MUY SUPERIOR</w:t>
            </w:r>
          </w:p>
        </w:tc>
      </w:tr>
      <w:tr w:rsidR="00E2705A" w:rsidRPr="00E2705A" w:rsidTr="00000F81">
        <w:trPr>
          <w:trHeight w:val="332"/>
          <w:jc w:val="center"/>
        </w:trPr>
        <w:tc>
          <w:tcPr>
            <w:tcW w:w="4126" w:type="dxa"/>
            <w:tcBorders>
              <w:top w:val="nil"/>
              <w:left w:val="single" w:sz="4" w:space="0" w:color="auto"/>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INST CHAMPAGNAT</w:t>
            </w:r>
          </w:p>
        </w:tc>
        <w:tc>
          <w:tcPr>
            <w:tcW w:w="1985"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MUY SUPERIOR</w:t>
            </w:r>
          </w:p>
        </w:tc>
      </w:tr>
      <w:tr w:rsidR="00E2705A" w:rsidRPr="00E2705A" w:rsidTr="00000F81">
        <w:trPr>
          <w:trHeight w:val="557"/>
          <w:jc w:val="center"/>
        </w:trPr>
        <w:tc>
          <w:tcPr>
            <w:tcW w:w="4126" w:type="dxa"/>
            <w:tcBorders>
              <w:top w:val="nil"/>
              <w:left w:val="single" w:sz="4" w:space="0" w:color="auto"/>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FILIPENSE NUESTRA SRA DE LA ESPERANZA</w:t>
            </w:r>
          </w:p>
        </w:tc>
        <w:tc>
          <w:tcPr>
            <w:tcW w:w="1985"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MUY SUPERIOR</w:t>
            </w:r>
          </w:p>
        </w:tc>
      </w:tr>
      <w:tr w:rsidR="00E2705A" w:rsidRPr="00E2705A" w:rsidTr="00000F81">
        <w:trPr>
          <w:trHeight w:val="507"/>
          <w:jc w:val="center"/>
        </w:trPr>
        <w:tc>
          <w:tcPr>
            <w:tcW w:w="4126" w:type="dxa"/>
            <w:tcBorders>
              <w:top w:val="nil"/>
              <w:left w:val="single" w:sz="4" w:space="0" w:color="auto"/>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LIC INTEGD DE BTO UNIVERSIDAD DE NARIÑO - SEDE PRINCIPAL</w:t>
            </w:r>
          </w:p>
        </w:tc>
        <w:tc>
          <w:tcPr>
            <w:tcW w:w="1985"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EBF1DE"/>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MUY SUPERIOR</w:t>
            </w:r>
          </w:p>
        </w:tc>
      </w:tr>
      <w:tr w:rsidR="00E2705A" w:rsidRPr="00E2705A" w:rsidTr="00000F81">
        <w:trPr>
          <w:trHeight w:val="405"/>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MORASURCO - SEDE PRINCIPAL</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553"/>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NUESTRA SEÑORA DE LAS LAJAS - SEDE PRINCIPAL</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401"/>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CIUDAD DE PASTO - SEDE PRINCIPAL</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TARDE</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617"/>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COLEGIO MI PEQUEÑO MUNDO GIMNASIO LOS ANDES</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359"/>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NUESTRA SRA DEL CARMEN</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335"/>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SAN FELIPE NERI</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353"/>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INST SAN FRANCISCO DE ASIS</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567"/>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CIUDADELA EDUC DE PASTO - SEDE PRINCIPAL</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407"/>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LIBERTAD - SEDE PRINCIPAL</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560"/>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TECNICO INDUSTRIAL DE PASTO - SEDE PRINCIPAL</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TARDE</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426"/>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SAN JOSE BETHLEMITAS - SEDE PRINCIPAL</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416"/>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MUSICAL BRITANICO</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563"/>
          <w:jc w:val="center"/>
        </w:trPr>
        <w:tc>
          <w:tcPr>
            <w:tcW w:w="4126" w:type="dxa"/>
            <w:tcBorders>
              <w:top w:val="nil"/>
              <w:left w:val="single" w:sz="4" w:space="0" w:color="auto"/>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NORMAL SUPERIOR DE PASTO - SEDE PRINCIPAL</w:t>
            </w:r>
          </w:p>
        </w:tc>
        <w:tc>
          <w:tcPr>
            <w:tcW w:w="1985"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CC0DA"/>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SUPERIOR</w:t>
            </w:r>
          </w:p>
        </w:tc>
      </w:tr>
      <w:tr w:rsidR="00E2705A" w:rsidRPr="00E2705A" w:rsidTr="00000F81">
        <w:trPr>
          <w:trHeight w:val="415"/>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MERCEDARIO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407"/>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PEDAGOGICO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555"/>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LUIS EDUARDO MORA OSEJO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454"/>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TECNICO INDUSTRIAL DE PASTO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320"/>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LA ROSA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267"/>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MILITAR COLOMBIA</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286"/>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LICEO JOSE FELIX JIMENEZ</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275"/>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GUALMATAN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567"/>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lastRenderedPageBreak/>
              <w:t>I.E.M. MARCO FIDEL SUÁREZ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TARDE</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260"/>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SAN JUAN BOSCO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553"/>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AGUSTIN AGUALONGO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291"/>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COL MPAL CHAMBU</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551"/>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CENT DE INTEGRACION POPULAR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545"/>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LIC CENTRAL DE NARIÑO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264"/>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LIBERTAD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TARDE</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551"/>
          <w:jc w:val="center"/>
        </w:trPr>
        <w:tc>
          <w:tcPr>
            <w:tcW w:w="4126" w:type="dxa"/>
            <w:tcBorders>
              <w:top w:val="nil"/>
              <w:left w:val="single" w:sz="4" w:space="0" w:color="auto"/>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NORMAL SUPERIOR DE PASTO - SEDE PRINCIPAL</w:t>
            </w:r>
          </w:p>
        </w:tc>
        <w:tc>
          <w:tcPr>
            <w:tcW w:w="1985"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TARDE</w:t>
            </w:r>
          </w:p>
        </w:tc>
        <w:tc>
          <w:tcPr>
            <w:tcW w:w="1842" w:type="dxa"/>
            <w:tcBorders>
              <w:top w:val="nil"/>
              <w:left w:val="nil"/>
              <w:bottom w:val="single" w:sz="4" w:space="0" w:color="auto"/>
              <w:right w:val="single" w:sz="4" w:space="0" w:color="auto"/>
            </w:tcBorders>
            <w:shd w:val="clear" w:color="000000" w:fill="FDE9D9"/>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ALTO</w:t>
            </w:r>
          </w:p>
        </w:tc>
      </w:tr>
      <w:tr w:rsidR="00E2705A" w:rsidRPr="00E2705A" w:rsidTr="00000F81">
        <w:trPr>
          <w:trHeight w:val="559"/>
          <w:jc w:val="center"/>
        </w:trPr>
        <w:tc>
          <w:tcPr>
            <w:tcW w:w="4126" w:type="dxa"/>
            <w:tcBorders>
              <w:top w:val="nil"/>
              <w:left w:val="single" w:sz="4" w:space="0" w:color="auto"/>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JOSE ANTONIO GALAN - SEDE PRINCIPAL</w:t>
            </w:r>
          </w:p>
        </w:tc>
        <w:tc>
          <w:tcPr>
            <w:tcW w:w="1985"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553"/>
          <w:jc w:val="center"/>
        </w:trPr>
        <w:tc>
          <w:tcPr>
            <w:tcW w:w="4126" w:type="dxa"/>
            <w:tcBorders>
              <w:top w:val="nil"/>
              <w:left w:val="single" w:sz="4" w:space="0" w:color="auto"/>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EDUARDO ROMO ROSERO - SEDE PRINCIPAL</w:t>
            </w:r>
          </w:p>
        </w:tc>
        <w:tc>
          <w:tcPr>
            <w:tcW w:w="1985"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TARDE</w:t>
            </w:r>
          </w:p>
        </w:tc>
        <w:tc>
          <w:tcPr>
            <w:tcW w:w="1842"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575"/>
          <w:jc w:val="center"/>
        </w:trPr>
        <w:tc>
          <w:tcPr>
            <w:tcW w:w="4126" w:type="dxa"/>
            <w:tcBorders>
              <w:top w:val="nil"/>
              <w:left w:val="single" w:sz="4" w:space="0" w:color="auto"/>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LIC CENTRAL DE NARIÑO - SEDE PRINCIPAL</w:t>
            </w:r>
          </w:p>
        </w:tc>
        <w:tc>
          <w:tcPr>
            <w:tcW w:w="1985"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TARDE</w:t>
            </w:r>
          </w:p>
        </w:tc>
        <w:tc>
          <w:tcPr>
            <w:tcW w:w="1842"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418"/>
          <w:jc w:val="center"/>
        </w:trPr>
        <w:tc>
          <w:tcPr>
            <w:tcW w:w="4126" w:type="dxa"/>
            <w:tcBorders>
              <w:top w:val="nil"/>
              <w:left w:val="single" w:sz="4" w:space="0" w:color="auto"/>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SEDE LA MAGDALENA</w:t>
            </w:r>
          </w:p>
        </w:tc>
        <w:tc>
          <w:tcPr>
            <w:tcW w:w="1985"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418"/>
          <w:jc w:val="center"/>
        </w:trPr>
        <w:tc>
          <w:tcPr>
            <w:tcW w:w="4126" w:type="dxa"/>
            <w:tcBorders>
              <w:top w:val="nil"/>
              <w:left w:val="single" w:sz="4" w:space="0" w:color="auto"/>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MOCONDINO - SEDE PRINCIPAL</w:t>
            </w:r>
          </w:p>
        </w:tc>
        <w:tc>
          <w:tcPr>
            <w:tcW w:w="1985"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FABF8F"/>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424"/>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LIC SANTA TERESITA DE PASTO</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TARDE</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558"/>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AURELIO ARTURO MARTINEZ - SEDE PRINCIPAL</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TARDE</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410"/>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SANTA BÁRBARA - SEDE PRINCIPAL</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416"/>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SANTA TERESITA - SEDE PRINCIPAL</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280"/>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OBONUCO - SEDE PRINCIPAL</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554"/>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FRANCISCO JOSE DE CALDAS - SEDE PRINCIPAL</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419"/>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SEDE COL EL ENCANO</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539"/>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ARTEMIO MENDOZA CARVAJAL - SEDE PRINCIPAL</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292"/>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INST EDUC LUISEG</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409"/>
          <w:jc w:val="center"/>
        </w:trPr>
        <w:tc>
          <w:tcPr>
            <w:tcW w:w="4126" w:type="dxa"/>
            <w:tcBorders>
              <w:top w:val="nil"/>
              <w:left w:val="single" w:sz="4" w:space="0" w:color="auto"/>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I.E.M. CRISTO REY - SEDE PRINCIPAL</w:t>
            </w:r>
          </w:p>
        </w:tc>
        <w:tc>
          <w:tcPr>
            <w:tcW w:w="1985"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C5D9F1"/>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MEDIO</w:t>
            </w:r>
          </w:p>
        </w:tc>
      </w:tr>
      <w:tr w:rsidR="00E2705A" w:rsidRPr="00E2705A" w:rsidTr="00000F81">
        <w:trPr>
          <w:trHeight w:val="415"/>
          <w:jc w:val="center"/>
        </w:trPr>
        <w:tc>
          <w:tcPr>
            <w:tcW w:w="4126" w:type="dxa"/>
            <w:tcBorders>
              <w:top w:val="nil"/>
              <w:left w:val="single" w:sz="4" w:space="0" w:color="auto"/>
              <w:bottom w:val="single" w:sz="4" w:space="0" w:color="auto"/>
              <w:right w:val="single" w:sz="4" w:space="0" w:color="auto"/>
            </w:tcBorders>
            <w:shd w:val="clear" w:color="000000" w:fill="DA9694"/>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LICEO JOSE FELIX JIMENEZ - SEDE PRINCIPAL</w:t>
            </w:r>
          </w:p>
        </w:tc>
        <w:tc>
          <w:tcPr>
            <w:tcW w:w="1985" w:type="dxa"/>
            <w:tcBorders>
              <w:top w:val="nil"/>
              <w:left w:val="nil"/>
              <w:bottom w:val="single" w:sz="4" w:space="0" w:color="auto"/>
              <w:right w:val="single" w:sz="4" w:space="0" w:color="auto"/>
            </w:tcBorders>
            <w:shd w:val="clear" w:color="000000" w:fill="DA9694"/>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FIN DE SEMANA</w:t>
            </w:r>
          </w:p>
        </w:tc>
        <w:tc>
          <w:tcPr>
            <w:tcW w:w="1842" w:type="dxa"/>
            <w:tcBorders>
              <w:top w:val="nil"/>
              <w:left w:val="nil"/>
              <w:bottom w:val="single" w:sz="4" w:space="0" w:color="auto"/>
              <w:right w:val="single" w:sz="4" w:space="0" w:color="auto"/>
            </w:tcBorders>
            <w:shd w:val="clear" w:color="000000" w:fill="DA9694"/>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BAJO</w:t>
            </w:r>
          </w:p>
        </w:tc>
      </w:tr>
      <w:tr w:rsidR="00E2705A" w:rsidRPr="00E2705A" w:rsidTr="00000F81">
        <w:trPr>
          <w:trHeight w:val="407"/>
          <w:jc w:val="center"/>
        </w:trPr>
        <w:tc>
          <w:tcPr>
            <w:tcW w:w="4126" w:type="dxa"/>
            <w:tcBorders>
              <w:top w:val="nil"/>
              <w:left w:val="single" w:sz="4" w:space="0" w:color="auto"/>
              <w:bottom w:val="single" w:sz="4" w:space="0" w:color="auto"/>
              <w:right w:val="single" w:sz="4" w:space="0" w:color="auto"/>
            </w:tcBorders>
            <w:shd w:val="clear" w:color="000000" w:fill="DA9694"/>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SEDE LORENZO DE ALDANA</w:t>
            </w:r>
          </w:p>
        </w:tc>
        <w:tc>
          <w:tcPr>
            <w:tcW w:w="1985" w:type="dxa"/>
            <w:tcBorders>
              <w:top w:val="nil"/>
              <w:left w:val="nil"/>
              <w:bottom w:val="single" w:sz="4" w:space="0" w:color="auto"/>
              <w:right w:val="single" w:sz="4" w:space="0" w:color="auto"/>
            </w:tcBorders>
            <w:shd w:val="clear" w:color="000000" w:fill="DA9694"/>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NOCTURNO</w:t>
            </w:r>
          </w:p>
        </w:tc>
        <w:tc>
          <w:tcPr>
            <w:tcW w:w="1842" w:type="dxa"/>
            <w:tcBorders>
              <w:top w:val="nil"/>
              <w:left w:val="nil"/>
              <w:bottom w:val="single" w:sz="4" w:space="0" w:color="auto"/>
              <w:right w:val="single" w:sz="4" w:space="0" w:color="auto"/>
            </w:tcBorders>
            <w:shd w:val="clear" w:color="000000" w:fill="DA9694"/>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BAJO</w:t>
            </w:r>
          </w:p>
        </w:tc>
      </w:tr>
      <w:tr w:rsidR="00E2705A" w:rsidRPr="00E2705A" w:rsidTr="00000F81">
        <w:trPr>
          <w:trHeight w:val="427"/>
          <w:jc w:val="center"/>
        </w:trPr>
        <w:tc>
          <w:tcPr>
            <w:tcW w:w="4126" w:type="dxa"/>
            <w:tcBorders>
              <w:top w:val="nil"/>
              <w:left w:val="single" w:sz="4" w:space="0" w:color="auto"/>
              <w:bottom w:val="single" w:sz="4" w:space="0" w:color="auto"/>
              <w:right w:val="single" w:sz="4" w:space="0" w:color="auto"/>
            </w:tcBorders>
            <w:shd w:val="clear" w:color="000000" w:fill="DA9694"/>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SEDE CAPUSIGRA</w:t>
            </w:r>
          </w:p>
        </w:tc>
        <w:tc>
          <w:tcPr>
            <w:tcW w:w="1985" w:type="dxa"/>
            <w:tcBorders>
              <w:top w:val="nil"/>
              <w:left w:val="nil"/>
              <w:bottom w:val="single" w:sz="4" w:space="0" w:color="auto"/>
              <w:right w:val="single" w:sz="4" w:space="0" w:color="auto"/>
            </w:tcBorders>
            <w:shd w:val="clear" w:color="000000" w:fill="DA9694"/>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MAÑANA</w:t>
            </w:r>
          </w:p>
        </w:tc>
        <w:tc>
          <w:tcPr>
            <w:tcW w:w="1842" w:type="dxa"/>
            <w:tcBorders>
              <w:top w:val="nil"/>
              <w:left w:val="nil"/>
              <w:bottom w:val="single" w:sz="4" w:space="0" w:color="auto"/>
              <w:right w:val="single" w:sz="4" w:space="0" w:color="auto"/>
            </w:tcBorders>
            <w:shd w:val="clear" w:color="000000" w:fill="DA9694"/>
            <w:vAlign w:val="center"/>
            <w:hideMark/>
          </w:tcPr>
          <w:p w:rsidR="00E2705A" w:rsidRPr="00E2705A" w:rsidRDefault="00E2705A" w:rsidP="00A92D87">
            <w:pPr>
              <w:spacing w:after="0" w:line="240" w:lineRule="auto"/>
              <w:rPr>
                <w:rFonts w:eastAsia="Times New Roman" w:cs="Calibri"/>
                <w:color w:val="000000"/>
                <w:lang w:eastAsia="es-CO"/>
              </w:rPr>
            </w:pPr>
            <w:r w:rsidRPr="00E2705A">
              <w:rPr>
                <w:rFonts w:eastAsia="Times New Roman" w:cs="Calibri"/>
                <w:color w:val="000000"/>
                <w:lang w:eastAsia="es-CO"/>
              </w:rPr>
              <w:t>BAJO</w:t>
            </w:r>
          </w:p>
        </w:tc>
      </w:tr>
    </w:tbl>
    <w:p w:rsidR="00E2705A" w:rsidRPr="00E2705A" w:rsidRDefault="00E2705A" w:rsidP="00A92D87">
      <w:pPr>
        <w:spacing w:after="200" w:line="240" w:lineRule="auto"/>
        <w:jc w:val="both"/>
        <w:rPr>
          <w:rFonts w:eastAsia="Calibri" w:cs="Arial"/>
          <w:lang w:eastAsia="es-ES"/>
        </w:rPr>
      </w:pPr>
      <w:r w:rsidRPr="00E2705A">
        <w:rPr>
          <w:rFonts w:eastAsia="Calibri" w:cs="Arial"/>
          <w:lang w:eastAsia="es-ES"/>
        </w:rPr>
        <w:lastRenderedPageBreak/>
        <w:t xml:space="preserve">             Fuente: ICFES interactivo 2013</w:t>
      </w:r>
    </w:p>
    <w:p w:rsidR="00E2705A" w:rsidRPr="00E2705A" w:rsidRDefault="00E2705A" w:rsidP="00A92D87">
      <w:pPr>
        <w:spacing w:before="120" w:after="120" w:line="240" w:lineRule="auto"/>
        <w:jc w:val="both"/>
        <w:rPr>
          <w:rFonts w:eastAsia="Times New Roman" w:cs="Arial"/>
          <w:b/>
          <w:i/>
          <w:lang w:eastAsia="es-ES"/>
        </w:rPr>
      </w:pPr>
      <w:r w:rsidRPr="00E2705A">
        <w:rPr>
          <w:rFonts w:eastAsia="Times New Roman" w:cs="Arial"/>
          <w:b/>
          <w:i/>
          <w:lang w:eastAsia="es-ES"/>
        </w:rPr>
        <w:t xml:space="preserve">TENDENCIA DE CLASIFICACIÓN DE PLANTELES EDUCATIVOS EN  PRUEBAS SABER 11 DESDE    </w:t>
      </w:r>
    </w:p>
    <w:p w:rsidR="00E2705A" w:rsidRPr="00E2705A" w:rsidRDefault="00E2705A" w:rsidP="00A92D87">
      <w:pPr>
        <w:spacing w:before="120" w:after="120" w:line="240" w:lineRule="auto"/>
        <w:jc w:val="both"/>
        <w:rPr>
          <w:rFonts w:eastAsia="Times New Roman" w:cs="Arial"/>
          <w:b/>
          <w:i/>
          <w:lang w:eastAsia="es-ES"/>
        </w:rPr>
      </w:pPr>
      <w:r w:rsidRPr="00E2705A">
        <w:rPr>
          <w:rFonts w:eastAsia="Times New Roman" w:cs="Arial"/>
          <w:b/>
          <w:i/>
          <w:lang w:eastAsia="es-ES"/>
        </w:rPr>
        <w:t xml:space="preserve">             </w:t>
      </w:r>
      <w:r w:rsidRPr="00E2705A">
        <w:rPr>
          <w:rFonts w:eastAsia="Times New Roman" w:cs="Arial"/>
          <w:b/>
          <w:i/>
          <w:lang w:eastAsia="es-ES"/>
        </w:rPr>
        <w:tab/>
      </w:r>
      <w:r w:rsidRPr="00E2705A">
        <w:rPr>
          <w:rFonts w:eastAsia="Times New Roman" w:cs="Arial"/>
          <w:b/>
          <w:i/>
          <w:lang w:eastAsia="es-ES"/>
        </w:rPr>
        <w:tab/>
      </w:r>
      <w:r w:rsidRPr="00E2705A">
        <w:rPr>
          <w:rFonts w:eastAsia="Times New Roman" w:cs="Arial"/>
          <w:b/>
          <w:i/>
          <w:lang w:eastAsia="es-ES"/>
        </w:rPr>
        <w:tab/>
      </w:r>
      <w:r w:rsidRPr="00E2705A">
        <w:rPr>
          <w:rFonts w:eastAsia="Times New Roman" w:cs="Arial"/>
          <w:b/>
          <w:i/>
          <w:lang w:eastAsia="es-ES"/>
        </w:rPr>
        <w:tab/>
      </w:r>
      <w:r w:rsidRPr="00E2705A">
        <w:rPr>
          <w:rFonts w:eastAsia="Times New Roman" w:cs="Arial"/>
          <w:b/>
          <w:i/>
          <w:lang w:eastAsia="es-ES"/>
        </w:rPr>
        <w:tab/>
        <w:t>AÑO 2009 HASTA 2013</w:t>
      </w:r>
    </w:p>
    <w:p w:rsidR="00E2705A" w:rsidRPr="00E2705A" w:rsidRDefault="00E2705A" w:rsidP="00A92D87">
      <w:pPr>
        <w:spacing w:before="120" w:after="120" w:line="240" w:lineRule="auto"/>
        <w:jc w:val="both"/>
        <w:rPr>
          <w:rFonts w:eastAsia="Times New Roman" w:cs="Arial"/>
          <w:lang w:eastAsia="es-ES"/>
        </w:rPr>
      </w:pPr>
      <w:r w:rsidRPr="00E2705A">
        <w:rPr>
          <w:rFonts w:eastAsia="Times New Roman" w:cs="Arial"/>
          <w:lang w:eastAsia="es-ES"/>
        </w:rPr>
        <w:t>En la tabla No. 9  se considera que la clasificación de los establecimientos educativos oficiales en pruebas saber 11 desde el año 2009 hasta el año 2013,  se observa que la tendencia en el nivel inferior ha sido decreciente en los tres últimos años  ningún establecimiento educativo se encuentra en este nivel, en los otros niveles  no se observa una tendencia representativa, se puede destacar que en los años 2009 y 2013 el mayor número de instituciones se encuentra en nivel alto; en los años 2010, 2011 y 2012 en nivel medio se ubican la mayoría de estudiantes.</w:t>
      </w:r>
    </w:p>
    <w:p w:rsidR="00E2705A" w:rsidRPr="00E2705A" w:rsidRDefault="00E2705A" w:rsidP="00A92D87">
      <w:pPr>
        <w:spacing w:before="120" w:after="120" w:line="240" w:lineRule="auto"/>
        <w:jc w:val="both"/>
        <w:rPr>
          <w:rFonts w:eastAsia="Times New Roman" w:cs="Arial"/>
          <w:lang w:eastAsia="es-ES"/>
        </w:rPr>
      </w:pPr>
    </w:p>
    <w:p w:rsidR="00E2705A" w:rsidRPr="00E2705A" w:rsidRDefault="00E2705A" w:rsidP="00A92D87">
      <w:pPr>
        <w:spacing w:before="120" w:after="120" w:line="240" w:lineRule="auto"/>
        <w:jc w:val="center"/>
        <w:rPr>
          <w:rFonts w:eastAsia="Times New Roman" w:cs="Arial"/>
          <w:lang w:eastAsia="es-ES"/>
        </w:rPr>
      </w:pPr>
      <w:r w:rsidRPr="00E2705A">
        <w:rPr>
          <w:rFonts w:eastAsia="Times New Roman" w:cs="Arial"/>
          <w:b/>
          <w:lang w:eastAsia="es-ES"/>
        </w:rPr>
        <w:t>Tabla No. 9 TENDENCIA DE CLASIFICACIÓN DE PLANTELES EDUCATIVOS EN  PRUEBAS  SABER 11 DESDE                 AÑO 2009 HASTA 2013</w:t>
      </w:r>
    </w:p>
    <w:tbl>
      <w:tblPr>
        <w:tblW w:w="8180" w:type="dxa"/>
        <w:jc w:val="center"/>
        <w:tblCellMar>
          <w:left w:w="70" w:type="dxa"/>
          <w:right w:w="70" w:type="dxa"/>
        </w:tblCellMar>
        <w:tblLook w:val="04A0"/>
      </w:tblPr>
      <w:tblGrid>
        <w:gridCol w:w="1900"/>
        <w:gridCol w:w="1200"/>
        <w:gridCol w:w="1480"/>
        <w:gridCol w:w="1200"/>
        <w:gridCol w:w="1200"/>
        <w:gridCol w:w="1200"/>
      </w:tblGrid>
      <w:tr w:rsidR="00E2705A" w:rsidRPr="00E2705A" w:rsidTr="00000F81">
        <w:trPr>
          <w:trHeight w:val="315"/>
          <w:jc w:val="center"/>
        </w:trPr>
        <w:tc>
          <w:tcPr>
            <w:tcW w:w="1900" w:type="dxa"/>
            <w:tcBorders>
              <w:top w:val="single" w:sz="8" w:space="0" w:color="auto"/>
              <w:left w:val="single" w:sz="8" w:space="0" w:color="auto"/>
              <w:bottom w:val="single" w:sz="8" w:space="0" w:color="auto"/>
              <w:right w:val="single" w:sz="8" w:space="0" w:color="auto"/>
            </w:tcBorders>
            <w:shd w:val="clear" w:color="000000" w:fill="CCC0DA"/>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CLASIFICACIÓN</w:t>
            </w:r>
          </w:p>
        </w:tc>
        <w:tc>
          <w:tcPr>
            <w:tcW w:w="1200" w:type="dxa"/>
            <w:tcBorders>
              <w:top w:val="single" w:sz="8" w:space="0" w:color="auto"/>
              <w:left w:val="nil"/>
              <w:bottom w:val="single" w:sz="8" w:space="0" w:color="auto"/>
              <w:right w:val="single" w:sz="8" w:space="0" w:color="auto"/>
            </w:tcBorders>
            <w:shd w:val="clear" w:color="000000" w:fill="C5D9F1"/>
            <w:noWrap/>
            <w:vAlign w:val="center"/>
            <w:hideMark/>
          </w:tcPr>
          <w:p w:rsidR="00E2705A" w:rsidRPr="00E2705A" w:rsidRDefault="00E2705A" w:rsidP="00A92D87">
            <w:pPr>
              <w:spacing w:after="0" w:line="240" w:lineRule="auto"/>
              <w:jc w:val="right"/>
              <w:rPr>
                <w:rFonts w:eastAsia="Times New Roman" w:cs="Arial"/>
                <w:b/>
                <w:bCs/>
                <w:color w:val="000000"/>
                <w:lang w:eastAsia="es-CO"/>
              </w:rPr>
            </w:pPr>
            <w:r w:rsidRPr="00E2705A">
              <w:rPr>
                <w:rFonts w:eastAsia="Times New Roman" w:cs="Arial"/>
                <w:b/>
                <w:bCs/>
                <w:color w:val="000000"/>
                <w:lang w:eastAsia="es-CO"/>
              </w:rPr>
              <w:t>2009</w:t>
            </w:r>
          </w:p>
        </w:tc>
        <w:tc>
          <w:tcPr>
            <w:tcW w:w="1480" w:type="dxa"/>
            <w:tcBorders>
              <w:top w:val="single" w:sz="8" w:space="0" w:color="auto"/>
              <w:left w:val="nil"/>
              <w:bottom w:val="single" w:sz="8" w:space="0" w:color="auto"/>
              <w:right w:val="single" w:sz="8" w:space="0" w:color="auto"/>
            </w:tcBorders>
            <w:shd w:val="clear" w:color="000000" w:fill="C5D9F1"/>
            <w:noWrap/>
            <w:vAlign w:val="center"/>
            <w:hideMark/>
          </w:tcPr>
          <w:p w:rsidR="00E2705A" w:rsidRPr="00E2705A" w:rsidRDefault="00E2705A" w:rsidP="00A92D87">
            <w:pPr>
              <w:spacing w:after="0" w:line="240" w:lineRule="auto"/>
              <w:jc w:val="right"/>
              <w:rPr>
                <w:rFonts w:eastAsia="Times New Roman" w:cs="Arial"/>
                <w:b/>
                <w:bCs/>
                <w:color w:val="000000"/>
                <w:lang w:eastAsia="es-CO"/>
              </w:rPr>
            </w:pPr>
            <w:r w:rsidRPr="00E2705A">
              <w:rPr>
                <w:rFonts w:eastAsia="Times New Roman" w:cs="Arial"/>
                <w:b/>
                <w:bCs/>
                <w:color w:val="000000"/>
                <w:lang w:eastAsia="es-CO"/>
              </w:rPr>
              <w:t>2010</w:t>
            </w:r>
          </w:p>
        </w:tc>
        <w:tc>
          <w:tcPr>
            <w:tcW w:w="1200" w:type="dxa"/>
            <w:tcBorders>
              <w:top w:val="single" w:sz="8" w:space="0" w:color="auto"/>
              <w:left w:val="nil"/>
              <w:bottom w:val="single" w:sz="8" w:space="0" w:color="auto"/>
              <w:right w:val="single" w:sz="8" w:space="0" w:color="auto"/>
            </w:tcBorders>
            <w:shd w:val="clear" w:color="000000" w:fill="C5D9F1"/>
            <w:noWrap/>
            <w:vAlign w:val="center"/>
            <w:hideMark/>
          </w:tcPr>
          <w:p w:rsidR="00E2705A" w:rsidRPr="00E2705A" w:rsidRDefault="00E2705A" w:rsidP="00A92D87">
            <w:pPr>
              <w:spacing w:after="0" w:line="240" w:lineRule="auto"/>
              <w:jc w:val="right"/>
              <w:rPr>
                <w:rFonts w:eastAsia="Times New Roman" w:cs="Arial"/>
                <w:b/>
                <w:bCs/>
                <w:color w:val="000000"/>
                <w:lang w:eastAsia="es-CO"/>
              </w:rPr>
            </w:pPr>
            <w:r w:rsidRPr="00E2705A">
              <w:rPr>
                <w:rFonts w:eastAsia="Times New Roman" w:cs="Arial"/>
                <w:b/>
                <w:bCs/>
                <w:color w:val="000000"/>
                <w:lang w:eastAsia="es-CO"/>
              </w:rPr>
              <w:t>2011</w:t>
            </w:r>
          </w:p>
        </w:tc>
        <w:tc>
          <w:tcPr>
            <w:tcW w:w="1200" w:type="dxa"/>
            <w:tcBorders>
              <w:top w:val="single" w:sz="8" w:space="0" w:color="auto"/>
              <w:left w:val="nil"/>
              <w:bottom w:val="single" w:sz="8" w:space="0" w:color="auto"/>
              <w:right w:val="nil"/>
            </w:tcBorders>
            <w:shd w:val="clear" w:color="000000" w:fill="C5D9F1"/>
            <w:noWrap/>
            <w:vAlign w:val="center"/>
            <w:hideMark/>
          </w:tcPr>
          <w:p w:rsidR="00E2705A" w:rsidRPr="00E2705A" w:rsidRDefault="00E2705A" w:rsidP="00A92D87">
            <w:pPr>
              <w:spacing w:after="0" w:line="240" w:lineRule="auto"/>
              <w:jc w:val="right"/>
              <w:rPr>
                <w:rFonts w:eastAsia="Times New Roman" w:cs="Arial"/>
                <w:b/>
                <w:bCs/>
                <w:color w:val="000000"/>
                <w:lang w:eastAsia="es-CO"/>
              </w:rPr>
            </w:pPr>
            <w:r w:rsidRPr="00E2705A">
              <w:rPr>
                <w:rFonts w:eastAsia="Times New Roman" w:cs="Arial"/>
                <w:b/>
                <w:bCs/>
                <w:color w:val="000000"/>
                <w:lang w:eastAsia="es-CO"/>
              </w:rPr>
              <w:t>2012</w:t>
            </w:r>
          </w:p>
        </w:tc>
        <w:tc>
          <w:tcPr>
            <w:tcW w:w="1200"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E2705A" w:rsidRPr="00E2705A" w:rsidRDefault="00E2705A" w:rsidP="00A92D87">
            <w:pPr>
              <w:spacing w:after="0" w:line="240" w:lineRule="auto"/>
              <w:jc w:val="right"/>
              <w:rPr>
                <w:rFonts w:eastAsia="Times New Roman" w:cs="Arial"/>
                <w:b/>
                <w:bCs/>
                <w:color w:val="000000"/>
                <w:lang w:eastAsia="es-CO"/>
              </w:rPr>
            </w:pPr>
            <w:r w:rsidRPr="00E2705A">
              <w:rPr>
                <w:rFonts w:eastAsia="Times New Roman" w:cs="Arial"/>
                <w:b/>
                <w:bCs/>
                <w:color w:val="000000"/>
                <w:lang w:eastAsia="es-CO"/>
              </w:rPr>
              <w:t>2013</w:t>
            </w:r>
          </w:p>
        </w:tc>
      </w:tr>
      <w:tr w:rsidR="00E2705A" w:rsidRPr="00E2705A" w:rsidTr="00000F81">
        <w:trPr>
          <w:trHeight w:val="315"/>
          <w:jc w:val="center"/>
        </w:trPr>
        <w:tc>
          <w:tcPr>
            <w:tcW w:w="1900" w:type="dxa"/>
            <w:tcBorders>
              <w:top w:val="nil"/>
              <w:left w:val="single" w:sz="8" w:space="0" w:color="auto"/>
              <w:bottom w:val="single" w:sz="8" w:space="0" w:color="auto"/>
              <w:right w:val="single" w:sz="8" w:space="0" w:color="auto"/>
            </w:tcBorders>
            <w:shd w:val="clear" w:color="000000" w:fill="CCC0DA"/>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Inferior</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w:t>
            </w:r>
          </w:p>
        </w:tc>
        <w:tc>
          <w:tcPr>
            <w:tcW w:w="148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w:t>
            </w:r>
          </w:p>
        </w:tc>
        <w:tc>
          <w:tcPr>
            <w:tcW w:w="1200" w:type="dxa"/>
            <w:tcBorders>
              <w:top w:val="nil"/>
              <w:left w:val="nil"/>
              <w:bottom w:val="single" w:sz="8" w:space="0" w:color="auto"/>
              <w:right w:val="nil"/>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w:t>
            </w: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w:t>
            </w:r>
          </w:p>
        </w:tc>
      </w:tr>
      <w:tr w:rsidR="00E2705A" w:rsidRPr="00E2705A" w:rsidTr="00000F81">
        <w:trPr>
          <w:trHeight w:val="315"/>
          <w:jc w:val="center"/>
        </w:trPr>
        <w:tc>
          <w:tcPr>
            <w:tcW w:w="1900" w:type="dxa"/>
            <w:tcBorders>
              <w:top w:val="nil"/>
              <w:left w:val="single" w:sz="8" w:space="0" w:color="auto"/>
              <w:bottom w:val="single" w:sz="8" w:space="0" w:color="auto"/>
              <w:right w:val="single" w:sz="8" w:space="0" w:color="auto"/>
            </w:tcBorders>
            <w:shd w:val="clear" w:color="000000" w:fill="CCC0DA"/>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Bajo</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10</w:t>
            </w:r>
          </w:p>
        </w:tc>
        <w:tc>
          <w:tcPr>
            <w:tcW w:w="148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w:t>
            </w:r>
          </w:p>
        </w:tc>
        <w:tc>
          <w:tcPr>
            <w:tcW w:w="1200" w:type="dxa"/>
            <w:tcBorders>
              <w:top w:val="nil"/>
              <w:left w:val="nil"/>
              <w:bottom w:val="single" w:sz="8" w:space="0" w:color="auto"/>
              <w:right w:val="nil"/>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w:t>
            </w: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w:t>
            </w:r>
          </w:p>
        </w:tc>
      </w:tr>
      <w:tr w:rsidR="00E2705A" w:rsidRPr="00E2705A" w:rsidTr="00000F81">
        <w:trPr>
          <w:trHeight w:val="315"/>
          <w:jc w:val="center"/>
        </w:trPr>
        <w:tc>
          <w:tcPr>
            <w:tcW w:w="1900" w:type="dxa"/>
            <w:tcBorders>
              <w:top w:val="nil"/>
              <w:left w:val="single" w:sz="8" w:space="0" w:color="auto"/>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Medio</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14</w:t>
            </w:r>
          </w:p>
        </w:tc>
        <w:tc>
          <w:tcPr>
            <w:tcW w:w="1480" w:type="dxa"/>
            <w:tcBorders>
              <w:top w:val="nil"/>
              <w:left w:val="nil"/>
              <w:bottom w:val="single" w:sz="8" w:space="0" w:color="auto"/>
              <w:right w:val="single" w:sz="8" w:space="0" w:color="auto"/>
            </w:tcBorders>
            <w:shd w:val="clear" w:color="000000" w:fill="92D050"/>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17</w:t>
            </w:r>
          </w:p>
        </w:tc>
        <w:tc>
          <w:tcPr>
            <w:tcW w:w="1200" w:type="dxa"/>
            <w:tcBorders>
              <w:top w:val="nil"/>
              <w:left w:val="nil"/>
              <w:bottom w:val="single" w:sz="8" w:space="0" w:color="auto"/>
              <w:right w:val="single" w:sz="8" w:space="0" w:color="auto"/>
            </w:tcBorders>
            <w:shd w:val="clear" w:color="000000" w:fill="92D050"/>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20</w:t>
            </w:r>
          </w:p>
        </w:tc>
        <w:tc>
          <w:tcPr>
            <w:tcW w:w="1200" w:type="dxa"/>
            <w:tcBorders>
              <w:top w:val="nil"/>
              <w:left w:val="nil"/>
              <w:bottom w:val="single" w:sz="8" w:space="0" w:color="auto"/>
              <w:right w:val="nil"/>
            </w:tcBorders>
            <w:shd w:val="clear" w:color="000000" w:fill="92D050"/>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18</w:t>
            </w: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19</w:t>
            </w:r>
          </w:p>
        </w:tc>
      </w:tr>
      <w:tr w:rsidR="00E2705A" w:rsidRPr="00E2705A" w:rsidTr="00000F81">
        <w:trPr>
          <w:trHeight w:val="315"/>
          <w:jc w:val="center"/>
        </w:trPr>
        <w:tc>
          <w:tcPr>
            <w:tcW w:w="1900" w:type="dxa"/>
            <w:tcBorders>
              <w:top w:val="nil"/>
              <w:left w:val="single" w:sz="8" w:space="0" w:color="auto"/>
              <w:bottom w:val="single" w:sz="8" w:space="0" w:color="auto"/>
              <w:right w:val="single" w:sz="8" w:space="0" w:color="auto"/>
            </w:tcBorders>
            <w:shd w:val="clear" w:color="000000" w:fill="CCC0DA"/>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 xml:space="preserve">Alto </w:t>
            </w:r>
          </w:p>
        </w:tc>
        <w:tc>
          <w:tcPr>
            <w:tcW w:w="1200" w:type="dxa"/>
            <w:tcBorders>
              <w:top w:val="nil"/>
              <w:left w:val="nil"/>
              <w:bottom w:val="single" w:sz="8" w:space="0" w:color="auto"/>
              <w:right w:val="single" w:sz="8" w:space="0" w:color="auto"/>
            </w:tcBorders>
            <w:shd w:val="clear" w:color="000000" w:fill="92D050"/>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19</w:t>
            </w:r>
          </w:p>
        </w:tc>
        <w:tc>
          <w:tcPr>
            <w:tcW w:w="148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12</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15</w:t>
            </w:r>
          </w:p>
        </w:tc>
        <w:tc>
          <w:tcPr>
            <w:tcW w:w="1200" w:type="dxa"/>
            <w:tcBorders>
              <w:top w:val="nil"/>
              <w:left w:val="nil"/>
              <w:bottom w:val="single" w:sz="8" w:space="0" w:color="auto"/>
              <w:right w:val="nil"/>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15</w:t>
            </w:r>
          </w:p>
        </w:tc>
        <w:tc>
          <w:tcPr>
            <w:tcW w:w="1200" w:type="dxa"/>
            <w:tcBorders>
              <w:top w:val="nil"/>
              <w:left w:val="single" w:sz="8" w:space="0" w:color="auto"/>
              <w:bottom w:val="single" w:sz="8" w:space="0" w:color="auto"/>
              <w:right w:val="single" w:sz="8" w:space="0" w:color="auto"/>
            </w:tcBorders>
            <w:shd w:val="clear" w:color="000000" w:fill="92D050"/>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21</w:t>
            </w:r>
          </w:p>
        </w:tc>
      </w:tr>
      <w:tr w:rsidR="00E2705A" w:rsidRPr="00E2705A" w:rsidTr="00000F81">
        <w:trPr>
          <w:trHeight w:val="315"/>
          <w:jc w:val="center"/>
        </w:trPr>
        <w:tc>
          <w:tcPr>
            <w:tcW w:w="1900" w:type="dxa"/>
            <w:tcBorders>
              <w:top w:val="nil"/>
              <w:left w:val="single" w:sz="8" w:space="0" w:color="auto"/>
              <w:bottom w:val="single" w:sz="8" w:space="0" w:color="auto"/>
              <w:right w:val="single" w:sz="8" w:space="0" w:color="auto"/>
            </w:tcBorders>
            <w:shd w:val="clear" w:color="000000" w:fill="CCC0DA"/>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Superior</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w:t>
            </w:r>
          </w:p>
        </w:tc>
        <w:tc>
          <w:tcPr>
            <w:tcW w:w="148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13</w:t>
            </w:r>
          </w:p>
        </w:tc>
        <w:tc>
          <w:tcPr>
            <w:tcW w:w="1200" w:type="dxa"/>
            <w:tcBorders>
              <w:top w:val="nil"/>
              <w:left w:val="nil"/>
              <w:bottom w:val="single" w:sz="8" w:space="0" w:color="auto"/>
              <w:right w:val="nil"/>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13</w:t>
            </w: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w:t>
            </w:r>
          </w:p>
        </w:tc>
      </w:tr>
      <w:tr w:rsidR="00E2705A" w:rsidRPr="00E2705A" w:rsidTr="00000F81">
        <w:trPr>
          <w:trHeight w:val="315"/>
          <w:jc w:val="center"/>
        </w:trPr>
        <w:tc>
          <w:tcPr>
            <w:tcW w:w="1900" w:type="dxa"/>
            <w:tcBorders>
              <w:top w:val="nil"/>
              <w:left w:val="single" w:sz="8" w:space="0" w:color="auto"/>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Muy superior</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w:t>
            </w:r>
          </w:p>
        </w:tc>
        <w:tc>
          <w:tcPr>
            <w:tcW w:w="148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w:t>
            </w:r>
          </w:p>
        </w:tc>
        <w:tc>
          <w:tcPr>
            <w:tcW w:w="1200" w:type="dxa"/>
            <w:tcBorders>
              <w:top w:val="nil"/>
              <w:left w:val="nil"/>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w:t>
            </w:r>
          </w:p>
        </w:tc>
        <w:tc>
          <w:tcPr>
            <w:tcW w:w="1200" w:type="dxa"/>
            <w:tcBorders>
              <w:top w:val="nil"/>
              <w:left w:val="nil"/>
              <w:bottom w:val="single" w:sz="8" w:space="0" w:color="auto"/>
              <w:right w:val="nil"/>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w:t>
            </w:r>
          </w:p>
        </w:tc>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w:t>
            </w:r>
          </w:p>
        </w:tc>
      </w:tr>
      <w:tr w:rsidR="00E2705A" w:rsidRPr="00E2705A" w:rsidTr="00000F81">
        <w:trPr>
          <w:trHeight w:val="315"/>
          <w:jc w:val="center"/>
        </w:trPr>
        <w:tc>
          <w:tcPr>
            <w:tcW w:w="1900" w:type="dxa"/>
            <w:tcBorders>
              <w:top w:val="nil"/>
              <w:left w:val="single" w:sz="8" w:space="0" w:color="auto"/>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Calibri"/>
                <w:b/>
                <w:bCs/>
                <w:color w:val="000000"/>
                <w:lang w:eastAsia="es-CO"/>
              </w:rPr>
            </w:pPr>
            <w:r w:rsidRPr="00E2705A">
              <w:rPr>
                <w:rFonts w:eastAsia="Times New Roman" w:cs="Calibri"/>
                <w:b/>
                <w:bCs/>
                <w:color w:val="000000"/>
                <w:lang w:eastAsia="es-CO"/>
              </w:rPr>
              <w:t>TOTAL</w:t>
            </w:r>
          </w:p>
        </w:tc>
        <w:tc>
          <w:tcPr>
            <w:tcW w:w="1200" w:type="dxa"/>
            <w:tcBorders>
              <w:top w:val="nil"/>
              <w:left w:val="nil"/>
              <w:bottom w:val="single" w:sz="8" w:space="0" w:color="auto"/>
              <w:right w:val="single" w:sz="8" w:space="0" w:color="auto"/>
            </w:tcBorders>
            <w:shd w:val="clear" w:color="000000" w:fill="C5D9F1"/>
            <w:noWrap/>
            <w:vAlign w:val="center"/>
            <w:hideMark/>
          </w:tcPr>
          <w:p w:rsidR="00E2705A" w:rsidRPr="00E2705A" w:rsidRDefault="00E2705A" w:rsidP="00A92D87">
            <w:pPr>
              <w:spacing w:after="0" w:line="240" w:lineRule="auto"/>
              <w:jc w:val="right"/>
              <w:rPr>
                <w:rFonts w:eastAsia="Times New Roman" w:cs="Calibri"/>
                <w:b/>
                <w:bCs/>
                <w:color w:val="000000"/>
                <w:lang w:eastAsia="es-CO"/>
              </w:rPr>
            </w:pPr>
            <w:r w:rsidRPr="00E2705A">
              <w:rPr>
                <w:rFonts w:eastAsia="Times New Roman" w:cs="Calibri"/>
                <w:b/>
                <w:bCs/>
                <w:color w:val="000000"/>
                <w:lang w:eastAsia="es-CO"/>
              </w:rPr>
              <w:t>49</w:t>
            </w:r>
          </w:p>
        </w:tc>
        <w:tc>
          <w:tcPr>
            <w:tcW w:w="1480" w:type="dxa"/>
            <w:tcBorders>
              <w:top w:val="nil"/>
              <w:left w:val="nil"/>
              <w:bottom w:val="single" w:sz="8" w:space="0" w:color="auto"/>
              <w:right w:val="single" w:sz="8" w:space="0" w:color="auto"/>
            </w:tcBorders>
            <w:shd w:val="clear" w:color="000000" w:fill="C5D9F1"/>
            <w:noWrap/>
            <w:vAlign w:val="center"/>
            <w:hideMark/>
          </w:tcPr>
          <w:p w:rsidR="00E2705A" w:rsidRPr="00E2705A" w:rsidRDefault="00E2705A" w:rsidP="00A92D87">
            <w:pPr>
              <w:spacing w:after="0" w:line="240" w:lineRule="auto"/>
              <w:jc w:val="right"/>
              <w:rPr>
                <w:rFonts w:eastAsia="Times New Roman" w:cs="Calibri"/>
                <w:b/>
                <w:bCs/>
                <w:color w:val="000000"/>
                <w:lang w:eastAsia="es-CO"/>
              </w:rPr>
            </w:pPr>
            <w:r w:rsidRPr="00E2705A">
              <w:rPr>
                <w:rFonts w:eastAsia="Times New Roman" w:cs="Calibri"/>
                <w:b/>
                <w:bCs/>
                <w:color w:val="000000"/>
                <w:lang w:eastAsia="es-CO"/>
              </w:rPr>
              <w:t>49</w:t>
            </w:r>
          </w:p>
        </w:tc>
        <w:tc>
          <w:tcPr>
            <w:tcW w:w="1200" w:type="dxa"/>
            <w:tcBorders>
              <w:top w:val="nil"/>
              <w:left w:val="nil"/>
              <w:bottom w:val="single" w:sz="8" w:space="0" w:color="auto"/>
              <w:right w:val="single" w:sz="8" w:space="0" w:color="auto"/>
            </w:tcBorders>
            <w:shd w:val="clear" w:color="000000" w:fill="C5D9F1"/>
            <w:noWrap/>
            <w:vAlign w:val="center"/>
            <w:hideMark/>
          </w:tcPr>
          <w:p w:rsidR="00E2705A" w:rsidRPr="00E2705A" w:rsidRDefault="00E2705A" w:rsidP="00A92D87">
            <w:pPr>
              <w:spacing w:after="0" w:line="240" w:lineRule="auto"/>
              <w:jc w:val="right"/>
              <w:rPr>
                <w:rFonts w:eastAsia="Times New Roman" w:cs="Calibri"/>
                <w:b/>
                <w:bCs/>
                <w:color w:val="000000"/>
                <w:lang w:eastAsia="es-CO"/>
              </w:rPr>
            </w:pPr>
            <w:r w:rsidRPr="00E2705A">
              <w:rPr>
                <w:rFonts w:eastAsia="Times New Roman" w:cs="Calibri"/>
                <w:b/>
                <w:bCs/>
                <w:color w:val="000000"/>
                <w:lang w:eastAsia="es-CO"/>
              </w:rPr>
              <w:t>52</w:t>
            </w:r>
          </w:p>
        </w:tc>
        <w:tc>
          <w:tcPr>
            <w:tcW w:w="1200" w:type="dxa"/>
            <w:tcBorders>
              <w:top w:val="nil"/>
              <w:left w:val="nil"/>
              <w:bottom w:val="single" w:sz="8" w:space="0" w:color="auto"/>
              <w:right w:val="nil"/>
            </w:tcBorders>
            <w:shd w:val="clear" w:color="000000" w:fill="C5D9F1"/>
            <w:noWrap/>
            <w:vAlign w:val="center"/>
            <w:hideMark/>
          </w:tcPr>
          <w:p w:rsidR="00E2705A" w:rsidRPr="00E2705A" w:rsidRDefault="00E2705A" w:rsidP="00A92D87">
            <w:pPr>
              <w:spacing w:after="0" w:line="240" w:lineRule="auto"/>
              <w:jc w:val="right"/>
              <w:rPr>
                <w:rFonts w:eastAsia="Times New Roman" w:cs="Calibri"/>
                <w:b/>
                <w:bCs/>
                <w:color w:val="000000"/>
                <w:lang w:eastAsia="es-CO"/>
              </w:rPr>
            </w:pPr>
            <w:r w:rsidRPr="00E2705A">
              <w:rPr>
                <w:rFonts w:eastAsia="Times New Roman" w:cs="Calibri"/>
                <w:b/>
                <w:bCs/>
                <w:color w:val="000000"/>
                <w:lang w:eastAsia="es-CO"/>
              </w:rPr>
              <w:t>54</w:t>
            </w:r>
          </w:p>
        </w:tc>
        <w:tc>
          <w:tcPr>
            <w:tcW w:w="1200" w:type="dxa"/>
            <w:tcBorders>
              <w:top w:val="nil"/>
              <w:left w:val="single" w:sz="8" w:space="0" w:color="auto"/>
              <w:bottom w:val="single" w:sz="8" w:space="0" w:color="auto"/>
              <w:right w:val="single" w:sz="8" w:space="0" w:color="auto"/>
            </w:tcBorders>
            <w:shd w:val="clear" w:color="000000" w:fill="C5D9F1"/>
            <w:noWrap/>
            <w:vAlign w:val="center"/>
            <w:hideMark/>
          </w:tcPr>
          <w:p w:rsidR="00E2705A" w:rsidRPr="00E2705A" w:rsidRDefault="00E2705A" w:rsidP="00A92D87">
            <w:pPr>
              <w:spacing w:after="0" w:line="240" w:lineRule="auto"/>
              <w:jc w:val="right"/>
              <w:rPr>
                <w:rFonts w:eastAsia="Times New Roman" w:cs="Calibri"/>
                <w:b/>
                <w:bCs/>
                <w:color w:val="000000"/>
                <w:lang w:eastAsia="es-CO"/>
              </w:rPr>
            </w:pPr>
            <w:r w:rsidRPr="00E2705A">
              <w:rPr>
                <w:rFonts w:eastAsia="Times New Roman" w:cs="Calibri"/>
                <w:b/>
                <w:bCs/>
                <w:color w:val="000000"/>
                <w:lang w:eastAsia="es-CO"/>
              </w:rPr>
              <w:t>59</w:t>
            </w:r>
          </w:p>
        </w:tc>
      </w:tr>
    </w:tbl>
    <w:p w:rsidR="00E2705A" w:rsidRPr="00E2705A" w:rsidRDefault="00E2705A" w:rsidP="00A92D87">
      <w:pPr>
        <w:spacing w:before="120" w:after="120" w:line="240" w:lineRule="auto"/>
        <w:rPr>
          <w:rFonts w:eastAsia="Times New Roman" w:cs="Arial"/>
          <w:b/>
          <w:lang w:eastAsia="es-ES"/>
        </w:rPr>
      </w:pPr>
      <w:r w:rsidRPr="00E2705A">
        <w:rPr>
          <w:rFonts w:eastAsia="Times New Roman" w:cs="Arial"/>
          <w:lang w:eastAsia="es-ES"/>
        </w:rPr>
        <w:t xml:space="preserve">         FUENTE: SUBSECRETARIA DE CALIDAD EDUCATIVA. SEM 2014</w:t>
      </w:r>
    </w:p>
    <w:p w:rsidR="00E2705A" w:rsidRPr="00E2705A" w:rsidRDefault="00E2705A" w:rsidP="00A92D87">
      <w:pPr>
        <w:spacing w:line="240" w:lineRule="auto"/>
        <w:jc w:val="both"/>
      </w:pPr>
    </w:p>
    <w:p w:rsidR="00E2705A" w:rsidRPr="00E2705A" w:rsidRDefault="00E2705A" w:rsidP="00A92D87">
      <w:pPr>
        <w:spacing w:before="120" w:after="120" w:line="240" w:lineRule="auto"/>
        <w:jc w:val="both"/>
        <w:rPr>
          <w:rFonts w:eastAsia="Times New Roman" w:cs="Arial"/>
          <w:lang w:eastAsia="es-ES"/>
        </w:rPr>
      </w:pPr>
    </w:p>
    <w:p w:rsidR="00E2705A" w:rsidRPr="00E2705A" w:rsidRDefault="00E2705A" w:rsidP="00A92D87">
      <w:pPr>
        <w:spacing w:line="240" w:lineRule="auto"/>
        <w:jc w:val="both"/>
        <w:rPr>
          <w:b/>
        </w:rPr>
      </w:pPr>
      <w:r w:rsidRPr="00E2705A">
        <w:t>D</w:t>
      </w:r>
      <w:r w:rsidRPr="00E2705A">
        <w:rPr>
          <w:b/>
        </w:rPr>
        <w:t>ESCRIPCIÓN DEL INDICADOR No.65</w:t>
      </w:r>
    </w:p>
    <w:tbl>
      <w:tblPr>
        <w:tblStyle w:val="Tabladecuadrcula2-nfasis5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Nombre del indicador: Puntajes promedio en las pruebas SABER 11°:Lenguaje, Matemáticas, Biología, Física, Química, Ciencias Sociales, Filosofía e Inglés)</w:t>
            </w:r>
          </w:p>
        </w:tc>
      </w:tr>
      <w:tr w:rsidR="00E2705A" w:rsidRPr="00E2705A" w:rsidTr="00000F81">
        <w:trPr>
          <w:trHeight w:val="332"/>
          <w:jc w:val="center"/>
        </w:trPr>
        <w:tc>
          <w:tcPr>
            <w:cnfStyle w:val="001000000000"/>
            <w:tcW w:w="8828" w:type="dxa"/>
          </w:tcPr>
          <w:p w:rsidR="00E2705A" w:rsidRPr="00E2705A" w:rsidRDefault="00E2705A" w:rsidP="00A92D87">
            <w:r w:rsidRPr="00E2705A">
              <w:t>Fuente Nacional: ICFES</w:t>
            </w:r>
          </w:p>
          <w:p w:rsidR="00E2705A" w:rsidRPr="00E2705A" w:rsidRDefault="00E2705A" w:rsidP="00A92D87">
            <w:r w:rsidRPr="00E2705A">
              <w:t xml:space="preserve">Otra Fuente: </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Categoría de derechos: Derechos Civiles y Políticos</w:t>
            </w:r>
          </w:p>
        </w:tc>
      </w:tr>
      <w:tr w:rsidR="00E2705A" w:rsidRPr="00E2705A" w:rsidTr="00000F81">
        <w:trPr>
          <w:trHeight w:val="458"/>
          <w:jc w:val="center"/>
        </w:trPr>
        <w:tc>
          <w:tcPr>
            <w:cnfStyle w:val="001000000000"/>
            <w:tcW w:w="8828" w:type="dxa"/>
          </w:tcPr>
          <w:p w:rsidR="00E2705A" w:rsidRPr="00E2705A" w:rsidRDefault="00E2705A" w:rsidP="00A92D87">
            <w:r w:rsidRPr="00E2705A">
              <w:t>Derechos: Derechos al Desarrollo</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 xml:space="preserve">Temas relacionados: </w:t>
            </w:r>
          </w:p>
          <w:p w:rsidR="00E2705A" w:rsidRPr="00E2705A" w:rsidRDefault="00E2705A" w:rsidP="00A92D87"/>
        </w:tc>
      </w:tr>
      <w:tr w:rsidR="00E2705A" w:rsidRPr="00E2705A" w:rsidTr="00000F81">
        <w:trPr>
          <w:trHeight w:val="458"/>
          <w:jc w:val="center"/>
        </w:trPr>
        <w:tc>
          <w:tcPr>
            <w:cnfStyle w:val="001000000000"/>
            <w:tcW w:w="8828" w:type="dxa"/>
          </w:tcPr>
          <w:p w:rsidR="00E2705A" w:rsidRPr="00E2705A" w:rsidRDefault="00E2705A" w:rsidP="00A92D87">
            <w:r w:rsidRPr="00E2705A">
              <w:lastRenderedPageBreak/>
              <w:t>Metodología: Análisis de la información a partir de la cadena de resultados</w:t>
            </w:r>
          </w:p>
        </w:tc>
      </w:tr>
    </w:tbl>
    <w:p w:rsidR="00E2705A" w:rsidRPr="00E2705A" w:rsidRDefault="00E2705A" w:rsidP="00A92D87">
      <w:pPr>
        <w:spacing w:line="240" w:lineRule="auto"/>
      </w:pPr>
    </w:p>
    <w:p w:rsidR="00E2705A" w:rsidRPr="00E2705A" w:rsidRDefault="00E2705A" w:rsidP="00A92D87">
      <w:pPr>
        <w:numPr>
          <w:ilvl w:val="0"/>
          <w:numId w:val="54"/>
        </w:numPr>
        <w:spacing w:after="0" w:line="240" w:lineRule="auto"/>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contextualSpacing/>
        <w:rPr>
          <w:rFonts w:eastAsia="Times New Roman" w:cs="Times New Roman"/>
          <w:b/>
          <w:lang w:eastAsia="es-CO"/>
        </w:rPr>
      </w:pPr>
    </w:p>
    <w:tbl>
      <w:tblPr>
        <w:tblStyle w:val="Tablaconcuadrcula8"/>
        <w:tblW w:w="0" w:type="auto"/>
        <w:tblInd w:w="108" w:type="dxa"/>
        <w:tblLook w:val="04A0"/>
      </w:tblPr>
      <w:tblGrid>
        <w:gridCol w:w="1843"/>
        <w:gridCol w:w="851"/>
        <w:gridCol w:w="992"/>
        <w:gridCol w:w="850"/>
        <w:gridCol w:w="1418"/>
        <w:gridCol w:w="1417"/>
        <w:gridCol w:w="1418"/>
      </w:tblGrid>
      <w:tr w:rsidR="00E2705A" w:rsidRPr="00E2705A" w:rsidTr="00000F81">
        <w:tc>
          <w:tcPr>
            <w:tcW w:w="1843" w:type="dxa"/>
          </w:tcPr>
          <w:p w:rsidR="00E2705A" w:rsidRPr="00E2705A" w:rsidRDefault="00E2705A" w:rsidP="00A92D87">
            <w:pPr>
              <w:jc w:val="center"/>
              <w:rPr>
                <w:b/>
              </w:rPr>
            </w:pPr>
            <w:r w:rsidRPr="00E2705A">
              <w:rPr>
                <w:b/>
              </w:rPr>
              <w:t>Indicador</w:t>
            </w:r>
          </w:p>
        </w:tc>
        <w:tc>
          <w:tcPr>
            <w:tcW w:w="851" w:type="dxa"/>
          </w:tcPr>
          <w:p w:rsidR="00E2705A" w:rsidRPr="00E2705A" w:rsidRDefault="00E2705A" w:rsidP="00A92D87">
            <w:pPr>
              <w:jc w:val="center"/>
              <w:rPr>
                <w:b/>
              </w:rPr>
            </w:pPr>
            <w:r w:rsidRPr="00E2705A">
              <w:rPr>
                <w:b/>
              </w:rPr>
              <w:t>2011</w:t>
            </w:r>
          </w:p>
        </w:tc>
        <w:tc>
          <w:tcPr>
            <w:tcW w:w="992" w:type="dxa"/>
          </w:tcPr>
          <w:p w:rsidR="00E2705A" w:rsidRPr="00E2705A" w:rsidRDefault="00E2705A" w:rsidP="00A92D87">
            <w:pPr>
              <w:jc w:val="center"/>
              <w:rPr>
                <w:b/>
              </w:rPr>
            </w:pPr>
            <w:r w:rsidRPr="00E2705A">
              <w:rPr>
                <w:b/>
              </w:rPr>
              <w:t>2012</w:t>
            </w:r>
          </w:p>
        </w:tc>
        <w:tc>
          <w:tcPr>
            <w:tcW w:w="850" w:type="dxa"/>
          </w:tcPr>
          <w:p w:rsidR="00E2705A" w:rsidRPr="00E2705A" w:rsidRDefault="00E2705A" w:rsidP="00A92D87">
            <w:pPr>
              <w:jc w:val="center"/>
              <w:rPr>
                <w:b/>
              </w:rPr>
            </w:pPr>
            <w:r w:rsidRPr="00E2705A">
              <w:rPr>
                <w:b/>
              </w:rPr>
              <w:t>2013</w:t>
            </w:r>
          </w:p>
        </w:tc>
        <w:tc>
          <w:tcPr>
            <w:tcW w:w="1418" w:type="dxa"/>
          </w:tcPr>
          <w:p w:rsidR="00E2705A" w:rsidRPr="00E2705A" w:rsidRDefault="00E2705A" w:rsidP="00A92D87">
            <w:pPr>
              <w:jc w:val="center"/>
              <w:rPr>
                <w:b/>
              </w:rPr>
            </w:pPr>
            <w:r w:rsidRPr="00E2705A">
              <w:rPr>
                <w:b/>
              </w:rPr>
              <w:t xml:space="preserve"> 2014 Calendario B</w:t>
            </w:r>
          </w:p>
        </w:tc>
        <w:tc>
          <w:tcPr>
            <w:tcW w:w="2835" w:type="dxa"/>
            <w:gridSpan w:val="2"/>
          </w:tcPr>
          <w:p w:rsidR="00E2705A" w:rsidRPr="00E2705A" w:rsidRDefault="00E2705A" w:rsidP="00A92D87">
            <w:pPr>
              <w:jc w:val="center"/>
              <w:rPr>
                <w:b/>
              </w:rPr>
            </w:pPr>
            <w:r w:rsidRPr="00E2705A">
              <w:rPr>
                <w:b/>
              </w:rPr>
              <w:t>2014 Calendario A</w:t>
            </w:r>
          </w:p>
        </w:tc>
      </w:tr>
      <w:tr w:rsidR="00E2705A" w:rsidRPr="00E2705A" w:rsidTr="00000F81">
        <w:tc>
          <w:tcPr>
            <w:tcW w:w="1843" w:type="dxa"/>
          </w:tcPr>
          <w:p w:rsidR="00E2705A" w:rsidRPr="00E2705A" w:rsidRDefault="00E2705A" w:rsidP="00A92D87">
            <w:r w:rsidRPr="00E2705A">
              <w:t>Puntajes promedio en las pruebas SABER 11°</w:t>
            </w:r>
          </w:p>
        </w:tc>
        <w:tc>
          <w:tcPr>
            <w:tcW w:w="851" w:type="dxa"/>
          </w:tcPr>
          <w:p w:rsidR="00E2705A" w:rsidRPr="00E2705A" w:rsidRDefault="00E2705A" w:rsidP="00A92D87"/>
        </w:tc>
        <w:tc>
          <w:tcPr>
            <w:tcW w:w="992" w:type="dxa"/>
          </w:tcPr>
          <w:p w:rsidR="00E2705A" w:rsidRPr="00E2705A" w:rsidRDefault="00E2705A" w:rsidP="00A92D87"/>
        </w:tc>
        <w:tc>
          <w:tcPr>
            <w:tcW w:w="850" w:type="dxa"/>
          </w:tcPr>
          <w:p w:rsidR="00E2705A" w:rsidRPr="00E2705A" w:rsidRDefault="00E2705A" w:rsidP="00A92D87"/>
        </w:tc>
        <w:tc>
          <w:tcPr>
            <w:tcW w:w="1418" w:type="dxa"/>
          </w:tcPr>
          <w:p w:rsidR="00E2705A" w:rsidRPr="00E2705A" w:rsidRDefault="00E2705A" w:rsidP="00A92D87"/>
        </w:tc>
        <w:tc>
          <w:tcPr>
            <w:tcW w:w="1417" w:type="dxa"/>
          </w:tcPr>
          <w:p w:rsidR="00E2705A" w:rsidRPr="00E2705A" w:rsidRDefault="00E2705A" w:rsidP="00A92D87"/>
        </w:tc>
        <w:tc>
          <w:tcPr>
            <w:tcW w:w="1418" w:type="dxa"/>
          </w:tcPr>
          <w:p w:rsidR="00E2705A" w:rsidRPr="00E2705A" w:rsidRDefault="00E2705A" w:rsidP="00A92D87"/>
        </w:tc>
      </w:tr>
      <w:tr w:rsidR="00E2705A" w:rsidRPr="00E2705A" w:rsidTr="00000F81">
        <w:trPr>
          <w:trHeight w:val="166"/>
        </w:trPr>
        <w:tc>
          <w:tcPr>
            <w:tcW w:w="1843" w:type="dxa"/>
          </w:tcPr>
          <w:p w:rsidR="00E2705A" w:rsidRPr="00E2705A" w:rsidRDefault="00E2705A" w:rsidP="00A92D87">
            <w:r w:rsidRPr="00E2705A">
              <w:t>Lenguaje</w:t>
            </w:r>
          </w:p>
        </w:tc>
        <w:tc>
          <w:tcPr>
            <w:tcW w:w="851" w:type="dxa"/>
          </w:tcPr>
          <w:p w:rsidR="00E2705A" w:rsidRPr="00E2705A" w:rsidRDefault="00E2705A" w:rsidP="00A92D87">
            <w:r w:rsidRPr="00E2705A">
              <w:t>47.82</w:t>
            </w:r>
          </w:p>
        </w:tc>
        <w:tc>
          <w:tcPr>
            <w:tcW w:w="992" w:type="dxa"/>
          </w:tcPr>
          <w:p w:rsidR="00E2705A" w:rsidRPr="00E2705A" w:rsidRDefault="00E2705A" w:rsidP="00A92D87">
            <w:r w:rsidRPr="00E2705A">
              <w:t>47.80</w:t>
            </w:r>
          </w:p>
        </w:tc>
        <w:tc>
          <w:tcPr>
            <w:tcW w:w="850" w:type="dxa"/>
          </w:tcPr>
          <w:p w:rsidR="00E2705A" w:rsidRPr="00E2705A" w:rsidRDefault="00E2705A" w:rsidP="00A92D87">
            <w:r w:rsidRPr="00E2705A">
              <w:t>48.17</w:t>
            </w:r>
          </w:p>
        </w:tc>
        <w:tc>
          <w:tcPr>
            <w:tcW w:w="1418" w:type="dxa"/>
          </w:tcPr>
          <w:p w:rsidR="00E2705A" w:rsidRPr="00E2705A" w:rsidRDefault="00E2705A" w:rsidP="00A92D87">
            <w:r w:rsidRPr="00E2705A">
              <w:t>50.01</w:t>
            </w:r>
          </w:p>
        </w:tc>
        <w:tc>
          <w:tcPr>
            <w:tcW w:w="1417" w:type="dxa"/>
          </w:tcPr>
          <w:p w:rsidR="00E2705A" w:rsidRPr="00E2705A" w:rsidRDefault="00E2705A" w:rsidP="00A92D87">
            <w:r w:rsidRPr="00E2705A">
              <w:t>Lectura Crítica</w:t>
            </w:r>
          </w:p>
        </w:tc>
        <w:tc>
          <w:tcPr>
            <w:tcW w:w="1418" w:type="dxa"/>
          </w:tcPr>
          <w:p w:rsidR="00E2705A" w:rsidRPr="00E2705A" w:rsidRDefault="00E2705A" w:rsidP="00A92D87">
            <w:r w:rsidRPr="00E2705A">
              <w:t>50.49</w:t>
            </w:r>
          </w:p>
        </w:tc>
      </w:tr>
      <w:tr w:rsidR="00E2705A" w:rsidRPr="00E2705A" w:rsidTr="00000F81">
        <w:tc>
          <w:tcPr>
            <w:tcW w:w="1843" w:type="dxa"/>
          </w:tcPr>
          <w:p w:rsidR="00E2705A" w:rsidRPr="00E2705A" w:rsidRDefault="00E2705A" w:rsidP="00A92D87">
            <w:r w:rsidRPr="00E2705A">
              <w:t>Matemáticas</w:t>
            </w:r>
          </w:p>
        </w:tc>
        <w:tc>
          <w:tcPr>
            <w:tcW w:w="851" w:type="dxa"/>
          </w:tcPr>
          <w:p w:rsidR="00E2705A" w:rsidRPr="00E2705A" w:rsidRDefault="00E2705A" w:rsidP="00A92D87">
            <w:r w:rsidRPr="00E2705A">
              <w:t>47.62</w:t>
            </w:r>
          </w:p>
        </w:tc>
        <w:tc>
          <w:tcPr>
            <w:tcW w:w="992" w:type="dxa"/>
          </w:tcPr>
          <w:p w:rsidR="00E2705A" w:rsidRPr="00E2705A" w:rsidRDefault="00E2705A" w:rsidP="00A92D87">
            <w:r w:rsidRPr="00E2705A">
              <w:t>46.99</w:t>
            </w:r>
          </w:p>
        </w:tc>
        <w:tc>
          <w:tcPr>
            <w:tcW w:w="850" w:type="dxa"/>
          </w:tcPr>
          <w:p w:rsidR="00E2705A" w:rsidRPr="00E2705A" w:rsidRDefault="00E2705A" w:rsidP="00A92D87">
            <w:r w:rsidRPr="00E2705A">
              <w:t>46.22</w:t>
            </w:r>
          </w:p>
        </w:tc>
        <w:tc>
          <w:tcPr>
            <w:tcW w:w="1418" w:type="dxa"/>
          </w:tcPr>
          <w:p w:rsidR="00E2705A" w:rsidRPr="00E2705A" w:rsidRDefault="00E2705A" w:rsidP="00A92D87">
            <w:r w:rsidRPr="00E2705A">
              <w:t>47.56</w:t>
            </w:r>
          </w:p>
        </w:tc>
        <w:tc>
          <w:tcPr>
            <w:tcW w:w="1417" w:type="dxa"/>
          </w:tcPr>
          <w:p w:rsidR="00E2705A" w:rsidRPr="00E2705A" w:rsidRDefault="00E2705A" w:rsidP="00A92D87">
            <w:r w:rsidRPr="00E2705A">
              <w:t>Matemáticas</w:t>
            </w:r>
          </w:p>
        </w:tc>
        <w:tc>
          <w:tcPr>
            <w:tcW w:w="1418" w:type="dxa"/>
          </w:tcPr>
          <w:p w:rsidR="00E2705A" w:rsidRPr="00E2705A" w:rsidRDefault="00E2705A" w:rsidP="00A92D87">
            <w:r w:rsidRPr="00E2705A">
              <w:t>51.35</w:t>
            </w:r>
          </w:p>
        </w:tc>
      </w:tr>
      <w:tr w:rsidR="00E2705A" w:rsidRPr="00E2705A" w:rsidTr="00000F81">
        <w:tc>
          <w:tcPr>
            <w:tcW w:w="1843" w:type="dxa"/>
          </w:tcPr>
          <w:p w:rsidR="00E2705A" w:rsidRPr="00E2705A" w:rsidRDefault="00E2705A" w:rsidP="00A92D87">
            <w:r w:rsidRPr="00E2705A">
              <w:t>Biología</w:t>
            </w:r>
          </w:p>
        </w:tc>
        <w:tc>
          <w:tcPr>
            <w:tcW w:w="851" w:type="dxa"/>
          </w:tcPr>
          <w:p w:rsidR="00E2705A" w:rsidRPr="00E2705A" w:rsidRDefault="00E2705A" w:rsidP="00A92D87">
            <w:r w:rsidRPr="00E2705A">
              <w:t>46.53</w:t>
            </w:r>
          </w:p>
        </w:tc>
        <w:tc>
          <w:tcPr>
            <w:tcW w:w="992" w:type="dxa"/>
          </w:tcPr>
          <w:p w:rsidR="00E2705A" w:rsidRPr="00E2705A" w:rsidRDefault="00E2705A" w:rsidP="00A92D87">
            <w:r w:rsidRPr="00E2705A">
              <w:t>46.63</w:t>
            </w:r>
          </w:p>
        </w:tc>
        <w:tc>
          <w:tcPr>
            <w:tcW w:w="850" w:type="dxa"/>
          </w:tcPr>
          <w:p w:rsidR="00E2705A" w:rsidRPr="00E2705A" w:rsidRDefault="00E2705A" w:rsidP="00A92D87">
            <w:r w:rsidRPr="00E2705A">
              <w:t>46.38</w:t>
            </w:r>
          </w:p>
        </w:tc>
        <w:tc>
          <w:tcPr>
            <w:tcW w:w="1418" w:type="dxa"/>
          </w:tcPr>
          <w:p w:rsidR="00E2705A" w:rsidRPr="00E2705A" w:rsidRDefault="00E2705A" w:rsidP="00A92D87">
            <w:r w:rsidRPr="00E2705A">
              <w:t>45.52</w:t>
            </w:r>
          </w:p>
        </w:tc>
        <w:tc>
          <w:tcPr>
            <w:tcW w:w="1417" w:type="dxa"/>
          </w:tcPr>
          <w:p w:rsidR="00E2705A" w:rsidRPr="00E2705A" w:rsidRDefault="00E2705A" w:rsidP="00A92D87">
            <w:r w:rsidRPr="00E2705A">
              <w:t>Ciencias Naturales</w:t>
            </w:r>
          </w:p>
        </w:tc>
        <w:tc>
          <w:tcPr>
            <w:tcW w:w="1418" w:type="dxa"/>
          </w:tcPr>
          <w:p w:rsidR="00E2705A" w:rsidRPr="00E2705A" w:rsidRDefault="00E2705A" w:rsidP="00A92D87">
            <w:r w:rsidRPr="00E2705A">
              <w:t>52.15</w:t>
            </w:r>
          </w:p>
        </w:tc>
      </w:tr>
      <w:tr w:rsidR="00E2705A" w:rsidRPr="00E2705A" w:rsidTr="00000F81">
        <w:tc>
          <w:tcPr>
            <w:tcW w:w="1843" w:type="dxa"/>
          </w:tcPr>
          <w:p w:rsidR="00E2705A" w:rsidRPr="00E2705A" w:rsidRDefault="00E2705A" w:rsidP="00A92D87">
            <w:r w:rsidRPr="00E2705A">
              <w:t>Física</w:t>
            </w:r>
          </w:p>
        </w:tc>
        <w:tc>
          <w:tcPr>
            <w:tcW w:w="851" w:type="dxa"/>
          </w:tcPr>
          <w:p w:rsidR="00E2705A" w:rsidRPr="00E2705A" w:rsidRDefault="00E2705A" w:rsidP="00A92D87">
            <w:r w:rsidRPr="00E2705A">
              <w:t>45.87</w:t>
            </w:r>
          </w:p>
        </w:tc>
        <w:tc>
          <w:tcPr>
            <w:tcW w:w="992" w:type="dxa"/>
          </w:tcPr>
          <w:p w:rsidR="00E2705A" w:rsidRPr="00E2705A" w:rsidRDefault="00E2705A" w:rsidP="00A92D87">
            <w:r w:rsidRPr="00E2705A">
              <w:t>45.44</w:t>
            </w:r>
          </w:p>
        </w:tc>
        <w:tc>
          <w:tcPr>
            <w:tcW w:w="850" w:type="dxa"/>
          </w:tcPr>
          <w:p w:rsidR="00E2705A" w:rsidRPr="00E2705A" w:rsidRDefault="00E2705A" w:rsidP="00A92D87">
            <w:r w:rsidRPr="00E2705A">
              <w:t>45.79</w:t>
            </w:r>
          </w:p>
        </w:tc>
        <w:tc>
          <w:tcPr>
            <w:tcW w:w="1418" w:type="dxa"/>
          </w:tcPr>
          <w:p w:rsidR="00E2705A" w:rsidRPr="00E2705A" w:rsidRDefault="00E2705A" w:rsidP="00A92D87">
            <w:r w:rsidRPr="00E2705A">
              <w:t>45.33</w:t>
            </w:r>
          </w:p>
        </w:tc>
        <w:tc>
          <w:tcPr>
            <w:tcW w:w="1417" w:type="dxa"/>
          </w:tcPr>
          <w:p w:rsidR="00E2705A" w:rsidRPr="00E2705A" w:rsidRDefault="00E2705A" w:rsidP="00A92D87">
            <w:r w:rsidRPr="00E2705A">
              <w:t>Sociales y ciudadanas</w:t>
            </w:r>
          </w:p>
        </w:tc>
        <w:tc>
          <w:tcPr>
            <w:tcW w:w="1418" w:type="dxa"/>
          </w:tcPr>
          <w:p w:rsidR="00E2705A" w:rsidRPr="00E2705A" w:rsidRDefault="00E2705A" w:rsidP="00A92D87">
            <w:r w:rsidRPr="00E2705A">
              <w:t>51.25</w:t>
            </w:r>
          </w:p>
        </w:tc>
      </w:tr>
      <w:tr w:rsidR="00E2705A" w:rsidRPr="00E2705A" w:rsidTr="00000F81">
        <w:tc>
          <w:tcPr>
            <w:tcW w:w="1843" w:type="dxa"/>
          </w:tcPr>
          <w:p w:rsidR="00E2705A" w:rsidRPr="00E2705A" w:rsidRDefault="00E2705A" w:rsidP="00A92D87">
            <w:r w:rsidRPr="00E2705A">
              <w:t>Química</w:t>
            </w:r>
          </w:p>
        </w:tc>
        <w:tc>
          <w:tcPr>
            <w:tcW w:w="851" w:type="dxa"/>
          </w:tcPr>
          <w:p w:rsidR="00E2705A" w:rsidRPr="00E2705A" w:rsidRDefault="00E2705A" w:rsidP="00A92D87">
            <w:r w:rsidRPr="00E2705A">
              <w:t>46.05</w:t>
            </w:r>
          </w:p>
        </w:tc>
        <w:tc>
          <w:tcPr>
            <w:tcW w:w="992" w:type="dxa"/>
          </w:tcPr>
          <w:p w:rsidR="00E2705A" w:rsidRPr="00E2705A" w:rsidRDefault="00E2705A" w:rsidP="00A92D87">
            <w:r w:rsidRPr="00E2705A">
              <w:t>47.14</w:t>
            </w:r>
          </w:p>
        </w:tc>
        <w:tc>
          <w:tcPr>
            <w:tcW w:w="850" w:type="dxa"/>
          </w:tcPr>
          <w:p w:rsidR="00E2705A" w:rsidRPr="00E2705A" w:rsidRDefault="00E2705A" w:rsidP="00A92D87">
            <w:r w:rsidRPr="00E2705A">
              <w:t>47.04</w:t>
            </w:r>
          </w:p>
        </w:tc>
        <w:tc>
          <w:tcPr>
            <w:tcW w:w="1418" w:type="dxa"/>
          </w:tcPr>
          <w:p w:rsidR="00E2705A" w:rsidRPr="00E2705A" w:rsidRDefault="00E2705A" w:rsidP="00A92D87">
            <w:r w:rsidRPr="00E2705A">
              <w:t>45.92</w:t>
            </w:r>
          </w:p>
        </w:tc>
        <w:tc>
          <w:tcPr>
            <w:tcW w:w="1417" w:type="dxa"/>
          </w:tcPr>
          <w:p w:rsidR="00E2705A" w:rsidRPr="00E2705A" w:rsidRDefault="00E2705A" w:rsidP="00A92D87">
            <w:r w:rsidRPr="00E2705A">
              <w:t>Ingles</w:t>
            </w:r>
          </w:p>
        </w:tc>
        <w:tc>
          <w:tcPr>
            <w:tcW w:w="1418" w:type="dxa"/>
          </w:tcPr>
          <w:p w:rsidR="00E2705A" w:rsidRPr="00E2705A" w:rsidRDefault="00E2705A" w:rsidP="00A92D87">
            <w:r w:rsidRPr="00E2705A">
              <w:t>50.88</w:t>
            </w:r>
          </w:p>
        </w:tc>
      </w:tr>
      <w:tr w:rsidR="00E2705A" w:rsidRPr="00E2705A" w:rsidTr="00000F81">
        <w:tc>
          <w:tcPr>
            <w:tcW w:w="1843" w:type="dxa"/>
          </w:tcPr>
          <w:p w:rsidR="00E2705A" w:rsidRPr="00E2705A" w:rsidRDefault="00E2705A" w:rsidP="00A92D87">
            <w:r w:rsidRPr="00E2705A">
              <w:t>Ciencias Sociales</w:t>
            </w:r>
          </w:p>
        </w:tc>
        <w:tc>
          <w:tcPr>
            <w:tcW w:w="851" w:type="dxa"/>
          </w:tcPr>
          <w:p w:rsidR="00E2705A" w:rsidRPr="00E2705A" w:rsidRDefault="00E2705A" w:rsidP="00A92D87">
            <w:r w:rsidRPr="00E2705A">
              <w:t>45.51</w:t>
            </w:r>
          </w:p>
        </w:tc>
        <w:tc>
          <w:tcPr>
            <w:tcW w:w="992" w:type="dxa"/>
          </w:tcPr>
          <w:p w:rsidR="00E2705A" w:rsidRPr="00E2705A" w:rsidRDefault="00E2705A" w:rsidP="00A92D87">
            <w:r w:rsidRPr="00E2705A">
              <w:t>46.61</w:t>
            </w:r>
          </w:p>
        </w:tc>
        <w:tc>
          <w:tcPr>
            <w:tcW w:w="850" w:type="dxa"/>
          </w:tcPr>
          <w:p w:rsidR="00E2705A" w:rsidRPr="00E2705A" w:rsidRDefault="00E2705A" w:rsidP="00A92D87">
            <w:r w:rsidRPr="00E2705A">
              <w:t>46.04</w:t>
            </w:r>
          </w:p>
        </w:tc>
        <w:tc>
          <w:tcPr>
            <w:tcW w:w="1418" w:type="dxa"/>
          </w:tcPr>
          <w:p w:rsidR="00E2705A" w:rsidRPr="00E2705A" w:rsidRDefault="00E2705A" w:rsidP="00A92D87">
            <w:r w:rsidRPr="00E2705A">
              <w:t>45.99</w:t>
            </w:r>
          </w:p>
        </w:tc>
        <w:tc>
          <w:tcPr>
            <w:tcW w:w="1417" w:type="dxa"/>
          </w:tcPr>
          <w:p w:rsidR="00E2705A" w:rsidRPr="00E2705A" w:rsidRDefault="00E2705A" w:rsidP="00A92D87"/>
        </w:tc>
        <w:tc>
          <w:tcPr>
            <w:tcW w:w="1418" w:type="dxa"/>
          </w:tcPr>
          <w:p w:rsidR="00E2705A" w:rsidRPr="00E2705A" w:rsidRDefault="00E2705A" w:rsidP="00A92D87"/>
        </w:tc>
      </w:tr>
      <w:tr w:rsidR="00E2705A" w:rsidRPr="00E2705A" w:rsidTr="00000F81">
        <w:tc>
          <w:tcPr>
            <w:tcW w:w="1843" w:type="dxa"/>
          </w:tcPr>
          <w:p w:rsidR="00E2705A" w:rsidRPr="00E2705A" w:rsidRDefault="00E2705A" w:rsidP="00A92D87">
            <w:r w:rsidRPr="00E2705A">
              <w:t>Filosofía</w:t>
            </w:r>
          </w:p>
        </w:tc>
        <w:tc>
          <w:tcPr>
            <w:tcW w:w="851" w:type="dxa"/>
          </w:tcPr>
          <w:p w:rsidR="00E2705A" w:rsidRPr="00E2705A" w:rsidRDefault="00E2705A" w:rsidP="00A92D87">
            <w:r w:rsidRPr="00E2705A">
              <w:t>41.62</w:t>
            </w:r>
          </w:p>
        </w:tc>
        <w:tc>
          <w:tcPr>
            <w:tcW w:w="992" w:type="dxa"/>
          </w:tcPr>
          <w:p w:rsidR="00E2705A" w:rsidRPr="00E2705A" w:rsidRDefault="00E2705A" w:rsidP="00A92D87">
            <w:r w:rsidRPr="00E2705A">
              <w:t>42.37</w:t>
            </w:r>
          </w:p>
        </w:tc>
        <w:tc>
          <w:tcPr>
            <w:tcW w:w="850" w:type="dxa"/>
          </w:tcPr>
          <w:p w:rsidR="00E2705A" w:rsidRPr="00E2705A" w:rsidRDefault="00E2705A" w:rsidP="00A92D87">
            <w:r w:rsidRPr="00E2705A">
              <w:t>41.45</w:t>
            </w:r>
          </w:p>
        </w:tc>
        <w:tc>
          <w:tcPr>
            <w:tcW w:w="1418" w:type="dxa"/>
          </w:tcPr>
          <w:p w:rsidR="00E2705A" w:rsidRPr="00E2705A" w:rsidRDefault="00E2705A" w:rsidP="00A92D87">
            <w:r w:rsidRPr="00E2705A">
              <w:t>42.44</w:t>
            </w:r>
          </w:p>
        </w:tc>
        <w:tc>
          <w:tcPr>
            <w:tcW w:w="1417" w:type="dxa"/>
          </w:tcPr>
          <w:p w:rsidR="00E2705A" w:rsidRPr="00E2705A" w:rsidRDefault="00E2705A" w:rsidP="00A92D87"/>
        </w:tc>
        <w:tc>
          <w:tcPr>
            <w:tcW w:w="1418" w:type="dxa"/>
          </w:tcPr>
          <w:p w:rsidR="00E2705A" w:rsidRPr="00E2705A" w:rsidRDefault="00E2705A" w:rsidP="00A92D87"/>
        </w:tc>
      </w:tr>
      <w:tr w:rsidR="00E2705A" w:rsidRPr="00E2705A" w:rsidTr="00000F81">
        <w:tc>
          <w:tcPr>
            <w:tcW w:w="1843" w:type="dxa"/>
          </w:tcPr>
          <w:p w:rsidR="00E2705A" w:rsidRPr="00E2705A" w:rsidRDefault="00E2705A" w:rsidP="00A92D87">
            <w:r w:rsidRPr="00E2705A">
              <w:t>Ingles</w:t>
            </w:r>
          </w:p>
        </w:tc>
        <w:tc>
          <w:tcPr>
            <w:tcW w:w="851" w:type="dxa"/>
          </w:tcPr>
          <w:p w:rsidR="00E2705A" w:rsidRPr="00E2705A" w:rsidRDefault="00E2705A" w:rsidP="00A92D87">
            <w:r w:rsidRPr="00E2705A">
              <w:t>43.08</w:t>
            </w:r>
          </w:p>
        </w:tc>
        <w:tc>
          <w:tcPr>
            <w:tcW w:w="992" w:type="dxa"/>
          </w:tcPr>
          <w:p w:rsidR="00E2705A" w:rsidRPr="00E2705A" w:rsidRDefault="00E2705A" w:rsidP="00A92D87">
            <w:r w:rsidRPr="00E2705A">
              <w:t>45.14</w:t>
            </w:r>
          </w:p>
        </w:tc>
        <w:tc>
          <w:tcPr>
            <w:tcW w:w="850" w:type="dxa"/>
          </w:tcPr>
          <w:p w:rsidR="00E2705A" w:rsidRPr="00E2705A" w:rsidRDefault="00E2705A" w:rsidP="00A92D87">
            <w:r w:rsidRPr="00E2705A">
              <w:t>44.89</w:t>
            </w:r>
          </w:p>
        </w:tc>
        <w:tc>
          <w:tcPr>
            <w:tcW w:w="1418" w:type="dxa"/>
          </w:tcPr>
          <w:p w:rsidR="00E2705A" w:rsidRPr="00E2705A" w:rsidRDefault="00E2705A" w:rsidP="00A92D87">
            <w:r w:rsidRPr="00E2705A">
              <w:t>46.82</w:t>
            </w:r>
          </w:p>
        </w:tc>
        <w:tc>
          <w:tcPr>
            <w:tcW w:w="1417" w:type="dxa"/>
          </w:tcPr>
          <w:p w:rsidR="00E2705A" w:rsidRPr="00E2705A" w:rsidRDefault="00E2705A" w:rsidP="00A92D87"/>
        </w:tc>
        <w:tc>
          <w:tcPr>
            <w:tcW w:w="1418" w:type="dxa"/>
          </w:tcPr>
          <w:p w:rsidR="00E2705A" w:rsidRPr="00E2705A" w:rsidRDefault="00E2705A" w:rsidP="00A92D87"/>
        </w:tc>
      </w:tr>
      <w:tr w:rsidR="00E2705A" w:rsidRPr="00E2705A" w:rsidTr="00000F81">
        <w:tc>
          <w:tcPr>
            <w:tcW w:w="5954" w:type="dxa"/>
            <w:gridSpan w:val="5"/>
          </w:tcPr>
          <w:p w:rsidR="00E2705A" w:rsidRPr="00E2705A" w:rsidRDefault="00E2705A" w:rsidP="00A92D87">
            <w:pPr>
              <w:rPr>
                <w:b/>
              </w:rPr>
            </w:pPr>
            <w:r w:rsidRPr="00E2705A">
              <w:rPr>
                <w:b/>
              </w:rPr>
              <w:t xml:space="preserve">Fuente y año: </w:t>
            </w:r>
            <w:r w:rsidRPr="00E2705A">
              <w:t>ICFES 2009,2012,2013 y 2014</w:t>
            </w:r>
          </w:p>
        </w:tc>
        <w:tc>
          <w:tcPr>
            <w:tcW w:w="1417" w:type="dxa"/>
          </w:tcPr>
          <w:p w:rsidR="00E2705A" w:rsidRPr="00E2705A" w:rsidRDefault="00E2705A" w:rsidP="00A92D87">
            <w:pPr>
              <w:rPr>
                <w:b/>
              </w:rPr>
            </w:pPr>
          </w:p>
        </w:tc>
        <w:tc>
          <w:tcPr>
            <w:tcW w:w="1418" w:type="dxa"/>
          </w:tcPr>
          <w:p w:rsidR="00E2705A" w:rsidRPr="00E2705A" w:rsidRDefault="00E2705A" w:rsidP="00A92D87">
            <w:pPr>
              <w:rPr>
                <w:b/>
              </w:rPr>
            </w:pPr>
          </w:p>
        </w:tc>
      </w:tr>
    </w:tbl>
    <w:p w:rsidR="00E2705A" w:rsidRPr="00E2705A" w:rsidRDefault="00E2705A" w:rsidP="00A92D87">
      <w:pPr>
        <w:autoSpaceDE w:val="0"/>
        <w:autoSpaceDN w:val="0"/>
        <w:adjustRightInd w:val="0"/>
        <w:spacing w:after="200" w:line="240" w:lineRule="auto"/>
        <w:rPr>
          <w:rFonts w:eastAsia="Calibri" w:cs="Arial"/>
          <w:b/>
          <w:color w:val="000000"/>
        </w:rPr>
      </w:pPr>
    </w:p>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Gráfico No. 10</w:t>
      </w:r>
    </w:p>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RESULTADOS SABER 11° MUNICIPIO DE PASTO</w:t>
      </w:r>
    </w:p>
    <w:p w:rsidR="00E2705A" w:rsidRPr="00E2705A" w:rsidRDefault="00E2705A" w:rsidP="00A92D87">
      <w:pPr>
        <w:autoSpaceDE w:val="0"/>
        <w:autoSpaceDN w:val="0"/>
        <w:adjustRightInd w:val="0"/>
        <w:spacing w:after="200" w:line="240" w:lineRule="auto"/>
        <w:jc w:val="center"/>
        <w:rPr>
          <w:rFonts w:eastAsia="Calibri" w:cs="Times New Roman"/>
          <w:noProof/>
          <w:bdr w:val="single" w:sz="4" w:space="0" w:color="943634"/>
          <w:lang w:eastAsia="es-CO"/>
        </w:rPr>
      </w:pPr>
      <w:r w:rsidRPr="00E2705A">
        <w:rPr>
          <w:rFonts w:eastAsia="Calibri" w:cs="Arial"/>
          <w:b/>
          <w:color w:val="000000"/>
        </w:rPr>
        <w:t>POR ESTABLECIMIENTOS</w:t>
      </w:r>
    </w:p>
    <w:p w:rsidR="00E2705A" w:rsidRPr="00E2705A" w:rsidRDefault="00E2705A" w:rsidP="00A92D87">
      <w:pPr>
        <w:autoSpaceDE w:val="0"/>
        <w:autoSpaceDN w:val="0"/>
        <w:adjustRightInd w:val="0"/>
        <w:spacing w:after="200" w:line="240" w:lineRule="auto"/>
        <w:jc w:val="center"/>
        <w:rPr>
          <w:rFonts w:eastAsia="Calibri" w:cs="Times New Roman"/>
          <w:noProof/>
          <w:bdr w:val="single" w:sz="4" w:space="0" w:color="943634"/>
          <w:lang w:eastAsia="es-CO"/>
        </w:rPr>
      </w:pPr>
      <w:r w:rsidRPr="00E2705A">
        <w:rPr>
          <w:rFonts w:eastAsia="Calibri" w:cs="Times New Roman"/>
          <w:noProof/>
          <w:bdr w:val="single" w:sz="4" w:space="0" w:color="943634"/>
          <w:lang w:val="es-ES" w:eastAsia="es-ES"/>
        </w:rPr>
        <w:lastRenderedPageBreak/>
        <w:drawing>
          <wp:inline distT="0" distB="0" distL="0" distR="0">
            <wp:extent cx="3966210" cy="3006090"/>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6210" cy="3006090"/>
                    </a:xfrm>
                    <a:prstGeom prst="rect">
                      <a:avLst/>
                    </a:prstGeom>
                    <a:noFill/>
                  </pic:spPr>
                </pic:pic>
              </a:graphicData>
            </a:graphic>
          </wp:inline>
        </w:drawing>
      </w:r>
    </w:p>
    <w:p w:rsidR="00E2705A" w:rsidRPr="00E2705A" w:rsidRDefault="00E2705A" w:rsidP="00A92D87">
      <w:pPr>
        <w:autoSpaceDE w:val="0"/>
        <w:autoSpaceDN w:val="0"/>
        <w:adjustRightInd w:val="0"/>
        <w:spacing w:after="200" w:line="240" w:lineRule="auto"/>
        <w:jc w:val="center"/>
        <w:rPr>
          <w:rFonts w:eastAsia="Calibri" w:cs="Times New Roman"/>
          <w:noProof/>
          <w:bdr w:val="single" w:sz="4" w:space="0" w:color="943634"/>
          <w:lang w:eastAsia="es-CO"/>
        </w:rPr>
      </w:pPr>
      <w:r w:rsidRPr="00E2705A">
        <w:rPr>
          <w:rFonts w:eastAsia="Calibri" w:cs="Times New Roman"/>
          <w:noProof/>
          <w:bdr w:val="single" w:sz="4" w:space="0" w:color="943634"/>
          <w:lang w:eastAsia="es-CO"/>
        </w:rPr>
        <w:t>Fuente: Subsecretaría de Calidad Educativa</w:t>
      </w: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La tendencia mostrada de acuerdo a los resultados obtenidos en las pruebas Saber 11° en el año 2012 con respecto al anterior se resumen en el siguiente cuadro:</w:t>
      </w:r>
    </w:p>
    <w:p w:rsidR="00E2705A" w:rsidRPr="00E2705A" w:rsidRDefault="00E2705A" w:rsidP="00A92D87">
      <w:pPr>
        <w:autoSpaceDE w:val="0"/>
        <w:autoSpaceDN w:val="0"/>
        <w:adjustRightInd w:val="0"/>
        <w:spacing w:after="200" w:line="240" w:lineRule="auto"/>
        <w:jc w:val="center"/>
        <w:rPr>
          <w:rFonts w:eastAsia="Calibri" w:cs="Tahoma"/>
          <w:b/>
        </w:rPr>
      </w:pPr>
      <w:r w:rsidRPr="00E2705A">
        <w:rPr>
          <w:rFonts w:eastAsia="Calibri" w:cs="Tahoma"/>
          <w:b/>
        </w:rPr>
        <w:t>Tabla No. 10</w:t>
      </w:r>
    </w:p>
    <w:tbl>
      <w:tblPr>
        <w:tblW w:w="9208" w:type="dxa"/>
        <w:jc w:val="center"/>
        <w:tblCellMar>
          <w:left w:w="70" w:type="dxa"/>
          <w:right w:w="70" w:type="dxa"/>
        </w:tblCellMar>
        <w:tblLook w:val="04A0"/>
      </w:tblPr>
      <w:tblGrid>
        <w:gridCol w:w="2642"/>
        <w:gridCol w:w="1957"/>
        <w:gridCol w:w="1681"/>
        <w:gridCol w:w="1464"/>
        <w:gridCol w:w="1464"/>
      </w:tblGrid>
      <w:tr w:rsidR="00E2705A" w:rsidRPr="00E2705A" w:rsidTr="00000F81">
        <w:trPr>
          <w:trHeight w:val="300"/>
          <w:jc w:val="center"/>
        </w:trPr>
        <w:tc>
          <w:tcPr>
            <w:tcW w:w="9208"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RESUMEN 2011 y 2012 PASTO</w:t>
            </w:r>
          </w:p>
        </w:tc>
      </w:tr>
      <w:tr w:rsidR="00E2705A" w:rsidRPr="00E2705A" w:rsidTr="00000F81">
        <w:trPr>
          <w:trHeight w:val="300"/>
          <w:jc w:val="center"/>
        </w:trPr>
        <w:tc>
          <w:tcPr>
            <w:tcW w:w="2642" w:type="dxa"/>
            <w:tcBorders>
              <w:top w:val="nil"/>
              <w:left w:val="single" w:sz="4" w:space="0" w:color="auto"/>
              <w:bottom w:val="single" w:sz="4" w:space="0" w:color="auto"/>
              <w:right w:val="single" w:sz="4" w:space="0" w:color="auto"/>
            </w:tcBorders>
            <w:shd w:val="clear" w:color="000000" w:fill="E4DFEC"/>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TENDENCIA</w:t>
            </w:r>
          </w:p>
        </w:tc>
        <w:tc>
          <w:tcPr>
            <w:tcW w:w="1957" w:type="dxa"/>
            <w:tcBorders>
              <w:top w:val="nil"/>
              <w:left w:val="nil"/>
              <w:bottom w:val="single" w:sz="4" w:space="0" w:color="auto"/>
              <w:right w:val="single" w:sz="4" w:space="0" w:color="auto"/>
            </w:tcBorders>
            <w:shd w:val="clear" w:color="000000" w:fill="E4DFEC"/>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CANT.EE 2011</w:t>
            </w:r>
          </w:p>
        </w:tc>
        <w:tc>
          <w:tcPr>
            <w:tcW w:w="1681" w:type="dxa"/>
            <w:tcBorders>
              <w:top w:val="nil"/>
              <w:left w:val="nil"/>
              <w:bottom w:val="single" w:sz="4" w:space="0" w:color="auto"/>
              <w:right w:val="single" w:sz="4" w:space="0" w:color="auto"/>
            </w:tcBorders>
            <w:shd w:val="clear" w:color="000000" w:fill="E4DFEC"/>
            <w:noWrap/>
            <w:vAlign w:val="bottom"/>
            <w:hideMark/>
          </w:tcPr>
          <w:p w:rsidR="00E2705A" w:rsidRPr="00E2705A" w:rsidRDefault="00E2705A" w:rsidP="00A92D87">
            <w:pPr>
              <w:spacing w:after="200" w:line="240" w:lineRule="auto"/>
              <w:jc w:val="center"/>
              <w:rPr>
                <w:rFonts w:eastAsia="Times New Roman" w:cs="Arial"/>
                <w:bCs/>
                <w:lang w:eastAsia="es-CO"/>
              </w:rPr>
            </w:pPr>
            <w:r w:rsidRPr="00E2705A">
              <w:rPr>
                <w:rFonts w:eastAsia="Times New Roman" w:cs="Arial"/>
                <w:bCs/>
                <w:lang w:eastAsia="es-CO"/>
              </w:rPr>
              <w:t>%</w:t>
            </w:r>
          </w:p>
        </w:tc>
        <w:tc>
          <w:tcPr>
            <w:tcW w:w="1464" w:type="dxa"/>
            <w:tcBorders>
              <w:top w:val="nil"/>
              <w:left w:val="nil"/>
              <w:bottom w:val="single" w:sz="4" w:space="0" w:color="auto"/>
              <w:right w:val="single" w:sz="4" w:space="0" w:color="auto"/>
            </w:tcBorders>
            <w:shd w:val="clear" w:color="000000" w:fill="E4DFEC"/>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CANT.EE 2012</w:t>
            </w:r>
          </w:p>
        </w:tc>
        <w:tc>
          <w:tcPr>
            <w:tcW w:w="1464" w:type="dxa"/>
            <w:tcBorders>
              <w:top w:val="nil"/>
              <w:left w:val="nil"/>
              <w:bottom w:val="single" w:sz="4" w:space="0" w:color="auto"/>
              <w:right w:val="single" w:sz="4" w:space="0" w:color="auto"/>
            </w:tcBorders>
            <w:shd w:val="clear" w:color="000000" w:fill="E4DFEC"/>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w:t>
            </w:r>
          </w:p>
        </w:tc>
      </w:tr>
      <w:tr w:rsidR="00E2705A" w:rsidRPr="00E2705A" w:rsidTr="00000F81">
        <w:trPr>
          <w:trHeight w:val="255"/>
          <w:jc w:val="center"/>
        </w:trPr>
        <w:tc>
          <w:tcPr>
            <w:tcW w:w="2642"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Subió</w:t>
            </w:r>
          </w:p>
        </w:tc>
        <w:tc>
          <w:tcPr>
            <w:tcW w:w="195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20</w:t>
            </w:r>
          </w:p>
        </w:tc>
        <w:tc>
          <w:tcPr>
            <w:tcW w:w="168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lang w:eastAsia="es-CO"/>
              </w:rPr>
            </w:pPr>
            <w:r w:rsidRPr="00E2705A">
              <w:rPr>
                <w:rFonts w:eastAsia="Times New Roman" w:cs="Arial"/>
                <w:b/>
                <w:lang w:eastAsia="es-CO"/>
              </w:rPr>
              <w:t>40,8</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7</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13.46</w:t>
            </w:r>
          </w:p>
        </w:tc>
      </w:tr>
      <w:tr w:rsidR="00E2705A" w:rsidRPr="00E2705A" w:rsidTr="00000F81">
        <w:trPr>
          <w:trHeight w:val="255"/>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Bajó</w:t>
            </w:r>
          </w:p>
        </w:tc>
        <w:tc>
          <w:tcPr>
            <w:tcW w:w="1957" w:type="dxa"/>
            <w:tcBorders>
              <w:top w:val="nil"/>
              <w:left w:val="nil"/>
              <w:bottom w:val="single" w:sz="4" w:space="0" w:color="auto"/>
              <w:right w:val="single" w:sz="4" w:space="0" w:color="auto"/>
            </w:tcBorders>
            <w:shd w:val="clear" w:color="auto" w:fill="auto"/>
            <w:noWrap/>
            <w:vAlign w:val="center"/>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w:t>
            </w:r>
          </w:p>
        </w:tc>
        <w:tc>
          <w:tcPr>
            <w:tcW w:w="168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lang w:eastAsia="es-CO"/>
              </w:rPr>
            </w:pPr>
            <w:r w:rsidRPr="00E2705A">
              <w:rPr>
                <w:rFonts w:eastAsia="Times New Roman" w:cs="Arial"/>
                <w:b/>
                <w:lang w:eastAsia="es-CO"/>
              </w:rPr>
              <w:t>4,1</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7</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13.46</w:t>
            </w:r>
          </w:p>
        </w:tc>
      </w:tr>
      <w:tr w:rsidR="00E2705A" w:rsidRPr="00E2705A" w:rsidTr="00000F81">
        <w:trPr>
          <w:trHeight w:val="255"/>
          <w:jc w:val="center"/>
        </w:trPr>
        <w:tc>
          <w:tcPr>
            <w:tcW w:w="2642" w:type="dxa"/>
            <w:tcBorders>
              <w:top w:val="nil"/>
              <w:left w:val="single" w:sz="4" w:space="0" w:color="auto"/>
              <w:bottom w:val="single" w:sz="4" w:space="0" w:color="auto"/>
              <w:right w:val="single" w:sz="4" w:space="0" w:color="auto"/>
            </w:tcBorders>
            <w:shd w:val="clear" w:color="auto" w:fill="auto"/>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Constante</w:t>
            </w:r>
          </w:p>
        </w:tc>
        <w:tc>
          <w:tcPr>
            <w:tcW w:w="1957" w:type="dxa"/>
            <w:tcBorders>
              <w:top w:val="nil"/>
              <w:left w:val="nil"/>
              <w:bottom w:val="single" w:sz="4" w:space="0" w:color="auto"/>
              <w:right w:val="single" w:sz="4" w:space="0" w:color="auto"/>
            </w:tcBorders>
            <w:shd w:val="clear" w:color="auto" w:fill="auto"/>
            <w:noWrap/>
            <w:vAlign w:val="center"/>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27</w:t>
            </w:r>
          </w:p>
        </w:tc>
        <w:tc>
          <w:tcPr>
            <w:tcW w:w="168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lang w:eastAsia="es-CO"/>
              </w:rPr>
            </w:pPr>
            <w:r w:rsidRPr="00E2705A">
              <w:rPr>
                <w:rFonts w:eastAsia="Times New Roman" w:cs="Arial"/>
                <w:b/>
                <w:lang w:eastAsia="es-CO"/>
              </w:rPr>
              <w:t>55,1</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38</w:t>
            </w:r>
          </w:p>
        </w:tc>
        <w:tc>
          <w:tcPr>
            <w:tcW w:w="1464" w:type="dxa"/>
            <w:tcBorders>
              <w:top w:val="nil"/>
              <w:left w:val="nil"/>
              <w:bottom w:val="single" w:sz="4" w:space="0" w:color="auto"/>
              <w:right w:val="single" w:sz="4" w:space="0" w:color="auto"/>
            </w:tcBorders>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73.08</w:t>
            </w:r>
          </w:p>
        </w:tc>
      </w:tr>
      <w:tr w:rsidR="00E2705A" w:rsidRPr="00E2705A" w:rsidTr="00000F81">
        <w:trPr>
          <w:trHeight w:val="270"/>
          <w:jc w:val="center"/>
        </w:trPr>
        <w:tc>
          <w:tcPr>
            <w:tcW w:w="2642" w:type="dxa"/>
            <w:tcBorders>
              <w:top w:val="nil"/>
              <w:left w:val="single" w:sz="4" w:space="0" w:color="auto"/>
              <w:bottom w:val="double" w:sz="6" w:space="0" w:color="auto"/>
              <w:right w:val="single" w:sz="4" w:space="0" w:color="auto"/>
            </w:tcBorders>
            <w:shd w:val="clear" w:color="000000" w:fill="D9D9D9"/>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TOTAL</w:t>
            </w:r>
          </w:p>
        </w:tc>
        <w:tc>
          <w:tcPr>
            <w:tcW w:w="1957" w:type="dxa"/>
            <w:tcBorders>
              <w:top w:val="nil"/>
              <w:left w:val="nil"/>
              <w:bottom w:val="double" w:sz="6" w:space="0" w:color="auto"/>
              <w:right w:val="single" w:sz="4" w:space="0" w:color="auto"/>
            </w:tcBorders>
            <w:shd w:val="clear" w:color="000000" w:fill="D9D9D9"/>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49</w:t>
            </w:r>
          </w:p>
        </w:tc>
        <w:tc>
          <w:tcPr>
            <w:tcW w:w="1681" w:type="dxa"/>
            <w:tcBorders>
              <w:top w:val="nil"/>
              <w:left w:val="nil"/>
              <w:bottom w:val="double" w:sz="6" w:space="0" w:color="auto"/>
              <w:right w:val="single" w:sz="4" w:space="0" w:color="auto"/>
            </w:tcBorders>
            <w:shd w:val="clear" w:color="000000" w:fill="D9D9D9"/>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100,0</w:t>
            </w:r>
          </w:p>
        </w:tc>
        <w:tc>
          <w:tcPr>
            <w:tcW w:w="1464" w:type="dxa"/>
            <w:tcBorders>
              <w:top w:val="nil"/>
              <w:left w:val="nil"/>
              <w:bottom w:val="double" w:sz="6" w:space="0" w:color="auto"/>
              <w:right w:val="single" w:sz="4" w:space="0" w:color="auto"/>
            </w:tcBorders>
            <w:shd w:val="clear" w:color="000000" w:fill="D9D9D9"/>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52</w:t>
            </w:r>
          </w:p>
        </w:tc>
        <w:tc>
          <w:tcPr>
            <w:tcW w:w="1464" w:type="dxa"/>
            <w:tcBorders>
              <w:top w:val="nil"/>
              <w:left w:val="nil"/>
              <w:bottom w:val="double" w:sz="6" w:space="0" w:color="auto"/>
              <w:right w:val="single" w:sz="4" w:space="0" w:color="auto"/>
            </w:tcBorders>
            <w:shd w:val="clear" w:color="000000" w:fill="D9D9D9"/>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100.0</w:t>
            </w:r>
          </w:p>
        </w:tc>
      </w:tr>
    </w:tbl>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Fuente: Subsecretaría de Calidad Educativa</w:t>
      </w: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 xml:space="preserve">El resultado en las pruebas Saber 11° aplicadas en el año 2011 es positivo y la tendencia es muy favorable, toda vez que con relación al año 2010 el 40.8% de los EE Subió de categoría, el 55.1% permanece constante y tan solo el 4.1% Bajó de categoría. Al comparar los resultados con el año 2012 la tendencia no fue tan positiva puesto que el 73.08% de los establecimientos no subieron de categoría sino que tuvieron un comportamiento constante, tan solo el 13.46 % subió de categoría y  bajo 13.46 %, tendencia preocupante, porque de 2 EE que bajaron de categoría en el 2011 se incrementaron  a 7 EE, que porcentualmente representan el 28.57%. </w:t>
      </w:r>
    </w:p>
    <w:p w:rsidR="00E2705A" w:rsidRPr="00E2705A" w:rsidRDefault="00E2705A" w:rsidP="00A92D87">
      <w:pPr>
        <w:autoSpaceDE w:val="0"/>
        <w:autoSpaceDN w:val="0"/>
        <w:adjustRightInd w:val="0"/>
        <w:spacing w:after="200" w:line="240" w:lineRule="auto"/>
        <w:jc w:val="both"/>
        <w:rPr>
          <w:rFonts w:eastAsia="Calibri" w:cs="Arial"/>
          <w:lang w:val="es-ES"/>
        </w:rPr>
      </w:pPr>
      <w:r w:rsidRPr="00E2705A">
        <w:rPr>
          <w:rFonts w:eastAsia="Calibri" w:cs="Arial"/>
          <w:lang w:val="es-ES"/>
        </w:rPr>
        <w:lastRenderedPageBreak/>
        <w:t>Tomando como punto de partida los resultados obtenidos por área en el Municipio de Pasto en el año 2010 y confrontando estos resultados con los obtenidos en el año 2012, se obtiene el siguiente comportamiento:</w:t>
      </w:r>
    </w:p>
    <w:tbl>
      <w:tblPr>
        <w:tblW w:w="7722" w:type="dxa"/>
        <w:jc w:val="center"/>
        <w:tblCellMar>
          <w:left w:w="70" w:type="dxa"/>
          <w:right w:w="70" w:type="dxa"/>
        </w:tblCellMar>
        <w:tblLook w:val="04A0"/>
      </w:tblPr>
      <w:tblGrid>
        <w:gridCol w:w="2495"/>
        <w:gridCol w:w="1203"/>
        <w:gridCol w:w="1202"/>
        <w:gridCol w:w="1485"/>
        <w:gridCol w:w="1337"/>
      </w:tblGrid>
      <w:tr w:rsidR="00E2705A" w:rsidRPr="00E2705A" w:rsidTr="00000F81">
        <w:trPr>
          <w:trHeight w:val="70"/>
          <w:jc w:val="center"/>
        </w:trPr>
        <w:tc>
          <w:tcPr>
            <w:tcW w:w="7722" w:type="dxa"/>
            <w:gridSpan w:val="5"/>
            <w:tcBorders>
              <w:top w:val="single" w:sz="4" w:space="0" w:color="auto"/>
              <w:left w:val="single" w:sz="4" w:space="0" w:color="auto"/>
              <w:bottom w:val="nil"/>
              <w:right w:val="single" w:sz="4" w:space="0" w:color="000000"/>
            </w:tcBorders>
            <w:shd w:val="clear" w:color="auto" w:fill="auto"/>
            <w:noWrap/>
            <w:vAlign w:val="bottom"/>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Tabla No. 10</w:t>
            </w:r>
          </w:p>
        </w:tc>
      </w:tr>
      <w:tr w:rsidR="00E2705A" w:rsidRPr="00E2705A" w:rsidTr="00000F81">
        <w:trPr>
          <w:trHeight w:val="276"/>
          <w:jc w:val="center"/>
        </w:trPr>
        <w:tc>
          <w:tcPr>
            <w:tcW w:w="7722" w:type="dxa"/>
            <w:gridSpan w:val="5"/>
            <w:tcBorders>
              <w:top w:val="nil"/>
              <w:left w:val="single" w:sz="4" w:space="0" w:color="auto"/>
              <w:bottom w:val="nil"/>
              <w:right w:val="single" w:sz="4" w:space="0" w:color="000000"/>
            </w:tcBorders>
            <w:shd w:val="clear" w:color="auto" w:fill="auto"/>
            <w:noWrap/>
            <w:vAlign w:val="bottom"/>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RESULTADOS PROMEDIO ICFES-SABER 11º</w:t>
            </w:r>
          </w:p>
        </w:tc>
      </w:tr>
      <w:tr w:rsidR="00E2705A" w:rsidRPr="00E2705A" w:rsidTr="00000F81">
        <w:trPr>
          <w:trHeight w:val="276"/>
          <w:jc w:val="center"/>
        </w:trPr>
        <w:tc>
          <w:tcPr>
            <w:tcW w:w="7722" w:type="dxa"/>
            <w:gridSpan w:val="5"/>
            <w:tcBorders>
              <w:top w:val="nil"/>
              <w:left w:val="single" w:sz="4" w:space="0" w:color="auto"/>
              <w:bottom w:val="single" w:sz="4" w:space="0" w:color="auto"/>
              <w:right w:val="single" w:sz="4" w:space="0" w:color="000000"/>
            </w:tcBorders>
            <w:shd w:val="clear" w:color="auto" w:fill="auto"/>
            <w:noWrap/>
            <w:vAlign w:val="bottom"/>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MUNICIPIO DE PASTO</w:t>
            </w:r>
          </w:p>
        </w:tc>
      </w:tr>
      <w:tr w:rsidR="00E2705A" w:rsidRPr="00E2705A" w:rsidTr="00000F81">
        <w:trPr>
          <w:trHeight w:val="414"/>
          <w:jc w:val="center"/>
        </w:trPr>
        <w:tc>
          <w:tcPr>
            <w:tcW w:w="2495" w:type="dxa"/>
            <w:tcBorders>
              <w:top w:val="nil"/>
              <w:left w:val="single" w:sz="4" w:space="0" w:color="auto"/>
              <w:bottom w:val="nil"/>
              <w:right w:val="single" w:sz="4" w:space="0" w:color="auto"/>
            </w:tcBorders>
            <w:shd w:val="clear" w:color="000000" w:fill="99CCFF"/>
            <w:noWrap/>
            <w:vAlign w:val="center"/>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AREA</w:t>
            </w:r>
          </w:p>
        </w:tc>
        <w:tc>
          <w:tcPr>
            <w:tcW w:w="1203" w:type="dxa"/>
            <w:tcBorders>
              <w:top w:val="nil"/>
              <w:left w:val="nil"/>
              <w:bottom w:val="single" w:sz="4" w:space="0" w:color="auto"/>
              <w:right w:val="nil"/>
            </w:tcBorders>
            <w:shd w:val="clear" w:color="000000" w:fill="99CCFF"/>
            <w:noWrap/>
            <w:vAlign w:val="center"/>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2010</w:t>
            </w:r>
          </w:p>
        </w:tc>
        <w:tc>
          <w:tcPr>
            <w:tcW w:w="1202" w:type="dxa"/>
            <w:tcBorders>
              <w:top w:val="nil"/>
              <w:left w:val="single" w:sz="4" w:space="0" w:color="auto"/>
              <w:bottom w:val="single" w:sz="4" w:space="0" w:color="auto"/>
              <w:right w:val="nil"/>
            </w:tcBorders>
            <w:shd w:val="clear" w:color="000000" w:fill="99CCFF"/>
            <w:noWrap/>
            <w:vAlign w:val="center"/>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2012</w:t>
            </w:r>
          </w:p>
        </w:tc>
        <w:tc>
          <w:tcPr>
            <w:tcW w:w="1485" w:type="dxa"/>
            <w:tcBorders>
              <w:top w:val="nil"/>
              <w:left w:val="single" w:sz="4" w:space="0" w:color="auto"/>
              <w:bottom w:val="nil"/>
              <w:right w:val="nil"/>
            </w:tcBorders>
            <w:shd w:val="clear" w:color="000000" w:fill="99CCFF"/>
            <w:vAlign w:val="center"/>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INCREMENTO 2012/2010</w:t>
            </w:r>
          </w:p>
        </w:tc>
        <w:tc>
          <w:tcPr>
            <w:tcW w:w="1337" w:type="dxa"/>
            <w:tcBorders>
              <w:top w:val="nil"/>
              <w:left w:val="single" w:sz="4" w:space="0" w:color="auto"/>
              <w:bottom w:val="single" w:sz="4" w:space="0" w:color="auto"/>
              <w:right w:val="single" w:sz="4" w:space="0" w:color="auto"/>
            </w:tcBorders>
            <w:shd w:val="clear" w:color="000000" w:fill="99CCFF"/>
            <w:vAlign w:val="center"/>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TENDENCIA 2012/2010</w:t>
            </w:r>
          </w:p>
        </w:tc>
      </w:tr>
      <w:tr w:rsidR="00E2705A" w:rsidRPr="00E2705A" w:rsidTr="00000F81">
        <w:trPr>
          <w:trHeight w:val="293"/>
          <w:jc w:val="center"/>
        </w:trPr>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BIOLOGIA</w:t>
            </w:r>
          </w:p>
        </w:tc>
        <w:tc>
          <w:tcPr>
            <w:tcW w:w="1203" w:type="dxa"/>
            <w:tcBorders>
              <w:top w:val="nil"/>
              <w:left w:val="nil"/>
              <w:bottom w:val="single" w:sz="4" w:space="0" w:color="auto"/>
              <w:right w:val="single" w:sz="4" w:space="0" w:color="000000"/>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47,49</w:t>
            </w:r>
          </w:p>
        </w:tc>
        <w:tc>
          <w:tcPr>
            <w:tcW w:w="120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46,00</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-1.49</w:t>
            </w:r>
          </w:p>
        </w:tc>
        <w:tc>
          <w:tcPr>
            <w:tcW w:w="133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93"/>
          <w:jc w:val="center"/>
        </w:trPr>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C. SOCIALES</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47,49</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46,07</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-1,42</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93"/>
          <w:jc w:val="center"/>
        </w:trPr>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FILOSOFIA</w:t>
            </w:r>
          </w:p>
        </w:tc>
        <w:tc>
          <w:tcPr>
            <w:tcW w:w="1203" w:type="dxa"/>
            <w:tcBorders>
              <w:top w:val="single" w:sz="4" w:space="0" w:color="auto"/>
              <w:left w:val="nil"/>
              <w:bottom w:val="single" w:sz="4" w:space="0" w:color="000000"/>
              <w:right w:val="single" w:sz="4" w:space="0" w:color="000000"/>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42,45</w:t>
            </w:r>
          </w:p>
        </w:tc>
        <w:tc>
          <w:tcPr>
            <w:tcW w:w="1202" w:type="dxa"/>
            <w:tcBorders>
              <w:top w:val="single" w:sz="4" w:space="0" w:color="auto"/>
              <w:left w:val="nil"/>
              <w:bottom w:val="single" w:sz="4" w:space="0" w:color="000000"/>
              <w:right w:val="single" w:sz="4" w:space="0" w:color="000000"/>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42,08</w:t>
            </w:r>
          </w:p>
        </w:tc>
        <w:tc>
          <w:tcPr>
            <w:tcW w:w="1485" w:type="dxa"/>
            <w:tcBorders>
              <w:top w:val="single" w:sz="4" w:space="0" w:color="auto"/>
              <w:left w:val="nil"/>
              <w:bottom w:val="nil"/>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-0,37</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93"/>
          <w:jc w:val="center"/>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FISICA</w:t>
            </w:r>
          </w:p>
        </w:tc>
        <w:tc>
          <w:tcPr>
            <w:tcW w:w="1203" w:type="dxa"/>
            <w:tcBorders>
              <w:top w:val="nil"/>
              <w:left w:val="nil"/>
              <w:bottom w:val="nil"/>
              <w:right w:val="single" w:sz="4" w:space="0" w:color="000000"/>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45,39</w:t>
            </w:r>
          </w:p>
        </w:tc>
        <w:tc>
          <w:tcPr>
            <w:tcW w:w="1202" w:type="dxa"/>
            <w:tcBorders>
              <w:top w:val="nil"/>
              <w:left w:val="nil"/>
              <w:bottom w:val="nil"/>
              <w:right w:val="single" w:sz="4" w:space="0" w:color="000000"/>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45,26</w:t>
            </w:r>
          </w:p>
        </w:tc>
        <w:tc>
          <w:tcPr>
            <w:tcW w:w="1485" w:type="dxa"/>
            <w:tcBorders>
              <w:top w:val="single" w:sz="4" w:space="0" w:color="auto"/>
              <w:left w:val="nil"/>
              <w:bottom w:val="nil"/>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-0,13</w:t>
            </w:r>
          </w:p>
        </w:tc>
        <w:tc>
          <w:tcPr>
            <w:tcW w:w="133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93"/>
          <w:jc w:val="center"/>
        </w:trPr>
        <w:tc>
          <w:tcPr>
            <w:tcW w:w="249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INGLES</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44,81</w:t>
            </w: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43,93</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-0,88</w:t>
            </w:r>
          </w:p>
        </w:tc>
        <w:tc>
          <w:tcPr>
            <w:tcW w:w="133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93"/>
          <w:jc w:val="center"/>
        </w:trPr>
        <w:tc>
          <w:tcPr>
            <w:tcW w:w="249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LENGUAJE</w:t>
            </w:r>
          </w:p>
        </w:tc>
        <w:tc>
          <w:tcPr>
            <w:tcW w:w="1203" w:type="dxa"/>
            <w:tcBorders>
              <w:top w:val="nil"/>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47,32</w:t>
            </w:r>
          </w:p>
        </w:tc>
        <w:tc>
          <w:tcPr>
            <w:tcW w:w="120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46,69</w:t>
            </w:r>
          </w:p>
        </w:tc>
        <w:tc>
          <w:tcPr>
            <w:tcW w:w="148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-0,63</w:t>
            </w:r>
          </w:p>
        </w:tc>
        <w:tc>
          <w:tcPr>
            <w:tcW w:w="133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93"/>
          <w:jc w:val="center"/>
        </w:trPr>
        <w:tc>
          <w:tcPr>
            <w:tcW w:w="249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MATEMATICA</w:t>
            </w:r>
          </w:p>
        </w:tc>
        <w:tc>
          <w:tcPr>
            <w:tcW w:w="1203" w:type="dxa"/>
            <w:tcBorders>
              <w:top w:val="nil"/>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47,1</w:t>
            </w:r>
          </w:p>
        </w:tc>
        <w:tc>
          <w:tcPr>
            <w:tcW w:w="120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45,77</w:t>
            </w:r>
          </w:p>
        </w:tc>
        <w:tc>
          <w:tcPr>
            <w:tcW w:w="148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-1,33</w:t>
            </w:r>
          </w:p>
        </w:tc>
        <w:tc>
          <w:tcPr>
            <w:tcW w:w="133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93"/>
          <w:jc w:val="center"/>
        </w:trPr>
        <w:tc>
          <w:tcPr>
            <w:tcW w:w="249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MEDIO AMBIENTE</w:t>
            </w:r>
          </w:p>
        </w:tc>
        <w:tc>
          <w:tcPr>
            <w:tcW w:w="1203" w:type="dxa"/>
            <w:tcBorders>
              <w:top w:val="nil"/>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52,37</w:t>
            </w:r>
          </w:p>
        </w:tc>
        <w:tc>
          <w:tcPr>
            <w:tcW w:w="120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52,18</w:t>
            </w:r>
          </w:p>
        </w:tc>
        <w:tc>
          <w:tcPr>
            <w:tcW w:w="148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-0,19</w:t>
            </w:r>
          </w:p>
        </w:tc>
        <w:tc>
          <w:tcPr>
            <w:tcW w:w="133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93"/>
          <w:jc w:val="center"/>
        </w:trPr>
        <w:tc>
          <w:tcPr>
            <w:tcW w:w="249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QUIMICA</w:t>
            </w:r>
          </w:p>
        </w:tc>
        <w:tc>
          <w:tcPr>
            <w:tcW w:w="1203" w:type="dxa"/>
            <w:tcBorders>
              <w:top w:val="nil"/>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48,05</w:t>
            </w:r>
          </w:p>
        </w:tc>
        <w:tc>
          <w:tcPr>
            <w:tcW w:w="120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46,87</w:t>
            </w:r>
          </w:p>
        </w:tc>
        <w:tc>
          <w:tcPr>
            <w:tcW w:w="148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-1,18</w:t>
            </w:r>
          </w:p>
        </w:tc>
        <w:tc>
          <w:tcPr>
            <w:tcW w:w="133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93"/>
          <w:jc w:val="center"/>
        </w:trPr>
        <w:tc>
          <w:tcPr>
            <w:tcW w:w="249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VIOLENCIA Y SOCIEDAD</w:t>
            </w:r>
          </w:p>
        </w:tc>
        <w:tc>
          <w:tcPr>
            <w:tcW w:w="1203" w:type="dxa"/>
            <w:tcBorders>
              <w:top w:val="nil"/>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51,84</w:t>
            </w:r>
          </w:p>
        </w:tc>
        <w:tc>
          <w:tcPr>
            <w:tcW w:w="120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45,20</w:t>
            </w:r>
          </w:p>
        </w:tc>
        <w:tc>
          <w:tcPr>
            <w:tcW w:w="148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-6.64</w:t>
            </w:r>
          </w:p>
        </w:tc>
        <w:tc>
          <w:tcPr>
            <w:tcW w:w="1337"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303"/>
          <w:jc w:val="center"/>
        </w:trPr>
        <w:tc>
          <w:tcPr>
            <w:tcW w:w="6385" w:type="dxa"/>
            <w:gridSpan w:val="4"/>
            <w:tcBorders>
              <w:top w:val="nil"/>
              <w:left w:val="nil"/>
              <w:bottom w:val="nil"/>
              <w:right w:val="nil"/>
            </w:tcBorders>
            <w:shd w:val="clear" w:color="auto" w:fill="auto"/>
            <w:noWrap/>
            <w:vAlign w:val="bottom"/>
            <w:hideMark/>
          </w:tcPr>
          <w:p w:rsidR="00E2705A" w:rsidRPr="00E2705A" w:rsidRDefault="00E2705A" w:rsidP="00A92D87">
            <w:pPr>
              <w:spacing w:after="200" w:line="240" w:lineRule="auto"/>
              <w:rPr>
                <w:rFonts w:eastAsia="Calibri" w:cs="Calibri"/>
                <w:lang w:eastAsia="es-CO"/>
              </w:rPr>
            </w:pPr>
            <w:r w:rsidRPr="00E2705A">
              <w:rPr>
                <w:rFonts w:eastAsia="Calibri" w:cs="Calibri"/>
                <w:lang w:eastAsia="es-CO"/>
              </w:rPr>
              <w:t>FUENTE: MEN, histórico 2010 e ICFES, página WEB, resultados 2013</w:t>
            </w:r>
          </w:p>
        </w:tc>
        <w:tc>
          <w:tcPr>
            <w:tcW w:w="1337" w:type="dxa"/>
            <w:tcBorders>
              <w:top w:val="nil"/>
              <w:left w:val="nil"/>
              <w:bottom w:val="nil"/>
              <w:right w:val="nil"/>
            </w:tcBorders>
            <w:shd w:val="clear" w:color="auto" w:fill="auto"/>
            <w:noWrap/>
            <w:vAlign w:val="bottom"/>
            <w:hideMark/>
          </w:tcPr>
          <w:p w:rsidR="00E2705A" w:rsidRPr="00E2705A" w:rsidRDefault="00E2705A" w:rsidP="00A92D87">
            <w:pPr>
              <w:spacing w:after="200" w:line="240" w:lineRule="auto"/>
              <w:rPr>
                <w:rFonts w:eastAsia="Calibri" w:cs="Calibri"/>
                <w:lang w:eastAsia="es-CO"/>
              </w:rPr>
            </w:pPr>
          </w:p>
        </w:tc>
      </w:tr>
    </w:tbl>
    <w:p w:rsidR="00E2705A" w:rsidRPr="00E2705A" w:rsidRDefault="00E2705A" w:rsidP="00A92D87">
      <w:pPr>
        <w:autoSpaceDE w:val="0"/>
        <w:autoSpaceDN w:val="0"/>
        <w:adjustRightInd w:val="0"/>
        <w:spacing w:after="200" w:line="240" w:lineRule="auto"/>
        <w:jc w:val="both"/>
        <w:rPr>
          <w:rFonts w:eastAsia="Calibri" w:cs="Arial"/>
          <w:lang w:val="es-ES"/>
        </w:rPr>
      </w:pPr>
      <w:r w:rsidRPr="00E2705A">
        <w:rPr>
          <w:rFonts w:eastAsia="Calibri" w:cs="Arial"/>
          <w:lang w:val="es-ES"/>
        </w:rPr>
        <w:t>De acuerdo estos resultados contenidos en la anterior tabla, se puede determinar que desafortunadamente se presenta un descenso en todas las áreas, al comparar el año 2010 con el 2012,  se obtiene que en violencia y sociedad se registra la mayor diferencia 6.64 puntos, le siguen en orden descendente biología con 1.49 puntos, sociales 1.42 puntos, matemáticas 1.33puntos, química 1.18 puntos, ingles 0.88 punto, lenguaje 0.63 puntos , filosofía 0.37 puntos, medio ambiente 0.19 puntos y la menor diferencia se observa en física con 0.13 puntos.</w:t>
      </w:r>
    </w:p>
    <w:p w:rsidR="00E2705A" w:rsidRPr="00E2705A" w:rsidRDefault="00E2705A" w:rsidP="00A92D87">
      <w:pPr>
        <w:autoSpaceDE w:val="0"/>
        <w:autoSpaceDN w:val="0"/>
        <w:adjustRightInd w:val="0"/>
        <w:spacing w:after="200" w:line="240" w:lineRule="auto"/>
        <w:jc w:val="both"/>
        <w:rPr>
          <w:rFonts w:eastAsia="Calibri" w:cs="Tahoma"/>
          <w:b/>
          <w:lang w:val="es-ES"/>
        </w:rPr>
      </w:pPr>
    </w:p>
    <w:tbl>
      <w:tblPr>
        <w:tblW w:w="8057" w:type="dxa"/>
        <w:jc w:val="center"/>
        <w:tblCellMar>
          <w:left w:w="70" w:type="dxa"/>
          <w:right w:w="70" w:type="dxa"/>
        </w:tblCellMar>
        <w:tblLook w:val="04A0"/>
      </w:tblPr>
      <w:tblGrid>
        <w:gridCol w:w="2903"/>
        <w:gridCol w:w="834"/>
        <w:gridCol w:w="867"/>
        <w:gridCol w:w="925"/>
        <w:gridCol w:w="1394"/>
        <w:gridCol w:w="1238"/>
      </w:tblGrid>
      <w:tr w:rsidR="00E2705A" w:rsidRPr="00E2705A" w:rsidTr="00000F81">
        <w:trPr>
          <w:trHeight w:val="414"/>
          <w:jc w:val="center"/>
        </w:trPr>
        <w:tc>
          <w:tcPr>
            <w:tcW w:w="8057" w:type="dxa"/>
            <w:gridSpan w:val="6"/>
            <w:tcBorders>
              <w:top w:val="single" w:sz="4" w:space="0" w:color="auto"/>
              <w:left w:val="single" w:sz="4" w:space="0" w:color="auto"/>
              <w:bottom w:val="nil"/>
              <w:right w:val="single" w:sz="4" w:space="0" w:color="000000"/>
            </w:tcBorders>
            <w:shd w:val="clear" w:color="auto" w:fill="auto"/>
            <w:noWrap/>
            <w:vAlign w:val="bottom"/>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Tabla No. 11</w:t>
            </w:r>
          </w:p>
        </w:tc>
      </w:tr>
      <w:tr w:rsidR="00E2705A" w:rsidRPr="00E2705A" w:rsidTr="00000F81">
        <w:trPr>
          <w:trHeight w:val="300"/>
          <w:jc w:val="center"/>
        </w:trPr>
        <w:tc>
          <w:tcPr>
            <w:tcW w:w="8057" w:type="dxa"/>
            <w:gridSpan w:val="6"/>
            <w:tcBorders>
              <w:top w:val="nil"/>
              <w:left w:val="single" w:sz="4" w:space="0" w:color="auto"/>
              <w:bottom w:val="nil"/>
              <w:right w:val="single" w:sz="4" w:space="0" w:color="000000"/>
            </w:tcBorders>
            <w:shd w:val="clear" w:color="auto" w:fill="auto"/>
            <w:noWrap/>
            <w:vAlign w:val="bottom"/>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MUNICIPIO DE PASTO</w:t>
            </w:r>
          </w:p>
        </w:tc>
      </w:tr>
      <w:tr w:rsidR="00E2705A" w:rsidRPr="00E2705A" w:rsidTr="00000F81">
        <w:trPr>
          <w:trHeight w:val="286"/>
          <w:jc w:val="center"/>
        </w:trPr>
        <w:tc>
          <w:tcPr>
            <w:tcW w:w="8057" w:type="dxa"/>
            <w:gridSpan w:val="6"/>
            <w:tcBorders>
              <w:top w:val="nil"/>
              <w:left w:val="single" w:sz="4" w:space="0" w:color="auto"/>
              <w:bottom w:val="single" w:sz="4" w:space="0" w:color="auto"/>
              <w:right w:val="single" w:sz="4" w:space="0" w:color="000000"/>
            </w:tcBorders>
            <w:shd w:val="clear" w:color="auto" w:fill="auto"/>
            <w:noWrap/>
            <w:vAlign w:val="bottom"/>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lastRenderedPageBreak/>
              <w:t>COMPORTAMIENTO HISTORICO SABER 11º</w:t>
            </w:r>
          </w:p>
        </w:tc>
      </w:tr>
      <w:tr w:rsidR="00E2705A" w:rsidRPr="00E2705A" w:rsidTr="00000F81">
        <w:trPr>
          <w:trHeight w:val="543"/>
          <w:jc w:val="center"/>
        </w:trPr>
        <w:tc>
          <w:tcPr>
            <w:tcW w:w="2903" w:type="dxa"/>
            <w:tcBorders>
              <w:top w:val="nil"/>
              <w:left w:val="single" w:sz="4" w:space="0" w:color="auto"/>
              <w:bottom w:val="nil"/>
              <w:right w:val="single" w:sz="4" w:space="0" w:color="auto"/>
            </w:tcBorders>
            <w:shd w:val="clear" w:color="000000" w:fill="99CCFF"/>
            <w:noWrap/>
            <w:vAlign w:val="center"/>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AREA</w:t>
            </w:r>
          </w:p>
        </w:tc>
        <w:tc>
          <w:tcPr>
            <w:tcW w:w="834" w:type="dxa"/>
            <w:tcBorders>
              <w:top w:val="nil"/>
              <w:left w:val="nil"/>
              <w:bottom w:val="single" w:sz="4" w:space="0" w:color="auto"/>
              <w:right w:val="single" w:sz="4" w:space="0" w:color="auto"/>
            </w:tcBorders>
            <w:shd w:val="clear" w:color="000000" w:fill="99CCFF"/>
            <w:noWrap/>
            <w:vAlign w:val="center"/>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2009</w:t>
            </w:r>
          </w:p>
        </w:tc>
        <w:tc>
          <w:tcPr>
            <w:tcW w:w="867" w:type="dxa"/>
            <w:tcBorders>
              <w:top w:val="nil"/>
              <w:left w:val="nil"/>
              <w:bottom w:val="single" w:sz="4" w:space="0" w:color="auto"/>
              <w:right w:val="single" w:sz="4" w:space="0" w:color="auto"/>
            </w:tcBorders>
            <w:shd w:val="clear" w:color="000000" w:fill="99CCFF"/>
            <w:noWrap/>
            <w:vAlign w:val="center"/>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2010</w:t>
            </w:r>
          </w:p>
        </w:tc>
        <w:tc>
          <w:tcPr>
            <w:tcW w:w="925" w:type="dxa"/>
            <w:tcBorders>
              <w:top w:val="nil"/>
              <w:left w:val="nil"/>
              <w:bottom w:val="single" w:sz="4" w:space="0" w:color="auto"/>
              <w:right w:val="single" w:sz="4" w:space="0" w:color="auto"/>
            </w:tcBorders>
            <w:shd w:val="clear" w:color="000000" w:fill="99CCFF"/>
            <w:noWrap/>
            <w:vAlign w:val="center"/>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2011</w:t>
            </w:r>
          </w:p>
        </w:tc>
        <w:tc>
          <w:tcPr>
            <w:tcW w:w="1290" w:type="dxa"/>
            <w:tcBorders>
              <w:top w:val="nil"/>
              <w:left w:val="nil"/>
              <w:bottom w:val="single" w:sz="4" w:space="0" w:color="auto"/>
              <w:right w:val="single" w:sz="4" w:space="0" w:color="auto"/>
            </w:tcBorders>
            <w:shd w:val="clear" w:color="000000" w:fill="99CCFF"/>
            <w:vAlign w:val="center"/>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INCREMENTO 2011/2009</w:t>
            </w:r>
          </w:p>
        </w:tc>
        <w:tc>
          <w:tcPr>
            <w:tcW w:w="1238" w:type="dxa"/>
            <w:tcBorders>
              <w:top w:val="nil"/>
              <w:left w:val="nil"/>
              <w:bottom w:val="single" w:sz="4" w:space="0" w:color="auto"/>
              <w:right w:val="single" w:sz="4" w:space="0" w:color="auto"/>
            </w:tcBorders>
            <w:shd w:val="clear" w:color="000000" w:fill="99CCFF"/>
            <w:vAlign w:val="center"/>
            <w:hideMark/>
          </w:tcPr>
          <w:p w:rsidR="00E2705A" w:rsidRPr="00E2705A" w:rsidRDefault="00E2705A" w:rsidP="00A92D87">
            <w:pPr>
              <w:spacing w:after="200" w:line="240" w:lineRule="auto"/>
              <w:jc w:val="center"/>
              <w:rPr>
                <w:rFonts w:eastAsia="Calibri" w:cs="Arial"/>
                <w:b/>
                <w:bCs/>
                <w:lang w:eastAsia="es-CO"/>
              </w:rPr>
            </w:pPr>
            <w:r w:rsidRPr="00E2705A">
              <w:rPr>
                <w:rFonts w:eastAsia="Calibri" w:cs="Arial"/>
                <w:b/>
                <w:bCs/>
                <w:lang w:eastAsia="es-CO"/>
              </w:rPr>
              <w:t>TENDENCIA 2011/2009</w:t>
            </w:r>
          </w:p>
        </w:tc>
      </w:tr>
      <w:tr w:rsidR="00E2705A" w:rsidRPr="00E2705A" w:rsidTr="00000F81">
        <w:trPr>
          <w:trHeight w:val="286"/>
          <w:jc w:val="center"/>
        </w:trPr>
        <w:tc>
          <w:tcPr>
            <w:tcW w:w="2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BIOLOGIA</w:t>
            </w:r>
          </w:p>
        </w:tc>
        <w:tc>
          <w:tcPr>
            <w:tcW w:w="834"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45,89</w:t>
            </w:r>
          </w:p>
        </w:tc>
        <w:tc>
          <w:tcPr>
            <w:tcW w:w="867"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47,49</w:t>
            </w:r>
          </w:p>
        </w:tc>
        <w:tc>
          <w:tcPr>
            <w:tcW w:w="92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47.06</w:t>
            </w:r>
          </w:p>
        </w:tc>
        <w:tc>
          <w:tcPr>
            <w:tcW w:w="1290"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1.17</w:t>
            </w:r>
          </w:p>
        </w:tc>
        <w:tc>
          <w:tcPr>
            <w:tcW w:w="1238"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SUBE</w:t>
            </w:r>
          </w:p>
        </w:tc>
      </w:tr>
      <w:tr w:rsidR="00E2705A" w:rsidRPr="00E2705A" w:rsidTr="00000F81">
        <w:trPr>
          <w:trHeight w:val="286"/>
          <w:jc w:val="center"/>
        </w:trPr>
        <w:tc>
          <w:tcPr>
            <w:tcW w:w="2903"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C. SOCIALES</w:t>
            </w:r>
          </w:p>
        </w:tc>
        <w:tc>
          <w:tcPr>
            <w:tcW w:w="834"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46,17</w:t>
            </w:r>
          </w:p>
        </w:tc>
        <w:tc>
          <w:tcPr>
            <w:tcW w:w="867"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47,49</w:t>
            </w:r>
          </w:p>
        </w:tc>
        <w:tc>
          <w:tcPr>
            <w:tcW w:w="92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47,27</w:t>
            </w:r>
          </w:p>
        </w:tc>
        <w:tc>
          <w:tcPr>
            <w:tcW w:w="1290"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1,10</w:t>
            </w:r>
          </w:p>
        </w:tc>
        <w:tc>
          <w:tcPr>
            <w:tcW w:w="1238"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SUBE</w:t>
            </w:r>
          </w:p>
        </w:tc>
      </w:tr>
      <w:tr w:rsidR="00E2705A" w:rsidRPr="00E2705A" w:rsidTr="00000F81">
        <w:trPr>
          <w:trHeight w:val="286"/>
          <w:jc w:val="center"/>
        </w:trPr>
        <w:tc>
          <w:tcPr>
            <w:tcW w:w="2903"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FILOSOFIA</w:t>
            </w:r>
          </w:p>
        </w:tc>
        <w:tc>
          <w:tcPr>
            <w:tcW w:w="834"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41,04</w:t>
            </w:r>
          </w:p>
        </w:tc>
        <w:tc>
          <w:tcPr>
            <w:tcW w:w="867"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42,45</w:t>
            </w:r>
          </w:p>
        </w:tc>
        <w:tc>
          <w:tcPr>
            <w:tcW w:w="92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42.23</w:t>
            </w:r>
          </w:p>
        </w:tc>
        <w:tc>
          <w:tcPr>
            <w:tcW w:w="1290"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1,19</w:t>
            </w:r>
          </w:p>
        </w:tc>
        <w:tc>
          <w:tcPr>
            <w:tcW w:w="1238"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SUBE</w:t>
            </w:r>
          </w:p>
        </w:tc>
      </w:tr>
      <w:tr w:rsidR="00E2705A" w:rsidRPr="00E2705A" w:rsidTr="00000F81">
        <w:trPr>
          <w:trHeight w:val="286"/>
          <w:jc w:val="center"/>
        </w:trPr>
        <w:tc>
          <w:tcPr>
            <w:tcW w:w="2903"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FISICA</w:t>
            </w:r>
          </w:p>
        </w:tc>
        <w:tc>
          <w:tcPr>
            <w:tcW w:w="834"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43,14</w:t>
            </w:r>
          </w:p>
        </w:tc>
        <w:tc>
          <w:tcPr>
            <w:tcW w:w="867"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45,39</w:t>
            </w:r>
          </w:p>
        </w:tc>
        <w:tc>
          <w:tcPr>
            <w:tcW w:w="92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46.40</w:t>
            </w:r>
          </w:p>
        </w:tc>
        <w:tc>
          <w:tcPr>
            <w:tcW w:w="1290"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3,26</w:t>
            </w:r>
          </w:p>
        </w:tc>
        <w:tc>
          <w:tcPr>
            <w:tcW w:w="1238"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SUBE</w:t>
            </w:r>
          </w:p>
        </w:tc>
      </w:tr>
      <w:tr w:rsidR="00E2705A" w:rsidRPr="00E2705A" w:rsidTr="00000F81">
        <w:trPr>
          <w:trHeight w:val="286"/>
          <w:jc w:val="center"/>
        </w:trPr>
        <w:tc>
          <w:tcPr>
            <w:tcW w:w="2903"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INGLES</w:t>
            </w:r>
          </w:p>
        </w:tc>
        <w:tc>
          <w:tcPr>
            <w:tcW w:w="834"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43,30</w:t>
            </w:r>
          </w:p>
        </w:tc>
        <w:tc>
          <w:tcPr>
            <w:tcW w:w="867"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44,81</w:t>
            </w:r>
          </w:p>
        </w:tc>
        <w:tc>
          <w:tcPr>
            <w:tcW w:w="92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45.02</w:t>
            </w:r>
          </w:p>
        </w:tc>
        <w:tc>
          <w:tcPr>
            <w:tcW w:w="1290"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1,72</w:t>
            </w:r>
          </w:p>
        </w:tc>
        <w:tc>
          <w:tcPr>
            <w:tcW w:w="1238"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SUBE</w:t>
            </w:r>
          </w:p>
        </w:tc>
      </w:tr>
      <w:tr w:rsidR="00E2705A" w:rsidRPr="00E2705A" w:rsidTr="00000F81">
        <w:trPr>
          <w:trHeight w:val="286"/>
          <w:jc w:val="center"/>
        </w:trPr>
        <w:tc>
          <w:tcPr>
            <w:tcW w:w="2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LENGUAJE</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46,96</w:t>
            </w:r>
          </w:p>
        </w:tc>
        <w:tc>
          <w:tcPr>
            <w:tcW w:w="867"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47,32</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49.38</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2,42</w:t>
            </w:r>
          </w:p>
        </w:tc>
        <w:tc>
          <w:tcPr>
            <w:tcW w:w="1238"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SUBE</w:t>
            </w:r>
          </w:p>
        </w:tc>
      </w:tr>
      <w:tr w:rsidR="00E2705A" w:rsidRPr="00E2705A" w:rsidTr="00000F81">
        <w:trPr>
          <w:trHeight w:val="286"/>
          <w:jc w:val="center"/>
        </w:trPr>
        <w:tc>
          <w:tcPr>
            <w:tcW w:w="2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MATEMATICA</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44,56</w:t>
            </w:r>
          </w:p>
        </w:tc>
        <w:tc>
          <w:tcPr>
            <w:tcW w:w="867"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47,1</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49.67</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5,11</w:t>
            </w:r>
          </w:p>
        </w:tc>
        <w:tc>
          <w:tcPr>
            <w:tcW w:w="1238"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SUBE</w:t>
            </w:r>
          </w:p>
        </w:tc>
      </w:tr>
      <w:tr w:rsidR="00E2705A" w:rsidRPr="00E2705A" w:rsidTr="00000F81">
        <w:trPr>
          <w:trHeight w:val="286"/>
          <w:jc w:val="center"/>
        </w:trPr>
        <w:tc>
          <w:tcPr>
            <w:tcW w:w="2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MEDIO AMBIENTE</w:t>
            </w:r>
          </w:p>
        </w:tc>
        <w:tc>
          <w:tcPr>
            <w:tcW w:w="834" w:type="dxa"/>
            <w:tcBorders>
              <w:top w:val="single" w:sz="4" w:space="0" w:color="auto"/>
              <w:left w:val="nil"/>
              <w:bottom w:val="single" w:sz="4" w:space="0" w:color="auto"/>
              <w:right w:val="nil"/>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52,50</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52,37</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52.19</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-0,48</w:t>
            </w:r>
          </w:p>
        </w:tc>
        <w:tc>
          <w:tcPr>
            <w:tcW w:w="1238"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BAJA</w:t>
            </w:r>
          </w:p>
        </w:tc>
      </w:tr>
      <w:tr w:rsidR="00E2705A" w:rsidRPr="00E2705A" w:rsidTr="00000F81">
        <w:trPr>
          <w:trHeight w:val="286"/>
          <w:jc w:val="center"/>
        </w:trPr>
        <w:tc>
          <w:tcPr>
            <w:tcW w:w="2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QUIMICA</w:t>
            </w:r>
          </w:p>
        </w:tc>
        <w:tc>
          <w:tcPr>
            <w:tcW w:w="834" w:type="dxa"/>
            <w:tcBorders>
              <w:top w:val="single" w:sz="4" w:space="0" w:color="auto"/>
              <w:left w:val="nil"/>
              <w:bottom w:val="single" w:sz="4" w:space="0" w:color="000000"/>
              <w:right w:val="nil"/>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46,11</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48,05</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46.51</w:t>
            </w:r>
          </w:p>
        </w:tc>
        <w:tc>
          <w:tcPr>
            <w:tcW w:w="1290"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0,40</w:t>
            </w:r>
          </w:p>
        </w:tc>
        <w:tc>
          <w:tcPr>
            <w:tcW w:w="1238" w:type="dxa"/>
            <w:tcBorders>
              <w:top w:val="single" w:sz="4" w:space="0" w:color="auto"/>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SUBE</w:t>
            </w:r>
          </w:p>
        </w:tc>
      </w:tr>
      <w:tr w:rsidR="00E2705A" w:rsidRPr="00E2705A" w:rsidTr="00000F81">
        <w:trPr>
          <w:trHeight w:val="286"/>
          <w:jc w:val="center"/>
        </w:trPr>
        <w:tc>
          <w:tcPr>
            <w:tcW w:w="2903"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rPr>
                <w:rFonts w:eastAsia="Calibri" w:cs="Arial"/>
                <w:lang w:eastAsia="es-CO"/>
              </w:rPr>
            </w:pPr>
            <w:r w:rsidRPr="00E2705A">
              <w:rPr>
                <w:rFonts w:eastAsia="Calibri" w:cs="Arial"/>
                <w:lang w:eastAsia="es-CO"/>
              </w:rPr>
              <w:t>VIOLENCIA Y SOCIEDAD</w:t>
            </w:r>
          </w:p>
        </w:tc>
        <w:tc>
          <w:tcPr>
            <w:tcW w:w="834" w:type="dxa"/>
            <w:tcBorders>
              <w:top w:val="nil"/>
              <w:left w:val="nil"/>
              <w:bottom w:val="single" w:sz="4" w:space="0" w:color="000000"/>
              <w:right w:val="nil"/>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43,76</w:t>
            </w:r>
          </w:p>
        </w:tc>
        <w:tc>
          <w:tcPr>
            <w:tcW w:w="867" w:type="dxa"/>
            <w:tcBorders>
              <w:top w:val="nil"/>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51,84</w:t>
            </w:r>
          </w:p>
        </w:tc>
        <w:tc>
          <w:tcPr>
            <w:tcW w:w="925"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45.41</w:t>
            </w:r>
          </w:p>
        </w:tc>
        <w:tc>
          <w:tcPr>
            <w:tcW w:w="1290"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1.65</w:t>
            </w:r>
          </w:p>
        </w:tc>
        <w:tc>
          <w:tcPr>
            <w:tcW w:w="1238"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Calibri" w:cs="Arial"/>
                <w:lang w:eastAsia="es-CO"/>
              </w:rPr>
            </w:pPr>
            <w:r w:rsidRPr="00E2705A">
              <w:rPr>
                <w:rFonts w:eastAsia="Calibri" w:cs="Arial"/>
                <w:lang w:eastAsia="es-CO"/>
              </w:rPr>
              <w:t>SUBE</w:t>
            </w:r>
          </w:p>
        </w:tc>
      </w:tr>
      <w:tr w:rsidR="00E2705A" w:rsidRPr="00E2705A" w:rsidTr="00000F81">
        <w:trPr>
          <w:trHeight w:val="300"/>
          <w:jc w:val="center"/>
        </w:trPr>
        <w:tc>
          <w:tcPr>
            <w:tcW w:w="8057" w:type="dxa"/>
            <w:gridSpan w:val="6"/>
            <w:tcBorders>
              <w:top w:val="nil"/>
              <w:left w:val="nil"/>
              <w:bottom w:val="nil"/>
              <w:right w:val="nil"/>
            </w:tcBorders>
            <w:shd w:val="clear" w:color="auto" w:fill="auto"/>
            <w:noWrap/>
            <w:vAlign w:val="bottom"/>
            <w:hideMark/>
          </w:tcPr>
          <w:p w:rsidR="00E2705A" w:rsidRPr="00E2705A" w:rsidRDefault="00E2705A" w:rsidP="00A92D87">
            <w:pPr>
              <w:spacing w:after="200" w:line="240" w:lineRule="auto"/>
              <w:rPr>
                <w:rFonts w:eastAsia="Calibri" w:cs="Calibri"/>
                <w:lang w:val="es-ES" w:eastAsia="es-CO"/>
              </w:rPr>
            </w:pPr>
            <w:r w:rsidRPr="00E2705A">
              <w:rPr>
                <w:rFonts w:eastAsia="Calibri" w:cs="Calibri"/>
                <w:lang w:eastAsia="es-CO"/>
              </w:rPr>
              <w:t>FUENTE: MEN, histórico 2009 e ICFES, página WEB, resultados 2011</w:t>
            </w:r>
          </w:p>
        </w:tc>
      </w:tr>
    </w:tbl>
    <w:p w:rsidR="00E2705A" w:rsidRPr="00E2705A" w:rsidRDefault="00E2705A" w:rsidP="00A92D87">
      <w:pPr>
        <w:spacing w:after="200" w:line="240" w:lineRule="auto"/>
        <w:rPr>
          <w:rFonts w:eastAsia="Calibri" w:cs="Tahoma"/>
          <w:b/>
        </w:rPr>
      </w:pP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Al comparar el año 2009 con 2011 se observa una tendencia bastante positiva pues hubo un incremento todas las áreas fundamentales, destacándose matemáticas con 5.11 puntos, le sigue en orden descendente  física con 3.26 puntos, lenguaje con 2.42 puntos.</w:t>
      </w:r>
    </w:p>
    <w:p w:rsidR="00E2705A" w:rsidRPr="00E2705A" w:rsidRDefault="00E2705A" w:rsidP="00A92D87">
      <w:pPr>
        <w:autoSpaceDE w:val="0"/>
        <w:autoSpaceDN w:val="0"/>
        <w:adjustRightInd w:val="0"/>
        <w:spacing w:after="200" w:line="240" w:lineRule="auto"/>
        <w:jc w:val="both"/>
        <w:rPr>
          <w:rFonts w:eastAsia="Calibri" w:cs="Arial"/>
          <w:iCs/>
          <w:color w:val="000000"/>
        </w:rPr>
      </w:pPr>
      <w:r w:rsidRPr="00E2705A">
        <w:rPr>
          <w:rFonts w:eastAsia="Calibri" w:cs="Arial"/>
          <w:color w:val="000000"/>
        </w:rPr>
        <w:t xml:space="preserve">Finalmente hay que señalar que desde el año 2002, hasta el año 2010, ninguna institución educativa oficial de Pasto se  ubica en el rango </w:t>
      </w:r>
      <w:r w:rsidRPr="00E2705A">
        <w:rPr>
          <w:rFonts w:eastAsia="Calibri" w:cs="Arial"/>
          <w:iCs/>
          <w:color w:val="000000"/>
        </w:rPr>
        <w:t>Muy Inferior.</w:t>
      </w:r>
    </w:p>
    <w:p w:rsidR="00E2705A" w:rsidRPr="00E2705A" w:rsidRDefault="00E2705A" w:rsidP="00A92D87">
      <w:pPr>
        <w:spacing w:after="200" w:line="240" w:lineRule="auto"/>
        <w:jc w:val="both"/>
        <w:rPr>
          <w:rFonts w:eastAsia="Times New Roman" w:cs="Arial"/>
          <w:b/>
          <w:i/>
          <w:lang w:eastAsia="es-ES"/>
        </w:rPr>
      </w:pPr>
      <w:r w:rsidRPr="00E2705A">
        <w:rPr>
          <w:rFonts w:eastAsia="Times New Roman" w:cs="Arial"/>
          <w:b/>
          <w:i/>
          <w:lang w:eastAsia="es-ES"/>
        </w:rPr>
        <w:t xml:space="preserve">COMPARATIVO RESULTADOS AGREGADOS SABER 11 POR NATURALEZA DE LA INSTITUCION EDUCATIVA </w:t>
      </w:r>
    </w:p>
    <w:p w:rsidR="00E2705A" w:rsidRPr="00E2705A" w:rsidRDefault="00E2705A" w:rsidP="00A92D87">
      <w:pPr>
        <w:spacing w:after="200" w:line="240" w:lineRule="auto"/>
        <w:jc w:val="both"/>
        <w:rPr>
          <w:rFonts w:eastAsia="Times New Roman" w:cs="Arial"/>
          <w:b/>
          <w:i/>
          <w:lang w:eastAsia="es-ES"/>
        </w:rPr>
      </w:pPr>
      <w:r w:rsidRPr="00E2705A">
        <w:rPr>
          <w:rFonts w:eastAsia="Times New Roman" w:cs="Arial"/>
          <w:b/>
          <w:i/>
          <w:lang w:eastAsia="es-ES"/>
        </w:rPr>
        <w:t xml:space="preserve">Al comparar los resultados de los promedios obtenidos en las ocho materias fundamentales, en los establecimientos educativos según la naturaleza del establecimiento, se observa en la Tabla No. 31 que los establecimientos no oficiales registran en todas las áreas un promedio más alto que los no oficiales en su orden la diferencia más grande con 4 puntos se registra en inglés, seguido por matemáticas con 3.94 puntos, luego filosofía con 2.81, química con 2.53 puntos, biología con 2.52 puntos, lenguaje con 2.45 puntos,  sociales con 1.83 puntos y física con 0.97 puntos. </w:t>
      </w:r>
    </w:p>
    <w:p w:rsidR="00E2705A" w:rsidRPr="00E2705A" w:rsidRDefault="00E2705A" w:rsidP="00A92D87">
      <w:pPr>
        <w:spacing w:after="200" w:line="240" w:lineRule="auto"/>
        <w:jc w:val="both"/>
        <w:rPr>
          <w:rFonts w:eastAsia="Times New Roman" w:cs="Arial"/>
          <w:b/>
          <w:i/>
          <w:lang w:eastAsia="es-ES"/>
        </w:rPr>
      </w:pPr>
      <w:r w:rsidRPr="00E2705A">
        <w:rPr>
          <w:rFonts w:eastAsia="Times New Roman" w:cs="Arial"/>
          <w:b/>
          <w:i/>
          <w:lang w:eastAsia="es-ES"/>
        </w:rPr>
        <w:t xml:space="preserve"> </w:t>
      </w:r>
    </w:p>
    <w:p w:rsidR="00E2705A" w:rsidRPr="00E2705A" w:rsidRDefault="00E2705A" w:rsidP="00A92D87">
      <w:pPr>
        <w:spacing w:after="200" w:line="240" w:lineRule="auto"/>
        <w:jc w:val="both"/>
        <w:rPr>
          <w:rFonts w:eastAsia="Times New Roman" w:cs="Arial"/>
          <w:b/>
          <w:i/>
          <w:lang w:eastAsia="es-ES"/>
        </w:rPr>
      </w:pPr>
      <w:r w:rsidRPr="00E2705A">
        <w:rPr>
          <w:rFonts w:eastAsia="Times New Roman" w:cs="Arial"/>
          <w:b/>
          <w:i/>
          <w:lang w:eastAsia="es-ES"/>
        </w:rPr>
        <w:lastRenderedPageBreak/>
        <w:t xml:space="preserve">Para mejorar  estos resultados  Secretaría de Educación municipal de Pasto, programará acciones pertinentes para realizar asesoría y acompañamiento permanente  a los diferentes establecimientos educativos en el subproceso  de evaluación de estudiantes, para que de manera conjunta con directivos y docentes se revise los planes aula elaborados en cada una de las áreas para buscar estrategias institucionales de mejora de la calidad educativa. Es por ello que los directivos y docentes harán  uso de los resultados  estadísticos de la evaluación interna los cuales serán comparados  con los resultados de la evaluación externa, que servirán como insumos a considerarse para plantear estrategias que permitan el mejoramiento en el rendimiento académico de los estudiantes en la diferentes instituciones las cuales deben ser evaluadas en forma periódica y anual, al igual que se socializaran  los resultados con los docentes, estudiantes, padres de familia para establecer alternativas de progreso donde se </w:t>
      </w:r>
      <w:r w:rsidR="007E5119" w:rsidRPr="00E2705A">
        <w:rPr>
          <w:rFonts w:eastAsia="Times New Roman" w:cs="Arial"/>
          <w:b/>
          <w:i/>
          <w:lang w:eastAsia="es-ES"/>
        </w:rPr>
        <w:t>dé</w:t>
      </w:r>
      <w:r w:rsidRPr="00E2705A">
        <w:rPr>
          <w:rFonts w:eastAsia="Times New Roman" w:cs="Arial"/>
          <w:b/>
          <w:i/>
          <w:lang w:eastAsia="es-ES"/>
        </w:rPr>
        <w:t xml:space="preserve"> un compromiso  de corresponsabilidad.</w:t>
      </w:r>
    </w:p>
    <w:p w:rsidR="00E2705A" w:rsidRPr="00E2705A" w:rsidRDefault="00E2705A" w:rsidP="00A92D87">
      <w:pPr>
        <w:spacing w:after="200" w:line="240" w:lineRule="auto"/>
        <w:jc w:val="both"/>
        <w:rPr>
          <w:rFonts w:eastAsia="Times New Roman" w:cs="Arial"/>
          <w:b/>
          <w:i/>
          <w:lang w:eastAsia="es-ES"/>
        </w:rPr>
      </w:pPr>
      <w:r w:rsidRPr="00E2705A">
        <w:rPr>
          <w:rFonts w:eastAsia="Times New Roman" w:cs="Arial"/>
          <w:b/>
          <w:i/>
          <w:lang w:eastAsia="es-ES"/>
        </w:rPr>
        <w:t xml:space="preserve">Los Establecimientos Educativos deben participar activamente en los diferentes  programas  o proyectos  que el Ministerio de Educación Nacional genera en pro del mejoramiento de la calidad educativa como Plan Nacional de Lectura, Supérate con el Saber, Todos a Aprender, Programa Nacional de bilingüismo, Desarrollo Profesional situado, TICS,  Proyectos trasversales e Investigación Pedagógica.    </w:t>
      </w:r>
    </w:p>
    <w:p w:rsidR="00E2705A" w:rsidRPr="00E2705A" w:rsidRDefault="00E2705A" w:rsidP="00A92D87">
      <w:pPr>
        <w:spacing w:after="200" w:line="240" w:lineRule="auto"/>
        <w:rPr>
          <w:rFonts w:eastAsia="Calibri" w:cs="Arial"/>
          <w:b/>
          <w:i/>
          <w:lang w:val="es-ES"/>
        </w:rPr>
      </w:pPr>
      <w:r w:rsidRPr="00E2705A">
        <w:rPr>
          <w:rFonts w:eastAsia="Times New Roman" w:cs="Arial"/>
          <w:b/>
          <w:i/>
          <w:lang w:eastAsia="es-ES"/>
        </w:rPr>
        <w:t xml:space="preserve"> </w:t>
      </w:r>
      <w:r w:rsidRPr="00E2705A">
        <w:rPr>
          <w:rFonts w:eastAsia="Calibri" w:cs="Arial"/>
          <w:b/>
          <w:i/>
          <w:lang w:val="es-ES"/>
        </w:rPr>
        <w:t>COMPARATIVO RESULTADOS AGREGADOS SABER 11 SEGÚN LA UBICACIÓN GEOGRÁFICA</w:t>
      </w:r>
    </w:p>
    <w:p w:rsidR="00E2705A" w:rsidRPr="00E2705A" w:rsidRDefault="00E2705A" w:rsidP="00A92D87">
      <w:pPr>
        <w:spacing w:before="120" w:after="120" w:line="240" w:lineRule="auto"/>
        <w:jc w:val="both"/>
        <w:rPr>
          <w:rFonts w:eastAsia="Times New Roman" w:cs="Arial"/>
          <w:lang w:eastAsia="es-ES"/>
        </w:rPr>
      </w:pPr>
      <w:r w:rsidRPr="00E2705A">
        <w:rPr>
          <w:rFonts w:eastAsia="Times New Roman" w:cs="Arial"/>
          <w:lang w:eastAsia="es-ES"/>
        </w:rPr>
        <w:t>Al comparar los resultados de los promedios presentados en el sector urbano y el sector rural, la Tabla No. 16  indica que los establecimientos educativos OFICIALES que se ubican en la parte rural   tienen un rendimiento menor que el de los colegios oficiales urbanos, observándose una diferencia que también es considerable, en matemáticas existe una diferencia de 2.19 puntos, seguido de química con 1.72 puntos, ingles con 1.56 puntos, filosofía con 1.36 puntos, física con 1.24, lenguaje con 1.07 puntos y sociales con 1.29 puntos.</w:t>
      </w:r>
    </w:p>
    <w:p w:rsidR="00E2705A" w:rsidRPr="00E2705A" w:rsidRDefault="00E2705A" w:rsidP="00A92D87">
      <w:pPr>
        <w:spacing w:before="120" w:after="120" w:line="240" w:lineRule="auto"/>
        <w:jc w:val="both"/>
        <w:rPr>
          <w:rFonts w:eastAsia="Times New Roman" w:cs="Arial"/>
          <w:lang w:eastAsia="es-ES"/>
        </w:rPr>
      </w:pPr>
      <w:r w:rsidRPr="00E2705A">
        <w:rPr>
          <w:rFonts w:eastAsia="Times New Roman" w:cs="Arial"/>
          <w:lang w:eastAsia="es-ES"/>
        </w:rPr>
        <w:t xml:space="preserve">Esta diferencia es compresible si se tiene cuenta factores como deficientes recursos  tecnológicos y de conectividad por la ubicación de las instituciones educativas, bibliotecas deficientes y desactualizadas, la situación socioeconómica precaria de  los  estudiantes,     bajo nivel de escolaridad de los padres de familia para ayudar en la corresponsabilidad de la educación.  Poca continuidad en el nivel de básica por carecer las sedes de continuidad en los grados 6°, 7° 8° y 9°, para lo cual deben trasladarse a lugares distantes de su lugar de origen implicando gastos extras en cuanto a transporte. Carencia en un alto porcentaje de continuidad en la educación media (grados 10° y 11°), Bajo interés de los padres de  familia y estudiantes para continuar estudios del nivel académico, tecnológico y profesional al no tener un proyecto  orientado a mejorar su calidad de vida. </w:t>
      </w:r>
    </w:p>
    <w:p w:rsidR="00E2705A" w:rsidRPr="00E2705A" w:rsidRDefault="00E2705A" w:rsidP="00A92D87">
      <w:pPr>
        <w:spacing w:before="120" w:after="120" w:line="240" w:lineRule="auto"/>
        <w:jc w:val="center"/>
        <w:rPr>
          <w:rFonts w:eastAsia="Times New Roman" w:cs="Arial"/>
          <w:b/>
          <w:lang w:eastAsia="es-ES"/>
        </w:rPr>
      </w:pPr>
      <w:r w:rsidRPr="00E2705A">
        <w:rPr>
          <w:rFonts w:eastAsia="Times New Roman" w:cs="Arial"/>
          <w:b/>
          <w:lang w:eastAsia="es-ES"/>
        </w:rPr>
        <w:t xml:space="preserve">Tabla No. 17  COMPARATIVO RESULTADOS AGREGADOS SABER 11 SEGÚN LA UBICACIÓN GEOGRAFICA </w:t>
      </w:r>
    </w:p>
    <w:p w:rsidR="00E2705A" w:rsidRPr="00E2705A" w:rsidRDefault="00E2705A" w:rsidP="00A92D87">
      <w:pPr>
        <w:spacing w:before="120" w:after="120" w:line="240" w:lineRule="auto"/>
        <w:rPr>
          <w:rFonts w:eastAsia="Times New Roman" w:cs="Arial"/>
          <w:b/>
          <w:lang w:eastAsia="es-ES"/>
        </w:rPr>
      </w:pPr>
      <w:r w:rsidRPr="00E2705A">
        <w:rPr>
          <w:rFonts w:eastAsia="Times New Roman" w:cs="Arial"/>
          <w:lang w:eastAsia="es-ES"/>
        </w:rPr>
        <w:t xml:space="preserve">Fuente: Subsecretaría de calidad 2014 </w:t>
      </w:r>
    </w:p>
    <w:tbl>
      <w:tblPr>
        <w:tblpPr w:leftFromText="141" w:rightFromText="141" w:vertAnchor="text" w:horzAnchor="margin" w:tblpXSpec="center" w:tblpY="-22"/>
        <w:tblW w:w="10560" w:type="dxa"/>
        <w:tblLayout w:type="fixed"/>
        <w:tblCellMar>
          <w:left w:w="70" w:type="dxa"/>
          <w:right w:w="70" w:type="dxa"/>
        </w:tblCellMar>
        <w:tblLook w:val="04A0"/>
      </w:tblPr>
      <w:tblGrid>
        <w:gridCol w:w="1346"/>
        <w:gridCol w:w="1192"/>
        <w:gridCol w:w="659"/>
        <w:gridCol w:w="275"/>
        <w:gridCol w:w="851"/>
        <w:gridCol w:w="992"/>
        <w:gridCol w:w="1134"/>
        <w:gridCol w:w="992"/>
        <w:gridCol w:w="1134"/>
        <w:gridCol w:w="1134"/>
        <w:gridCol w:w="851"/>
      </w:tblGrid>
      <w:tr w:rsidR="00E2705A" w:rsidRPr="00E2705A" w:rsidTr="00000F81">
        <w:trPr>
          <w:trHeight w:val="278"/>
        </w:trPr>
        <w:tc>
          <w:tcPr>
            <w:tcW w:w="1346" w:type="dxa"/>
            <w:vMerge w:val="restart"/>
            <w:tcBorders>
              <w:top w:val="single" w:sz="4" w:space="0" w:color="auto"/>
              <w:left w:val="single" w:sz="4" w:space="0" w:color="auto"/>
              <w:bottom w:val="single" w:sz="8" w:space="0" w:color="000000"/>
              <w:right w:val="single" w:sz="4" w:space="0" w:color="auto"/>
            </w:tcBorders>
            <w:shd w:val="clear" w:color="000000" w:fill="8DB4E2"/>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lastRenderedPageBreak/>
              <w:t>E.  EDUCATIVOS</w:t>
            </w:r>
          </w:p>
        </w:tc>
        <w:tc>
          <w:tcPr>
            <w:tcW w:w="9214" w:type="dxa"/>
            <w:gridSpan w:val="10"/>
            <w:tcBorders>
              <w:top w:val="single" w:sz="4" w:space="0" w:color="auto"/>
              <w:left w:val="single" w:sz="4" w:space="0" w:color="auto"/>
              <w:bottom w:val="single" w:sz="4" w:space="0" w:color="auto"/>
              <w:right w:val="single" w:sz="4" w:space="0" w:color="auto"/>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 xml:space="preserve">PROMEDIOS </w:t>
            </w:r>
          </w:p>
        </w:tc>
      </w:tr>
      <w:tr w:rsidR="00E2705A" w:rsidRPr="00E2705A" w:rsidTr="00000F81">
        <w:trPr>
          <w:trHeight w:val="552"/>
        </w:trPr>
        <w:tc>
          <w:tcPr>
            <w:tcW w:w="1346" w:type="dxa"/>
            <w:vMerge/>
            <w:tcBorders>
              <w:top w:val="single" w:sz="8" w:space="0" w:color="auto"/>
              <w:left w:val="single" w:sz="4" w:space="0" w:color="auto"/>
              <w:bottom w:val="single" w:sz="4" w:space="0" w:color="auto"/>
              <w:right w:val="single" w:sz="8" w:space="0" w:color="auto"/>
            </w:tcBorders>
            <w:vAlign w:val="center"/>
            <w:hideMark/>
          </w:tcPr>
          <w:p w:rsidR="00E2705A" w:rsidRPr="00E2705A" w:rsidRDefault="00E2705A" w:rsidP="00A92D87">
            <w:pPr>
              <w:spacing w:after="0" w:line="240" w:lineRule="auto"/>
              <w:rPr>
                <w:rFonts w:eastAsia="Times New Roman" w:cs="Arial"/>
                <w:b/>
                <w:bCs/>
                <w:color w:val="000000"/>
                <w:lang w:eastAsia="es-CO"/>
              </w:rPr>
            </w:pPr>
          </w:p>
        </w:tc>
        <w:tc>
          <w:tcPr>
            <w:tcW w:w="1192" w:type="dxa"/>
            <w:tcBorders>
              <w:top w:val="nil"/>
              <w:left w:val="nil"/>
              <w:bottom w:val="single" w:sz="4" w:space="0" w:color="auto"/>
              <w:right w:val="single" w:sz="8" w:space="0" w:color="auto"/>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MATEMÁTI- CAS</w:t>
            </w:r>
          </w:p>
        </w:tc>
        <w:tc>
          <w:tcPr>
            <w:tcW w:w="934" w:type="dxa"/>
            <w:gridSpan w:val="2"/>
            <w:tcBorders>
              <w:top w:val="nil"/>
              <w:left w:val="nil"/>
              <w:bottom w:val="single" w:sz="4" w:space="0" w:color="auto"/>
              <w:right w:val="single" w:sz="8" w:space="0" w:color="000000"/>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QUIMICA</w:t>
            </w:r>
          </w:p>
        </w:tc>
        <w:tc>
          <w:tcPr>
            <w:tcW w:w="851" w:type="dxa"/>
            <w:tcBorders>
              <w:top w:val="nil"/>
              <w:left w:val="nil"/>
              <w:bottom w:val="single" w:sz="4" w:space="0" w:color="auto"/>
              <w:right w:val="single" w:sz="4" w:space="0" w:color="auto"/>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FISICA</w:t>
            </w:r>
          </w:p>
        </w:tc>
        <w:tc>
          <w:tcPr>
            <w:tcW w:w="992"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 xml:space="preserve">BIOLOGIA </w:t>
            </w:r>
          </w:p>
        </w:tc>
        <w:tc>
          <w:tcPr>
            <w:tcW w:w="1134"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FILOSOFIA</w:t>
            </w:r>
          </w:p>
        </w:tc>
        <w:tc>
          <w:tcPr>
            <w:tcW w:w="992" w:type="dxa"/>
            <w:tcBorders>
              <w:top w:val="nil"/>
              <w:left w:val="single" w:sz="4" w:space="0" w:color="auto"/>
              <w:bottom w:val="single" w:sz="4" w:space="0" w:color="auto"/>
              <w:right w:val="single" w:sz="8" w:space="0" w:color="auto"/>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INGLES</w:t>
            </w:r>
          </w:p>
        </w:tc>
        <w:tc>
          <w:tcPr>
            <w:tcW w:w="1134" w:type="dxa"/>
            <w:tcBorders>
              <w:top w:val="nil"/>
              <w:left w:val="nil"/>
              <w:bottom w:val="single" w:sz="4" w:space="0" w:color="auto"/>
              <w:right w:val="single" w:sz="8" w:space="0" w:color="auto"/>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LENGUAJE</w:t>
            </w:r>
          </w:p>
        </w:tc>
        <w:tc>
          <w:tcPr>
            <w:tcW w:w="1134" w:type="dxa"/>
            <w:tcBorders>
              <w:top w:val="nil"/>
              <w:left w:val="nil"/>
              <w:bottom w:val="single" w:sz="4" w:space="0" w:color="auto"/>
              <w:right w:val="single" w:sz="8" w:space="0" w:color="auto"/>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SOCIALES</w:t>
            </w:r>
          </w:p>
        </w:tc>
        <w:tc>
          <w:tcPr>
            <w:tcW w:w="851" w:type="dxa"/>
            <w:tcBorders>
              <w:top w:val="nil"/>
              <w:left w:val="nil"/>
              <w:bottom w:val="single" w:sz="4" w:space="0" w:color="auto"/>
              <w:right w:val="single" w:sz="4" w:space="0" w:color="auto"/>
            </w:tcBorders>
            <w:shd w:val="clear" w:color="000000" w:fill="8DB4E2"/>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TOTAL</w:t>
            </w:r>
          </w:p>
        </w:tc>
      </w:tr>
      <w:tr w:rsidR="00E2705A" w:rsidRPr="00E2705A" w:rsidTr="00000F81">
        <w:trPr>
          <w:trHeight w:val="556"/>
        </w:trPr>
        <w:tc>
          <w:tcPr>
            <w:tcW w:w="1346" w:type="dxa"/>
            <w:tcBorders>
              <w:top w:val="single" w:sz="4" w:space="0" w:color="auto"/>
              <w:left w:val="single" w:sz="8" w:space="0" w:color="auto"/>
              <w:bottom w:val="single" w:sz="8" w:space="0" w:color="auto"/>
              <w:right w:val="single" w:sz="8" w:space="0" w:color="auto"/>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 xml:space="preserve">URBANO </w:t>
            </w:r>
          </w:p>
        </w:tc>
        <w:tc>
          <w:tcPr>
            <w:tcW w:w="1192" w:type="dxa"/>
            <w:tcBorders>
              <w:top w:val="single" w:sz="4" w:space="0" w:color="auto"/>
              <w:left w:val="nil"/>
              <w:bottom w:val="single" w:sz="8" w:space="0" w:color="auto"/>
              <w:right w:val="single" w:sz="8" w:space="0" w:color="auto"/>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45,19</w:t>
            </w:r>
          </w:p>
        </w:tc>
        <w:tc>
          <w:tcPr>
            <w:tcW w:w="934" w:type="dxa"/>
            <w:gridSpan w:val="2"/>
            <w:tcBorders>
              <w:top w:val="single" w:sz="4" w:space="0" w:color="auto"/>
              <w:left w:val="nil"/>
              <w:bottom w:val="single" w:sz="8" w:space="0" w:color="auto"/>
              <w:right w:val="single" w:sz="8" w:space="0" w:color="000000"/>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46,46</w:t>
            </w:r>
          </w:p>
        </w:tc>
        <w:tc>
          <w:tcPr>
            <w:tcW w:w="851" w:type="dxa"/>
            <w:tcBorders>
              <w:top w:val="single" w:sz="4" w:space="0" w:color="auto"/>
              <w:left w:val="nil"/>
              <w:bottom w:val="single" w:sz="8" w:space="0" w:color="auto"/>
              <w:right w:val="single" w:sz="8" w:space="0" w:color="auto"/>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45,71</w:t>
            </w:r>
          </w:p>
        </w:tc>
        <w:tc>
          <w:tcPr>
            <w:tcW w:w="992" w:type="dxa"/>
            <w:tcBorders>
              <w:top w:val="single" w:sz="4" w:space="0" w:color="auto"/>
              <w:left w:val="nil"/>
              <w:bottom w:val="single" w:sz="8" w:space="0" w:color="auto"/>
              <w:right w:val="single" w:sz="8" w:space="0" w:color="auto"/>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45,48</w:t>
            </w:r>
          </w:p>
        </w:tc>
        <w:tc>
          <w:tcPr>
            <w:tcW w:w="1134" w:type="dxa"/>
            <w:tcBorders>
              <w:top w:val="single" w:sz="4" w:space="0" w:color="auto"/>
              <w:left w:val="nil"/>
              <w:bottom w:val="single" w:sz="8" w:space="0" w:color="auto"/>
              <w:right w:val="single" w:sz="8" w:space="0" w:color="auto"/>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40,67</w:t>
            </w:r>
          </w:p>
        </w:tc>
        <w:tc>
          <w:tcPr>
            <w:tcW w:w="992" w:type="dxa"/>
            <w:tcBorders>
              <w:top w:val="single" w:sz="4" w:space="0" w:color="auto"/>
              <w:left w:val="nil"/>
              <w:bottom w:val="single" w:sz="8" w:space="0" w:color="auto"/>
              <w:right w:val="single" w:sz="8" w:space="0" w:color="auto"/>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43,68</w:t>
            </w:r>
          </w:p>
        </w:tc>
        <w:tc>
          <w:tcPr>
            <w:tcW w:w="1134" w:type="dxa"/>
            <w:tcBorders>
              <w:top w:val="single" w:sz="4" w:space="0" w:color="auto"/>
              <w:left w:val="nil"/>
              <w:bottom w:val="single" w:sz="8" w:space="0" w:color="auto"/>
              <w:right w:val="single" w:sz="8" w:space="0" w:color="auto"/>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47,46</w:t>
            </w:r>
          </w:p>
        </w:tc>
        <w:tc>
          <w:tcPr>
            <w:tcW w:w="1134" w:type="dxa"/>
            <w:tcBorders>
              <w:top w:val="single" w:sz="4" w:space="0" w:color="auto"/>
              <w:left w:val="nil"/>
              <w:bottom w:val="single" w:sz="8" w:space="0" w:color="auto"/>
              <w:right w:val="single" w:sz="8" w:space="0" w:color="auto"/>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45,48</w:t>
            </w:r>
          </w:p>
        </w:tc>
        <w:tc>
          <w:tcPr>
            <w:tcW w:w="851" w:type="dxa"/>
            <w:tcBorders>
              <w:top w:val="single" w:sz="4" w:space="0" w:color="auto"/>
              <w:left w:val="nil"/>
              <w:bottom w:val="single" w:sz="8" w:space="0" w:color="auto"/>
              <w:right w:val="single" w:sz="8" w:space="0" w:color="auto"/>
            </w:tcBorders>
            <w:shd w:val="clear" w:color="000000" w:fill="D8E4BC"/>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45,02</w:t>
            </w:r>
          </w:p>
        </w:tc>
      </w:tr>
      <w:tr w:rsidR="00E2705A" w:rsidRPr="00E2705A" w:rsidTr="00000F81">
        <w:trPr>
          <w:trHeight w:val="540"/>
        </w:trPr>
        <w:tc>
          <w:tcPr>
            <w:tcW w:w="1346" w:type="dxa"/>
            <w:tcBorders>
              <w:top w:val="nil"/>
              <w:left w:val="single" w:sz="8" w:space="0" w:color="auto"/>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 xml:space="preserve">RURAL </w:t>
            </w:r>
          </w:p>
        </w:tc>
        <w:tc>
          <w:tcPr>
            <w:tcW w:w="1192" w:type="dxa"/>
            <w:tcBorders>
              <w:top w:val="nil"/>
              <w:left w:val="nil"/>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43,00</w:t>
            </w:r>
          </w:p>
        </w:tc>
        <w:tc>
          <w:tcPr>
            <w:tcW w:w="934" w:type="dxa"/>
            <w:gridSpan w:val="2"/>
            <w:tcBorders>
              <w:top w:val="single" w:sz="8" w:space="0" w:color="auto"/>
              <w:left w:val="nil"/>
              <w:bottom w:val="single" w:sz="8" w:space="0" w:color="auto"/>
              <w:right w:val="single" w:sz="8" w:space="0" w:color="000000"/>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44,74</w:t>
            </w:r>
          </w:p>
        </w:tc>
        <w:tc>
          <w:tcPr>
            <w:tcW w:w="851" w:type="dxa"/>
            <w:tcBorders>
              <w:top w:val="nil"/>
              <w:left w:val="nil"/>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44,47</w:t>
            </w:r>
          </w:p>
        </w:tc>
        <w:tc>
          <w:tcPr>
            <w:tcW w:w="992" w:type="dxa"/>
            <w:tcBorders>
              <w:top w:val="nil"/>
              <w:left w:val="nil"/>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45,05</w:t>
            </w:r>
          </w:p>
        </w:tc>
        <w:tc>
          <w:tcPr>
            <w:tcW w:w="1134" w:type="dxa"/>
            <w:tcBorders>
              <w:top w:val="nil"/>
              <w:left w:val="nil"/>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39,31</w:t>
            </w:r>
          </w:p>
        </w:tc>
        <w:tc>
          <w:tcPr>
            <w:tcW w:w="992" w:type="dxa"/>
            <w:tcBorders>
              <w:top w:val="nil"/>
              <w:left w:val="nil"/>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42,12</w:t>
            </w:r>
          </w:p>
        </w:tc>
        <w:tc>
          <w:tcPr>
            <w:tcW w:w="1134" w:type="dxa"/>
            <w:tcBorders>
              <w:top w:val="nil"/>
              <w:left w:val="nil"/>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46,39</w:t>
            </w:r>
          </w:p>
        </w:tc>
        <w:tc>
          <w:tcPr>
            <w:tcW w:w="1134" w:type="dxa"/>
            <w:tcBorders>
              <w:top w:val="nil"/>
              <w:left w:val="nil"/>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44,79</w:t>
            </w:r>
          </w:p>
        </w:tc>
        <w:tc>
          <w:tcPr>
            <w:tcW w:w="851" w:type="dxa"/>
            <w:tcBorders>
              <w:top w:val="nil"/>
              <w:left w:val="nil"/>
              <w:bottom w:val="single" w:sz="8" w:space="0" w:color="auto"/>
              <w:right w:val="single" w:sz="8" w:space="0" w:color="auto"/>
            </w:tcBorders>
            <w:shd w:val="clear" w:color="000000" w:fill="CCC0DA"/>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43,73</w:t>
            </w:r>
          </w:p>
        </w:tc>
      </w:tr>
      <w:tr w:rsidR="00E2705A" w:rsidRPr="00E2705A" w:rsidTr="00000F81">
        <w:trPr>
          <w:trHeight w:val="528"/>
        </w:trPr>
        <w:tc>
          <w:tcPr>
            <w:tcW w:w="1346" w:type="dxa"/>
            <w:tcBorders>
              <w:top w:val="nil"/>
              <w:left w:val="single" w:sz="8" w:space="0" w:color="auto"/>
              <w:bottom w:val="single" w:sz="8" w:space="0" w:color="auto"/>
              <w:right w:val="single" w:sz="8" w:space="0" w:color="auto"/>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DIFERENCIA</w:t>
            </w:r>
          </w:p>
        </w:tc>
        <w:tc>
          <w:tcPr>
            <w:tcW w:w="1192" w:type="dxa"/>
            <w:tcBorders>
              <w:top w:val="nil"/>
              <w:left w:val="nil"/>
              <w:bottom w:val="single" w:sz="8" w:space="0" w:color="auto"/>
              <w:right w:val="single" w:sz="8" w:space="0" w:color="auto"/>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2,19</w:t>
            </w:r>
          </w:p>
        </w:tc>
        <w:tc>
          <w:tcPr>
            <w:tcW w:w="934" w:type="dxa"/>
            <w:gridSpan w:val="2"/>
            <w:tcBorders>
              <w:top w:val="single" w:sz="8" w:space="0" w:color="auto"/>
              <w:left w:val="nil"/>
              <w:bottom w:val="single" w:sz="8" w:space="0" w:color="auto"/>
              <w:right w:val="single" w:sz="8" w:space="0" w:color="000000"/>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1,72</w:t>
            </w:r>
          </w:p>
        </w:tc>
        <w:tc>
          <w:tcPr>
            <w:tcW w:w="851" w:type="dxa"/>
            <w:tcBorders>
              <w:top w:val="nil"/>
              <w:left w:val="nil"/>
              <w:bottom w:val="single" w:sz="8" w:space="0" w:color="auto"/>
              <w:right w:val="single" w:sz="8" w:space="0" w:color="auto"/>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1,24</w:t>
            </w:r>
          </w:p>
        </w:tc>
        <w:tc>
          <w:tcPr>
            <w:tcW w:w="992" w:type="dxa"/>
            <w:tcBorders>
              <w:top w:val="nil"/>
              <w:left w:val="nil"/>
              <w:bottom w:val="single" w:sz="8" w:space="0" w:color="auto"/>
              <w:right w:val="single" w:sz="8" w:space="0" w:color="auto"/>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0,43</w:t>
            </w:r>
          </w:p>
        </w:tc>
        <w:tc>
          <w:tcPr>
            <w:tcW w:w="1134" w:type="dxa"/>
            <w:tcBorders>
              <w:top w:val="nil"/>
              <w:left w:val="nil"/>
              <w:bottom w:val="single" w:sz="8" w:space="0" w:color="auto"/>
              <w:right w:val="single" w:sz="8" w:space="0" w:color="auto"/>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1,36</w:t>
            </w:r>
          </w:p>
        </w:tc>
        <w:tc>
          <w:tcPr>
            <w:tcW w:w="992" w:type="dxa"/>
            <w:tcBorders>
              <w:top w:val="nil"/>
              <w:left w:val="nil"/>
              <w:bottom w:val="single" w:sz="8" w:space="0" w:color="auto"/>
              <w:right w:val="single" w:sz="8" w:space="0" w:color="auto"/>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1,56</w:t>
            </w:r>
          </w:p>
        </w:tc>
        <w:tc>
          <w:tcPr>
            <w:tcW w:w="1134" w:type="dxa"/>
            <w:tcBorders>
              <w:top w:val="nil"/>
              <w:left w:val="nil"/>
              <w:bottom w:val="single" w:sz="8" w:space="0" w:color="auto"/>
              <w:right w:val="single" w:sz="8" w:space="0" w:color="auto"/>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1,07</w:t>
            </w:r>
          </w:p>
        </w:tc>
        <w:tc>
          <w:tcPr>
            <w:tcW w:w="1134" w:type="dxa"/>
            <w:tcBorders>
              <w:top w:val="nil"/>
              <w:left w:val="nil"/>
              <w:bottom w:val="single" w:sz="8" w:space="0" w:color="auto"/>
              <w:right w:val="single" w:sz="8" w:space="0" w:color="auto"/>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0,69</w:t>
            </w:r>
          </w:p>
        </w:tc>
        <w:tc>
          <w:tcPr>
            <w:tcW w:w="851" w:type="dxa"/>
            <w:tcBorders>
              <w:top w:val="nil"/>
              <w:left w:val="nil"/>
              <w:bottom w:val="single" w:sz="8" w:space="0" w:color="auto"/>
              <w:right w:val="single" w:sz="8" w:space="0" w:color="auto"/>
            </w:tcBorders>
            <w:shd w:val="clear" w:color="000000" w:fill="FABF8F"/>
            <w:noWrap/>
            <w:vAlign w:val="center"/>
            <w:hideMark/>
          </w:tcPr>
          <w:p w:rsidR="00E2705A" w:rsidRPr="00E2705A" w:rsidRDefault="00E2705A" w:rsidP="00A92D87">
            <w:pPr>
              <w:spacing w:after="0" w:line="240" w:lineRule="auto"/>
              <w:jc w:val="center"/>
              <w:rPr>
                <w:rFonts w:eastAsia="Times New Roman" w:cs="Arial"/>
                <w:color w:val="000000"/>
                <w:lang w:eastAsia="es-CO"/>
              </w:rPr>
            </w:pPr>
            <w:r w:rsidRPr="00E2705A">
              <w:rPr>
                <w:rFonts w:eastAsia="Times New Roman" w:cs="Arial"/>
                <w:color w:val="000000"/>
                <w:lang w:eastAsia="es-CO"/>
              </w:rPr>
              <w:t>1,29</w:t>
            </w:r>
          </w:p>
        </w:tc>
      </w:tr>
      <w:tr w:rsidR="00E2705A" w:rsidRPr="00E2705A" w:rsidTr="00000F81">
        <w:trPr>
          <w:trHeight w:val="227"/>
        </w:trPr>
        <w:tc>
          <w:tcPr>
            <w:tcW w:w="1346"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1192"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659"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27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851"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992"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1134"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992"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1134"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1134"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c>
          <w:tcPr>
            <w:tcW w:w="851"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p>
        </w:tc>
      </w:tr>
    </w:tbl>
    <w:p w:rsidR="00E2705A" w:rsidRPr="00E2705A" w:rsidRDefault="00E2705A" w:rsidP="00A92D87">
      <w:pPr>
        <w:spacing w:after="0" w:line="240" w:lineRule="auto"/>
        <w:rPr>
          <w:rFonts w:eastAsia="Calibri" w:cs="Arial"/>
          <w:bCs/>
          <w:color w:val="000000"/>
        </w:rPr>
      </w:pPr>
      <w:r w:rsidRPr="00E2705A">
        <w:rPr>
          <w:rFonts w:eastAsia="Calibri" w:cs="Arial"/>
          <w:bCs/>
          <w:color w:val="000000"/>
        </w:rPr>
        <w:t>Fuente: Subsecretaría de calidad 2014</w:t>
      </w:r>
    </w:p>
    <w:p w:rsidR="00E2705A" w:rsidRPr="00E2705A" w:rsidRDefault="00E2705A" w:rsidP="00A92D87">
      <w:pPr>
        <w:spacing w:after="0" w:line="240" w:lineRule="auto"/>
        <w:rPr>
          <w:rFonts w:eastAsia="Calibri" w:cs="Arial"/>
          <w:bCs/>
          <w:color w:val="000000"/>
        </w:rPr>
      </w:pPr>
    </w:p>
    <w:p w:rsidR="00E2705A" w:rsidRPr="00E2705A" w:rsidRDefault="00E2705A" w:rsidP="00A92D87">
      <w:pPr>
        <w:spacing w:after="0" w:line="240" w:lineRule="auto"/>
        <w:rPr>
          <w:rFonts w:eastAsia="Calibri" w:cs="Arial"/>
          <w:bCs/>
          <w:color w:val="000000"/>
        </w:rPr>
      </w:pPr>
      <w:r w:rsidRPr="00E2705A">
        <w:rPr>
          <w:rFonts w:eastAsia="Times New Roman" w:cs="Arial"/>
          <w:b/>
          <w:i/>
          <w:lang w:eastAsia="es-ES"/>
        </w:rPr>
        <w:t xml:space="preserve">COMPARATIVO RESULTADOS AGREGADOS 2012 – 2013, INSTITUCIONES EDUCATIVAS                 </w:t>
      </w:r>
    </w:p>
    <w:p w:rsidR="00E2705A" w:rsidRPr="00E2705A" w:rsidRDefault="00E2705A" w:rsidP="00A92D87">
      <w:pPr>
        <w:spacing w:before="120" w:after="120" w:line="240" w:lineRule="auto"/>
        <w:jc w:val="both"/>
        <w:rPr>
          <w:rFonts w:eastAsia="Times New Roman" w:cs="Arial"/>
          <w:b/>
          <w:i/>
          <w:lang w:eastAsia="es-ES"/>
        </w:rPr>
      </w:pPr>
      <w:r w:rsidRPr="00E2705A">
        <w:rPr>
          <w:rFonts w:eastAsia="Times New Roman" w:cs="Arial"/>
          <w:b/>
          <w:i/>
          <w:lang w:eastAsia="es-ES"/>
        </w:rPr>
        <w:t xml:space="preserve">                OFICIALES Y NO OFICIALES</w:t>
      </w:r>
    </w:p>
    <w:p w:rsidR="00E2705A" w:rsidRPr="00E2705A" w:rsidRDefault="00E2705A" w:rsidP="00A92D87">
      <w:pPr>
        <w:spacing w:before="120" w:after="120" w:line="240" w:lineRule="auto"/>
        <w:jc w:val="both"/>
        <w:rPr>
          <w:rFonts w:eastAsia="Times New Roman" w:cs="Arial"/>
          <w:b/>
          <w:lang w:val="es-ES" w:eastAsia="es-ES"/>
        </w:rPr>
      </w:pPr>
    </w:p>
    <w:p w:rsidR="00E2705A" w:rsidRPr="00E2705A" w:rsidRDefault="00E2705A" w:rsidP="00A92D87">
      <w:pPr>
        <w:spacing w:before="120" w:after="120" w:line="240" w:lineRule="auto"/>
        <w:jc w:val="both"/>
        <w:rPr>
          <w:rFonts w:eastAsia="Times New Roman" w:cs="Arial"/>
          <w:lang w:val="es-ES" w:eastAsia="es-ES"/>
        </w:rPr>
      </w:pPr>
      <w:r w:rsidRPr="00E2705A">
        <w:rPr>
          <w:rFonts w:eastAsia="Times New Roman" w:cs="Arial"/>
          <w:lang w:val="es-ES" w:eastAsia="es-ES"/>
        </w:rPr>
        <w:t>A nivel general en la tabla  No. 17  indica que tanto en matemáticas como en sociales la tendencia fue negativa, el promedio alcanzado en el año 2012 disminuyó tanto en los establecimientos oficiales como no oficiales; en física ocurre una tendencia positiva al incrementarse el promedio en los dos tipos de establecimientos; en química biología  y filosofía se presenta una tendencia negativa en las instituciones oficiales y se da un comportamiento positivo al incrementarse el promedio en colegios no oficiales; en inglés los establecimientos educativos oficiales disminuyen el promedio, se encuentra una tendencia negativa, en tanto que los colegios oficiales presentan una tendencia constante, En lenguaje las instituciones oficiales mejoraron el promedio al observarse una tendencia positiva las no oficiales conservaron un promedio constante.</w:t>
      </w:r>
    </w:p>
    <w:p w:rsidR="00E2705A" w:rsidRPr="00E2705A" w:rsidRDefault="00E2705A" w:rsidP="00A92D87">
      <w:pPr>
        <w:spacing w:before="120" w:after="120" w:line="240" w:lineRule="auto"/>
        <w:jc w:val="center"/>
        <w:rPr>
          <w:rFonts w:eastAsia="Times New Roman" w:cs="Arial"/>
          <w:b/>
          <w:lang w:val="es-ES" w:eastAsia="es-ES"/>
        </w:rPr>
      </w:pPr>
    </w:p>
    <w:p w:rsidR="00E2705A" w:rsidRPr="00E2705A" w:rsidRDefault="00E2705A" w:rsidP="00A92D87">
      <w:pPr>
        <w:spacing w:before="120" w:after="120" w:line="240" w:lineRule="auto"/>
        <w:jc w:val="center"/>
        <w:rPr>
          <w:rFonts w:eastAsia="Times New Roman" w:cs="Arial"/>
          <w:b/>
          <w:lang w:val="es-ES" w:eastAsia="es-ES"/>
        </w:rPr>
      </w:pPr>
    </w:p>
    <w:p w:rsidR="00E2705A" w:rsidRPr="00E2705A" w:rsidRDefault="00E2705A" w:rsidP="00A92D87">
      <w:pPr>
        <w:spacing w:before="120" w:after="120" w:line="240" w:lineRule="auto"/>
        <w:jc w:val="center"/>
        <w:rPr>
          <w:rFonts w:eastAsia="Calibri" w:cs="Times New Roman"/>
          <w:b/>
          <w:lang w:eastAsia="es-CO"/>
        </w:rPr>
      </w:pPr>
      <w:r w:rsidRPr="00E2705A">
        <w:rPr>
          <w:rFonts w:eastAsia="Times New Roman" w:cs="Arial"/>
          <w:b/>
          <w:lang w:val="es-ES" w:eastAsia="es-ES"/>
        </w:rPr>
        <w:t xml:space="preserve">Tabla No. 18   </w:t>
      </w:r>
      <w:r w:rsidRPr="00E2705A">
        <w:rPr>
          <w:rFonts w:eastAsia="Times New Roman" w:cs="Times New Roman"/>
          <w:b/>
          <w:noProof/>
          <w:lang w:eastAsia="es-CO"/>
        </w:rPr>
        <w:t>COMPARATIVO RESULTADOS AGREGADOS 2012-2013 E.E. OFICIALES Y NO OFICIALES</w:t>
      </w:r>
      <w:r w:rsidR="00222418" w:rsidRPr="00E2705A">
        <w:rPr>
          <w:rFonts w:eastAsia="Times New Roman" w:cs="Times New Roman"/>
          <w:b/>
          <w:noProof/>
          <w:lang w:eastAsia="es-CO"/>
        </w:rPr>
        <w:fldChar w:fldCharType="begin"/>
      </w:r>
      <w:r w:rsidRPr="00E2705A">
        <w:rPr>
          <w:rFonts w:eastAsia="Times New Roman" w:cs="Times New Roman"/>
          <w:b/>
          <w:noProof/>
          <w:lang w:eastAsia="es-CO"/>
        </w:rPr>
        <w:instrText xml:space="preserve"> LINK Excel.Sheet.8 "C:\\Users\\Lucy\\Documents\\Lucy Calidad\\lucy\\saber 11\\saber 11 2013\\Anexo de Puntajes promedio SABER 11 2013 por institución educativa v2.xls" Hoja2!F22C1:F38C7 \a \f 4 \h  \* MERGEFORMAT </w:instrText>
      </w:r>
      <w:r w:rsidR="00222418" w:rsidRPr="00E2705A">
        <w:rPr>
          <w:rFonts w:eastAsia="Times New Roman" w:cs="Times New Roman"/>
          <w:b/>
          <w:noProof/>
          <w:lang w:eastAsia="es-CO"/>
        </w:rPr>
        <w:fldChar w:fldCharType="separate"/>
      </w:r>
    </w:p>
    <w:tbl>
      <w:tblPr>
        <w:tblW w:w="9072" w:type="dxa"/>
        <w:tblInd w:w="70" w:type="dxa"/>
        <w:tblCellMar>
          <w:left w:w="70" w:type="dxa"/>
          <w:right w:w="70" w:type="dxa"/>
        </w:tblCellMar>
        <w:tblLook w:val="04A0"/>
      </w:tblPr>
      <w:tblGrid>
        <w:gridCol w:w="1460"/>
        <w:gridCol w:w="1585"/>
        <w:gridCol w:w="1032"/>
        <w:gridCol w:w="1032"/>
        <w:gridCol w:w="1199"/>
        <w:gridCol w:w="1347"/>
        <w:gridCol w:w="1417"/>
      </w:tblGrid>
      <w:tr w:rsidR="00E2705A" w:rsidRPr="00E2705A" w:rsidTr="00000F81">
        <w:trPr>
          <w:trHeight w:val="765"/>
        </w:trPr>
        <w:tc>
          <w:tcPr>
            <w:tcW w:w="1460" w:type="dxa"/>
            <w:tcBorders>
              <w:top w:val="single" w:sz="4" w:space="0" w:color="auto"/>
              <w:left w:val="single" w:sz="4" w:space="0" w:color="auto"/>
              <w:bottom w:val="single" w:sz="4" w:space="0" w:color="auto"/>
              <w:right w:val="single" w:sz="4" w:space="0" w:color="auto"/>
            </w:tcBorders>
            <w:shd w:val="clear" w:color="000000" w:fill="B1A0C7"/>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INSTITUCION</w:t>
            </w:r>
          </w:p>
        </w:tc>
        <w:tc>
          <w:tcPr>
            <w:tcW w:w="1585" w:type="dxa"/>
            <w:tcBorders>
              <w:top w:val="single" w:sz="4" w:space="0" w:color="auto"/>
              <w:left w:val="nil"/>
              <w:bottom w:val="single" w:sz="4" w:space="0" w:color="auto"/>
              <w:right w:val="single" w:sz="4" w:space="0" w:color="auto"/>
            </w:tcBorders>
            <w:shd w:val="clear" w:color="000000" w:fill="B1A0C7"/>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AREA</w:t>
            </w:r>
          </w:p>
        </w:tc>
        <w:tc>
          <w:tcPr>
            <w:tcW w:w="1032" w:type="dxa"/>
            <w:tcBorders>
              <w:top w:val="single" w:sz="4" w:space="0" w:color="auto"/>
              <w:left w:val="nil"/>
              <w:bottom w:val="single" w:sz="4" w:space="0" w:color="auto"/>
              <w:right w:val="single" w:sz="4" w:space="0" w:color="auto"/>
            </w:tcBorders>
            <w:shd w:val="clear" w:color="000000" w:fill="B1A0C7"/>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2012</w:t>
            </w:r>
          </w:p>
        </w:tc>
        <w:tc>
          <w:tcPr>
            <w:tcW w:w="1032" w:type="dxa"/>
            <w:tcBorders>
              <w:top w:val="single" w:sz="4" w:space="0" w:color="auto"/>
              <w:left w:val="nil"/>
              <w:bottom w:val="single" w:sz="4" w:space="0" w:color="auto"/>
              <w:right w:val="single" w:sz="4" w:space="0" w:color="auto"/>
            </w:tcBorders>
            <w:shd w:val="clear" w:color="000000" w:fill="B1A0C7"/>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2013</w:t>
            </w:r>
          </w:p>
        </w:tc>
        <w:tc>
          <w:tcPr>
            <w:tcW w:w="1199" w:type="dxa"/>
            <w:tcBorders>
              <w:top w:val="single" w:sz="4" w:space="0" w:color="auto"/>
              <w:left w:val="nil"/>
              <w:bottom w:val="single" w:sz="4" w:space="0" w:color="auto"/>
              <w:right w:val="single" w:sz="4" w:space="0" w:color="auto"/>
            </w:tcBorders>
            <w:shd w:val="clear" w:color="000000" w:fill="B1A0C7"/>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 xml:space="preserve">Desviación </w:t>
            </w:r>
            <w:r w:rsidR="007E5119" w:rsidRPr="00E2705A">
              <w:rPr>
                <w:rFonts w:eastAsia="Times New Roman" w:cs="Arial"/>
                <w:b/>
                <w:bCs/>
                <w:color w:val="000000"/>
                <w:lang w:eastAsia="es-CO"/>
              </w:rPr>
              <w:t>Estándar</w:t>
            </w:r>
            <w:r w:rsidRPr="00E2705A">
              <w:rPr>
                <w:rFonts w:eastAsia="Times New Roman" w:cs="Arial"/>
                <w:b/>
                <w:bCs/>
                <w:color w:val="000000"/>
                <w:lang w:eastAsia="es-CO"/>
              </w:rPr>
              <w:t xml:space="preserve"> 2013</w:t>
            </w:r>
          </w:p>
        </w:tc>
        <w:tc>
          <w:tcPr>
            <w:tcW w:w="2764" w:type="dxa"/>
            <w:gridSpan w:val="2"/>
            <w:tcBorders>
              <w:top w:val="single" w:sz="4" w:space="0" w:color="auto"/>
              <w:left w:val="nil"/>
              <w:bottom w:val="single" w:sz="4" w:space="0" w:color="auto"/>
              <w:right w:val="single" w:sz="4" w:space="0" w:color="000000"/>
            </w:tcBorders>
            <w:shd w:val="clear" w:color="FFFFFF" w:fill="B1A0C7"/>
            <w:vAlign w:val="center"/>
            <w:hideMark/>
          </w:tcPr>
          <w:p w:rsidR="00E2705A" w:rsidRPr="00E2705A" w:rsidRDefault="00E2705A" w:rsidP="00A92D87">
            <w:pPr>
              <w:spacing w:after="0" w:line="240" w:lineRule="auto"/>
              <w:jc w:val="center"/>
              <w:rPr>
                <w:rFonts w:eastAsia="Times New Roman" w:cs="Arial"/>
                <w:b/>
                <w:bCs/>
                <w:color w:val="000000"/>
                <w:lang w:eastAsia="es-CO"/>
              </w:rPr>
            </w:pPr>
            <w:r w:rsidRPr="00E2705A">
              <w:rPr>
                <w:rFonts w:eastAsia="Times New Roman" w:cs="Arial"/>
                <w:b/>
                <w:bCs/>
                <w:color w:val="000000"/>
                <w:lang w:eastAsia="es-CO"/>
              </w:rPr>
              <w:t>VARIACION</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 xml:space="preserve">OFICIAL </w:t>
            </w:r>
          </w:p>
        </w:tc>
        <w:tc>
          <w:tcPr>
            <w:tcW w:w="1585" w:type="dxa"/>
            <w:vMerge w:val="restart"/>
            <w:tcBorders>
              <w:top w:val="nil"/>
              <w:left w:val="single" w:sz="4" w:space="0" w:color="auto"/>
              <w:bottom w:val="single" w:sz="4" w:space="0" w:color="000000"/>
              <w:right w:val="single" w:sz="4" w:space="0" w:color="auto"/>
            </w:tcBorders>
            <w:shd w:val="clear" w:color="auto" w:fill="auto"/>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MATEMATICAS</w:t>
            </w: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45,63</w:t>
            </w: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44,63</w:t>
            </w:r>
          </w:p>
        </w:tc>
        <w:tc>
          <w:tcPr>
            <w:tcW w:w="1199"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8,74</w:t>
            </w:r>
          </w:p>
        </w:tc>
        <w:tc>
          <w:tcPr>
            <w:tcW w:w="1347"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-0,11</w:t>
            </w:r>
          </w:p>
        </w:tc>
        <w:tc>
          <w:tcPr>
            <w:tcW w:w="1417" w:type="dxa"/>
            <w:tcBorders>
              <w:top w:val="nil"/>
              <w:left w:val="nil"/>
              <w:bottom w:val="single" w:sz="4" w:space="0" w:color="auto"/>
              <w:right w:val="single" w:sz="4" w:space="0" w:color="auto"/>
            </w:tcBorders>
            <w:shd w:val="clear" w:color="000000" w:fill="DA9694"/>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BAJÓ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NO OFICIAL</w:t>
            </w:r>
          </w:p>
        </w:tc>
        <w:tc>
          <w:tcPr>
            <w:tcW w:w="1585" w:type="dxa"/>
            <w:vMerge/>
            <w:tcBorders>
              <w:top w:val="nil"/>
              <w:left w:val="single" w:sz="4" w:space="0" w:color="auto"/>
              <w:bottom w:val="single" w:sz="4" w:space="0" w:color="000000"/>
              <w:right w:val="single" w:sz="4" w:space="0" w:color="auto"/>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49,11</w:t>
            </w: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48,57</w:t>
            </w:r>
          </w:p>
        </w:tc>
        <w:tc>
          <w:tcPr>
            <w:tcW w:w="1199"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9,16</w:t>
            </w:r>
          </w:p>
        </w:tc>
        <w:tc>
          <w:tcPr>
            <w:tcW w:w="1347"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-0,06</w:t>
            </w:r>
          </w:p>
        </w:tc>
        <w:tc>
          <w:tcPr>
            <w:tcW w:w="1417" w:type="dxa"/>
            <w:tcBorders>
              <w:top w:val="nil"/>
              <w:left w:val="nil"/>
              <w:bottom w:val="single" w:sz="4" w:space="0" w:color="auto"/>
              <w:right w:val="single" w:sz="4" w:space="0" w:color="auto"/>
            </w:tcBorders>
            <w:shd w:val="clear" w:color="000000" w:fill="DA9694"/>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BAJÓ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 xml:space="preserve">OFICIAL </w:t>
            </w: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QUIMICA</w:t>
            </w: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46,74</w:t>
            </w: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46,02</w:t>
            </w:r>
          </w:p>
        </w:tc>
        <w:tc>
          <w:tcPr>
            <w:tcW w:w="1199"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7,33</w:t>
            </w:r>
          </w:p>
        </w:tc>
        <w:tc>
          <w:tcPr>
            <w:tcW w:w="1347"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-0,10</w:t>
            </w:r>
          </w:p>
        </w:tc>
        <w:tc>
          <w:tcPr>
            <w:tcW w:w="1417" w:type="dxa"/>
            <w:tcBorders>
              <w:top w:val="nil"/>
              <w:left w:val="nil"/>
              <w:bottom w:val="single" w:sz="4" w:space="0" w:color="auto"/>
              <w:right w:val="single" w:sz="4" w:space="0" w:color="auto"/>
            </w:tcBorders>
            <w:shd w:val="clear" w:color="000000" w:fill="DA9694"/>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BAJÓ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NO OFICIAL</w:t>
            </w:r>
          </w:p>
        </w:tc>
        <w:tc>
          <w:tcPr>
            <w:tcW w:w="1585" w:type="dxa"/>
            <w:vMerge/>
            <w:tcBorders>
              <w:top w:val="nil"/>
              <w:left w:val="single" w:sz="4" w:space="0" w:color="auto"/>
              <w:bottom w:val="single" w:sz="4" w:space="0" w:color="auto"/>
              <w:right w:val="single" w:sz="4" w:space="0" w:color="auto"/>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47,81</w:t>
            </w: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48,55</w:t>
            </w:r>
          </w:p>
        </w:tc>
        <w:tc>
          <w:tcPr>
            <w:tcW w:w="1199"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8,30</w:t>
            </w:r>
          </w:p>
        </w:tc>
        <w:tc>
          <w:tcPr>
            <w:tcW w:w="1347"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0,09</w:t>
            </w:r>
          </w:p>
        </w:tc>
        <w:tc>
          <w:tcPr>
            <w:tcW w:w="1417" w:type="dxa"/>
            <w:tcBorders>
              <w:top w:val="nil"/>
              <w:left w:val="nil"/>
              <w:bottom w:val="single" w:sz="4" w:space="0" w:color="auto"/>
              <w:right w:val="single" w:sz="4" w:space="0" w:color="auto"/>
            </w:tcBorders>
            <w:shd w:val="clear" w:color="000000" w:fill="FFC000"/>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SUBIÓ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 xml:space="preserve">OFICIAL </w:t>
            </w: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FISICA</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45,20</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45,40</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9,55</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0,02</w:t>
            </w:r>
          </w:p>
        </w:tc>
        <w:tc>
          <w:tcPr>
            <w:tcW w:w="1417" w:type="dxa"/>
            <w:tcBorders>
              <w:top w:val="nil"/>
              <w:left w:val="nil"/>
              <w:bottom w:val="single" w:sz="4" w:space="0" w:color="auto"/>
              <w:right w:val="single" w:sz="4" w:space="0" w:color="auto"/>
            </w:tcBorders>
            <w:shd w:val="clear" w:color="000000" w:fill="FFC000"/>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SUBIÓ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NO OFICIAL</w:t>
            </w:r>
          </w:p>
        </w:tc>
        <w:tc>
          <w:tcPr>
            <w:tcW w:w="1585" w:type="dxa"/>
            <w:vMerge/>
            <w:tcBorders>
              <w:top w:val="nil"/>
              <w:left w:val="single" w:sz="4" w:space="0" w:color="auto"/>
              <w:bottom w:val="single" w:sz="4" w:space="0" w:color="auto"/>
              <w:right w:val="single" w:sz="4" w:space="0" w:color="auto"/>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45,83</w:t>
            </w: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46,37</w:t>
            </w:r>
          </w:p>
        </w:tc>
        <w:tc>
          <w:tcPr>
            <w:tcW w:w="1199"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9,08</w:t>
            </w:r>
          </w:p>
        </w:tc>
        <w:tc>
          <w:tcPr>
            <w:tcW w:w="1347"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0,06</w:t>
            </w:r>
          </w:p>
        </w:tc>
        <w:tc>
          <w:tcPr>
            <w:tcW w:w="1417" w:type="dxa"/>
            <w:tcBorders>
              <w:top w:val="nil"/>
              <w:left w:val="nil"/>
              <w:bottom w:val="single" w:sz="4" w:space="0" w:color="auto"/>
              <w:right w:val="single" w:sz="4" w:space="0" w:color="auto"/>
            </w:tcBorders>
            <w:shd w:val="clear" w:color="000000" w:fill="FFC000"/>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SUBIÓ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 xml:space="preserve">OFICIAL </w:t>
            </w: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BIOLOGIA</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45,91</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45,37</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6,92</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-0,08</w:t>
            </w:r>
          </w:p>
        </w:tc>
        <w:tc>
          <w:tcPr>
            <w:tcW w:w="1417" w:type="dxa"/>
            <w:tcBorders>
              <w:top w:val="nil"/>
              <w:left w:val="nil"/>
              <w:bottom w:val="single" w:sz="4" w:space="0" w:color="auto"/>
              <w:right w:val="single" w:sz="4" w:space="0" w:color="auto"/>
            </w:tcBorders>
            <w:shd w:val="clear" w:color="000000" w:fill="DA9694"/>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BAJÓ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NO OFICIAL</w:t>
            </w:r>
          </w:p>
        </w:tc>
        <w:tc>
          <w:tcPr>
            <w:tcW w:w="1585" w:type="dxa"/>
            <w:vMerge/>
            <w:tcBorders>
              <w:top w:val="nil"/>
              <w:left w:val="single" w:sz="4" w:space="0" w:color="auto"/>
              <w:bottom w:val="single" w:sz="4" w:space="0" w:color="auto"/>
              <w:right w:val="single" w:sz="4" w:space="0" w:color="auto"/>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47,89</w:t>
            </w: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47,89</w:t>
            </w:r>
          </w:p>
        </w:tc>
        <w:tc>
          <w:tcPr>
            <w:tcW w:w="1199"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6,95</w:t>
            </w:r>
          </w:p>
        </w:tc>
        <w:tc>
          <w:tcPr>
            <w:tcW w:w="1347"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0,00</w:t>
            </w:r>
          </w:p>
        </w:tc>
        <w:tc>
          <w:tcPr>
            <w:tcW w:w="1417" w:type="dxa"/>
            <w:tcBorders>
              <w:top w:val="nil"/>
              <w:left w:val="nil"/>
              <w:bottom w:val="single" w:sz="4" w:space="0" w:color="auto"/>
              <w:right w:val="single" w:sz="4" w:space="0" w:color="auto"/>
            </w:tcBorders>
            <w:shd w:val="clear" w:color="000000" w:fill="FFC000"/>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SUBIÓ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 xml:space="preserve">OFICIAL </w:t>
            </w: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FIOLOSOFIA</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41,96</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40,32</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7,87</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-0,21</w:t>
            </w:r>
          </w:p>
        </w:tc>
        <w:tc>
          <w:tcPr>
            <w:tcW w:w="1417" w:type="dxa"/>
            <w:tcBorders>
              <w:top w:val="nil"/>
              <w:left w:val="nil"/>
              <w:bottom w:val="single" w:sz="4" w:space="0" w:color="auto"/>
              <w:right w:val="single" w:sz="4" w:space="0" w:color="auto"/>
            </w:tcBorders>
            <w:shd w:val="clear" w:color="000000" w:fill="DA9694"/>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BAJÓ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lastRenderedPageBreak/>
              <w:t>NO OFICIAL</w:t>
            </w:r>
          </w:p>
        </w:tc>
        <w:tc>
          <w:tcPr>
            <w:tcW w:w="1585" w:type="dxa"/>
            <w:vMerge/>
            <w:tcBorders>
              <w:top w:val="nil"/>
              <w:left w:val="single" w:sz="4" w:space="0" w:color="auto"/>
              <w:bottom w:val="single" w:sz="4" w:space="0" w:color="auto"/>
              <w:right w:val="single" w:sz="4" w:space="0" w:color="auto"/>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42,87</w:t>
            </w: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43,13</w:t>
            </w:r>
          </w:p>
        </w:tc>
        <w:tc>
          <w:tcPr>
            <w:tcW w:w="1199"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9,00</w:t>
            </w:r>
          </w:p>
        </w:tc>
        <w:tc>
          <w:tcPr>
            <w:tcW w:w="1347"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0,03</w:t>
            </w:r>
          </w:p>
        </w:tc>
        <w:tc>
          <w:tcPr>
            <w:tcW w:w="1417" w:type="dxa"/>
            <w:tcBorders>
              <w:top w:val="nil"/>
              <w:left w:val="nil"/>
              <w:bottom w:val="single" w:sz="4" w:space="0" w:color="auto"/>
              <w:right w:val="single" w:sz="4" w:space="0" w:color="auto"/>
            </w:tcBorders>
            <w:shd w:val="clear" w:color="000000" w:fill="FFC000"/>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SUBIÓ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 xml:space="preserve">OFICIAL </w:t>
            </w: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INGLES</w:t>
            </w: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43,77</w:t>
            </w: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43,28</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6,05</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-0,08</w:t>
            </w:r>
          </w:p>
        </w:tc>
        <w:tc>
          <w:tcPr>
            <w:tcW w:w="1417" w:type="dxa"/>
            <w:tcBorders>
              <w:top w:val="nil"/>
              <w:left w:val="nil"/>
              <w:bottom w:val="single" w:sz="4" w:space="0" w:color="auto"/>
              <w:right w:val="single" w:sz="4" w:space="0" w:color="auto"/>
            </w:tcBorders>
            <w:shd w:val="clear" w:color="000000" w:fill="DA9694"/>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BAJÓ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NO OFICIAL</w:t>
            </w:r>
          </w:p>
        </w:tc>
        <w:tc>
          <w:tcPr>
            <w:tcW w:w="1585" w:type="dxa"/>
            <w:vMerge/>
            <w:tcBorders>
              <w:top w:val="nil"/>
              <w:left w:val="single" w:sz="4" w:space="0" w:color="auto"/>
              <w:bottom w:val="single" w:sz="4" w:space="0" w:color="auto"/>
              <w:right w:val="single" w:sz="4" w:space="0" w:color="auto"/>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47,31</w:t>
            </w: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47,28</w:t>
            </w:r>
          </w:p>
        </w:tc>
        <w:tc>
          <w:tcPr>
            <w:tcW w:w="1199"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9,11</w:t>
            </w:r>
          </w:p>
        </w:tc>
        <w:tc>
          <w:tcPr>
            <w:tcW w:w="1347"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0,00</w:t>
            </w:r>
          </w:p>
        </w:tc>
        <w:tc>
          <w:tcPr>
            <w:tcW w:w="1417" w:type="dxa"/>
            <w:tcBorders>
              <w:top w:val="nil"/>
              <w:left w:val="nil"/>
              <w:bottom w:val="single" w:sz="4" w:space="0" w:color="auto"/>
              <w:right w:val="single" w:sz="4" w:space="0" w:color="auto"/>
            </w:tcBorders>
            <w:shd w:val="clear" w:color="000000" w:fill="92D050"/>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CONSTANTE</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 xml:space="preserve">OFICIAL </w:t>
            </w: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LENGUAJE</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46,58</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47,18</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6,30</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0,10</w:t>
            </w:r>
          </w:p>
        </w:tc>
        <w:tc>
          <w:tcPr>
            <w:tcW w:w="1417" w:type="dxa"/>
            <w:tcBorders>
              <w:top w:val="nil"/>
              <w:left w:val="nil"/>
              <w:bottom w:val="single" w:sz="4" w:space="0" w:color="auto"/>
              <w:right w:val="single" w:sz="4" w:space="0" w:color="auto"/>
            </w:tcBorders>
            <w:shd w:val="clear" w:color="000000" w:fill="FFC000"/>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SUBIÓ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NO OFICIAL</w:t>
            </w:r>
          </w:p>
        </w:tc>
        <w:tc>
          <w:tcPr>
            <w:tcW w:w="1585" w:type="dxa"/>
            <w:vMerge/>
            <w:tcBorders>
              <w:top w:val="nil"/>
              <w:left w:val="single" w:sz="4" w:space="0" w:color="auto"/>
              <w:bottom w:val="single" w:sz="4" w:space="0" w:color="auto"/>
              <w:right w:val="single" w:sz="4" w:space="0" w:color="auto"/>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49,66</w:t>
            </w:r>
          </w:p>
        </w:tc>
        <w:tc>
          <w:tcPr>
            <w:tcW w:w="1032"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49,63</w:t>
            </w:r>
          </w:p>
        </w:tc>
        <w:tc>
          <w:tcPr>
            <w:tcW w:w="1199"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7,23</w:t>
            </w:r>
          </w:p>
        </w:tc>
        <w:tc>
          <w:tcPr>
            <w:tcW w:w="1347" w:type="dxa"/>
            <w:tcBorders>
              <w:top w:val="nil"/>
              <w:left w:val="nil"/>
              <w:bottom w:val="nil"/>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0,00</w:t>
            </w:r>
          </w:p>
        </w:tc>
        <w:tc>
          <w:tcPr>
            <w:tcW w:w="1417" w:type="dxa"/>
            <w:tcBorders>
              <w:top w:val="nil"/>
              <w:left w:val="nil"/>
              <w:bottom w:val="single" w:sz="4" w:space="0" w:color="auto"/>
              <w:right w:val="single" w:sz="4" w:space="0" w:color="auto"/>
            </w:tcBorders>
            <w:shd w:val="clear" w:color="000000" w:fill="92D050"/>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CONSTANTE</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 xml:space="preserve">OFICIAL </w:t>
            </w: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SOCIALES</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45,96</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45,30</w:t>
            </w:r>
          </w:p>
        </w:tc>
        <w:tc>
          <w:tcPr>
            <w:tcW w:w="1199"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6,71</w:t>
            </w:r>
          </w:p>
        </w:tc>
        <w:tc>
          <w:tcPr>
            <w:tcW w:w="1347" w:type="dxa"/>
            <w:tcBorders>
              <w:top w:val="single" w:sz="4" w:space="0" w:color="auto"/>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-0,10</w:t>
            </w:r>
          </w:p>
        </w:tc>
        <w:tc>
          <w:tcPr>
            <w:tcW w:w="1417" w:type="dxa"/>
            <w:tcBorders>
              <w:top w:val="nil"/>
              <w:left w:val="nil"/>
              <w:bottom w:val="single" w:sz="4" w:space="0" w:color="auto"/>
              <w:right w:val="single" w:sz="4" w:space="0" w:color="auto"/>
            </w:tcBorders>
            <w:shd w:val="clear" w:color="000000" w:fill="DA9694"/>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BAJÓ</w:t>
            </w:r>
          </w:p>
        </w:tc>
      </w:tr>
      <w:tr w:rsidR="00E2705A" w:rsidRPr="00E2705A" w:rsidTr="00000F81">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NO OFICIAL</w:t>
            </w:r>
          </w:p>
        </w:tc>
        <w:tc>
          <w:tcPr>
            <w:tcW w:w="1585" w:type="dxa"/>
            <w:vMerge/>
            <w:tcBorders>
              <w:top w:val="nil"/>
              <w:left w:val="single" w:sz="4" w:space="0" w:color="auto"/>
              <w:bottom w:val="single" w:sz="4" w:space="0" w:color="auto"/>
              <w:right w:val="single" w:sz="4" w:space="0" w:color="auto"/>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47,70</w:t>
            </w:r>
          </w:p>
        </w:tc>
        <w:tc>
          <w:tcPr>
            <w:tcW w:w="1032"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47,13</w:t>
            </w:r>
          </w:p>
        </w:tc>
        <w:tc>
          <w:tcPr>
            <w:tcW w:w="1199"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6,44</w:t>
            </w:r>
          </w:p>
        </w:tc>
        <w:tc>
          <w:tcPr>
            <w:tcW w:w="1347" w:type="dxa"/>
            <w:tcBorders>
              <w:top w:val="nil"/>
              <w:left w:val="nil"/>
              <w:bottom w:val="single" w:sz="4" w:space="0" w:color="auto"/>
              <w:right w:val="single" w:sz="4" w:space="0" w:color="auto"/>
            </w:tcBorders>
            <w:shd w:val="clear" w:color="000000" w:fill="FFFFFF"/>
            <w:vAlign w:val="center"/>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-0,09</w:t>
            </w:r>
          </w:p>
        </w:tc>
        <w:tc>
          <w:tcPr>
            <w:tcW w:w="1417" w:type="dxa"/>
            <w:tcBorders>
              <w:top w:val="nil"/>
              <w:left w:val="nil"/>
              <w:bottom w:val="single" w:sz="4" w:space="0" w:color="auto"/>
              <w:right w:val="single" w:sz="4" w:space="0" w:color="auto"/>
            </w:tcBorders>
            <w:shd w:val="clear" w:color="000000" w:fill="DA9694"/>
            <w:noWrap/>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BAJÓ</w:t>
            </w:r>
          </w:p>
        </w:tc>
      </w:tr>
    </w:tbl>
    <w:p w:rsidR="00E2705A" w:rsidRPr="00E2705A" w:rsidRDefault="00222418" w:rsidP="00A92D87">
      <w:pPr>
        <w:spacing w:before="120" w:after="120" w:line="240" w:lineRule="auto"/>
        <w:jc w:val="both"/>
        <w:rPr>
          <w:rFonts w:eastAsia="Times New Roman" w:cs="Arial"/>
          <w:lang w:val="es-ES" w:eastAsia="es-ES"/>
        </w:rPr>
      </w:pPr>
      <w:r w:rsidRPr="00E2705A">
        <w:rPr>
          <w:rFonts w:eastAsia="Times New Roman" w:cs="Times New Roman"/>
          <w:b/>
          <w:noProof/>
          <w:lang w:eastAsia="es-CO"/>
        </w:rPr>
        <w:fldChar w:fldCharType="end"/>
      </w:r>
      <w:r w:rsidR="00E2705A" w:rsidRPr="00E2705A">
        <w:rPr>
          <w:rFonts w:eastAsia="Times New Roman" w:cs="Arial"/>
          <w:lang w:val="es-ES" w:eastAsia="es-ES"/>
        </w:rPr>
        <w:t xml:space="preserve"> Fuente: Subsecretaría de calidad educativa 2014 </w:t>
      </w:r>
    </w:p>
    <w:p w:rsidR="00E2705A" w:rsidRPr="00E2705A" w:rsidRDefault="00E2705A" w:rsidP="00A92D87">
      <w:pPr>
        <w:autoSpaceDE w:val="0"/>
        <w:autoSpaceDN w:val="0"/>
        <w:adjustRightInd w:val="0"/>
        <w:spacing w:after="0" w:line="240" w:lineRule="auto"/>
        <w:contextualSpacing/>
        <w:jc w:val="both"/>
        <w:rPr>
          <w:rFonts w:eastAsia="Calibri" w:cs="Arial"/>
          <w:b/>
          <w:bCs/>
          <w:color w:val="000000"/>
        </w:rPr>
      </w:pPr>
    </w:p>
    <w:p w:rsidR="00E2705A" w:rsidRPr="00E2705A" w:rsidRDefault="00E2705A" w:rsidP="00A92D87">
      <w:pPr>
        <w:autoSpaceDE w:val="0"/>
        <w:autoSpaceDN w:val="0"/>
        <w:adjustRightInd w:val="0"/>
        <w:spacing w:after="0" w:line="240" w:lineRule="auto"/>
        <w:jc w:val="both"/>
        <w:rPr>
          <w:rFonts w:eastAsia="Calibri" w:cs="Arial"/>
          <w:color w:val="000000"/>
        </w:rPr>
      </w:pPr>
    </w:p>
    <w:p w:rsidR="00E2705A" w:rsidRPr="00E2705A" w:rsidRDefault="00E2705A" w:rsidP="00A92D87">
      <w:pPr>
        <w:numPr>
          <w:ilvl w:val="0"/>
          <w:numId w:val="54"/>
        </w:numPr>
        <w:spacing w:after="0" w:line="240" w:lineRule="auto"/>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Recursos </w:t>
      </w:r>
      <w:r w:rsidRPr="00E2705A">
        <w:rPr>
          <w:rFonts w:cs="Times New Roman"/>
          <w:lang w:val="es-ES" w:eastAsia="es-CO"/>
        </w:rPr>
        <w:t xml:space="preserve">(físicos, humanos y financieros) </w:t>
      </w:r>
      <w:r w:rsidRPr="00E2705A">
        <w:rPr>
          <w:rFonts w:eastAsia="Times New Roman" w:cs="Times New Roman"/>
          <w:lang w:eastAsia="es-CO"/>
        </w:rPr>
        <w:t>disponibles y utilizados en la intervención del problema o situación detectada (Aquí se indica si este indicador hace parte del plan territorial de salud y cuál fue el plan de inversiones).</w:t>
      </w:r>
    </w:p>
    <w:p w:rsidR="00E2705A" w:rsidRPr="00E2705A" w:rsidRDefault="00E2705A" w:rsidP="00A92D87">
      <w:pPr>
        <w:spacing w:after="0" w:line="240" w:lineRule="auto"/>
        <w:contextualSpacing/>
        <w:rPr>
          <w:rFonts w:eastAsia="Times New Roman" w:cs="Times New Roman"/>
          <w:lang w:eastAsia="es-CO"/>
        </w:rPr>
      </w:pPr>
    </w:p>
    <w:p w:rsidR="00E2705A" w:rsidRPr="00E2705A" w:rsidRDefault="00E2705A" w:rsidP="00A92D87">
      <w:pPr>
        <w:numPr>
          <w:ilvl w:val="0"/>
          <w:numId w:val="54"/>
        </w:numPr>
        <w:spacing w:after="0" w:line="240" w:lineRule="auto"/>
        <w:contextualSpacing/>
        <w:jc w:val="both"/>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Especificar atención diferencial (por etnia, ciclo vital, sexo, etc.). Describe el esfuerzo administrativo (de qué forma con los insumos disponibles logró los productos esperados)</w:t>
      </w:r>
    </w:p>
    <w:p w:rsidR="00E2705A" w:rsidRPr="00E2705A" w:rsidRDefault="00E2705A" w:rsidP="00A92D87">
      <w:pPr>
        <w:spacing w:after="0" w:line="240" w:lineRule="auto"/>
        <w:contextualSpacing/>
        <w:rPr>
          <w:rFonts w:eastAsia="Times New Roman" w:cs="Times New Roman"/>
          <w:b/>
          <w:lang w:eastAsia="es-CO"/>
        </w:rPr>
      </w:pPr>
    </w:p>
    <w:p w:rsidR="00E2705A" w:rsidRPr="00E2705A" w:rsidRDefault="00E2705A" w:rsidP="00A92D87">
      <w:pPr>
        <w:numPr>
          <w:ilvl w:val="0"/>
          <w:numId w:val="54"/>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Productos: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Bienes (tangibles) y servicios (Intangibles) que se generan mediante una actividad o programa</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numPr>
          <w:ilvl w:val="0"/>
          <w:numId w:val="54"/>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Efectos de la acción institucional o programa sobre la sociedad - Coberturas-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numPr>
          <w:ilvl w:val="2"/>
          <w:numId w:val="53"/>
        </w:numPr>
        <w:autoSpaceDE w:val="0"/>
        <w:autoSpaceDN w:val="0"/>
        <w:adjustRightInd w:val="0"/>
        <w:spacing w:after="0" w:line="240" w:lineRule="auto"/>
        <w:contextualSpacing/>
        <w:jc w:val="both"/>
        <w:rPr>
          <w:rFonts w:eastAsia="Calibri" w:cs="Arial"/>
          <w:color w:val="000000"/>
        </w:rPr>
      </w:pPr>
      <w:r w:rsidRPr="00E2705A">
        <w:rPr>
          <w:rFonts w:eastAsia="Calibri" w:cs="Arial"/>
          <w:b/>
          <w:bCs/>
          <w:color w:val="000000"/>
        </w:rPr>
        <w:t xml:space="preserve">Pruebas SABER 11° </w:t>
      </w:r>
    </w:p>
    <w:p w:rsidR="00E2705A" w:rsidRPr="00E2705A" w:rsidRDefault="00E2705A" w:rsidP="00A92D87">
      <w:pPr>
        <w:autoSpaceDE w:val="0"/>
        <w:autoSpaceDN w:val="0"/>
        <w:adjustRightInd w:val="0"/>
        <w:spacing w:after="200" w:line="240" w:lineRule="auto"/>
        <w:contextualSpacing/>
        <w:jc w:val="both"/>
        <w:rPr>
          <w:rFonts w:eastAsia="Calibri" w:cs="Arial"/>
          <w:b/>
          <w:bCs/>
          <w:color w:val="000000"/>
        </w:rPr>
      </w:pPr>
    </w:p>
    <w:p w:rsidR="00E2705A" w:rsidRPr="00E2705A" w:rsidRDefault="00E2705A" w:rsidP="00A92D87">
      <w:pPr>
        <w:autoSpaceDE w:val="0"/>
        <w:autoSpaceDN w:val="0"/>
        <w:adjustRightInd w:val="0"/>
        <w:spacing w:after="200" w:line="240" w:lineRule="auto"/>
        <w:contextualSpacing/>
        <w:jc w:val="both"/>
        <w:rPr>
          <w:rFonts w:eastAsia="Calibri" w:cs="Arial"/>
          <w:bCs/>
          <w:color w:val="000000"/>
        </w:rPr>
      </w:pPr>
      <w:r w:rsidRPr="00E2705A">
        <w:rPr>
          <w:rFonts w:eastAsia="Calibri" w:cs="Arial"/>
          <w:bCs/>
          <w:color w:val="000000"/>
        </w:rPr>
        <w:t>La tabla No.  Contiene los resultados obtenidos por los planteles oficiales por categoría de durante los años 2009, 2010, 2011 y 2012:</w:t>
      </w:r>
    </w:p>
    <w:p w:rsidR="00E2705A" w:rsidRPr="00E2705A" w:rsidRDefault="00E2705A" w:rsidP="00A92D87">
      <w:pPr>
        <w:autoSpaceDE w:val="0"/>
        <w:autoSpaceDN w:val="0"/>
        <w:adjustRightInd w:val="0"/>
        <w:spacing w:after="200" w:line="240" w:lineRule="auto"/>
        <w:contextualSpacing/>
        <w:jc w:val="both"/>
        <w:rPr>
          <w:rFonts w:eastAsia="Calibri" w:cs="Tahoma"/>
          <w:bCs/>
          <w:color w:val="000000"/>
        </w:rPr>
      </w:pPr>
    </w:p>
    <w:tbl>
      <w:tblPr>
        <w:tblW w:w="9199" w:type="dxa"/>
        <w:tblInd w:w="55" w:type="dxa"/>
        <w:tblCellMar>
          <w:left w:w="70" w:type="dxa"/>
          <w:right w:w="70" w:type="dxa"/>
        </w:tblCellMar>
        <w:tblLook w:val="04A0"/>
      </w:tblPr>
      <w:tblGrid>
        <w:gridCol w:w="462"/>
        <w:gridCol w:w="2580"/>
        <w:gridCol w:w="1069"/>
        <w:gridCol w:w="1051"/>
        <w:gridCol w:w="1051"/>
        <w:gridCol w:w="1051"/>
        <w:gridCol w:w="1051"/>
        <w:gridCol w:w="1294"/>
      </w:tblGrid>
      <w:tr w:rsidR="00E2705A" w:rsidRPr="00E2705A" w:rsidTr="00000F81">
        <w:trPr>
          <w:trHeight w:val="557"/>
        </w:trPr>
        <w:tc>
          <w:tcPr>
            <w:tcW w:w="9199" w:type="dxa"/>
            <w:gridSpan w:val="8"/>
            <w:tcBorders>
              <w:top w:val="single" w:sz="4" w:space="0" w:color="auto"/>
              <w:left w:val="single" w:sz="4" w:space="0" w:color="auto"/>
              <w:bottom w:val="nil"/>
              <w:right w:val="single" w:sz="4" w:space="0" w:color="000000"/>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 xml:space="preserve">Tabla No. </w:t>
            </w:r>
          </w:p>
        </w:tc>
      </w:tr>
      <w:tr w:rsidR="00E2705A" w:rsidRPr="00E2705A" w:rsidTr="00000F81">
        <w:trPr>
          <w:trHeight w:val="334"/>
        </w:trPr>
        <w:tc>
          <w:tcPr>
            <w:tcW w:w="9199" w:type="dxa"/>
            <w:gridSpan w:val="8"/>
            <w:tcBorders>
              <w:top w:val="nil"/>
              <w:left w:val="single" w:sz="4" w:space="0" w:color="auto"/>
              <w:bottom w:val="nil"/>
              <w:right w:val="single" w:sz="4" w:space="0" w:color="000000"/>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SECRETARIA DE EDUCACION MUNICIPAL DE PASTO</w:t>
            </w:r>
          </w:p>
        </w:tc>
      </w:tr>
      <w:tr w:rsidR="00E2705A" w:rsidRPr="00E2705A" w:rsidTr="00000F81">
        <w:trPr>
          <w:trHeight w:val="95"/>
        </w:trPr>
        <w:tc>
          <w:tcPr>
            <w:tcW w:w="9199" w:type="dxa"/>
            <w:gridSpan w:val="8"/>
            <w:tcBorders>
              <w:top w:val="nil"/>
              <w:left w:val="single" w:sz="4" w:space="0" w:color="auto"/>
              <w:bottom w:val="single" w:sz="4" w:space="0" w:color="auto"/>
              <w:right w:val="single" w:sz="4" w:space="0" w:color="000000"/>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CLASIFICACION DE PLANTELES POR CATEGORIA - RESULTADOS SABER 11°  AÑOS 2009 A 2012</w:t>
            </w:r>
          </w:p>
        </w:tc>
      </w:tr>
      <w:tr w:rsidR="00E2705A" w:rsidRPr="00E2705A" w:rsidTr="00000F81">
        <w:trPr>
          <w:trHeight w:val="616"/>
        </w:trPr>
        <w:tc>
          <w:tcPr>
            <w:tcW w:w="375" w:type="dxa"/>
            <w:tcBorders>
              <w:top w:val="nil"/>
              <w:left w:val="single" w:sz="4" w:space="0" w:color="auto"/>
              <w:bottom w:val="single" w:sz="4" w:space="0" w:color="auto"/>
              <w:right w:val="single" w:sz="4" w:space="0" w:color="auto"/>
            </w:tcBorders>
            <w:shd w:val="clear" w:color="auto" w:fill="C6D9F1"/>
            <w:vAlign w:val="center"/>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No.</w:t>
            </w:r>
          </w:p>
        </w:tc>
        <w:tc>
          <w:tcPr>
            <w:tcW w:w="2580" w:type="dxa"/>
            <w:tcBorders>
              <w:top w:val="nil"/>
              <w:left w:val="nil"/>
              <w:bottom w:val="single" w:sz="4" w:space="0" w:color="auto"/>
              <w:right w:val="single" w:sz="4" w:space="0" w:color="auto"/>
            </w:tcBorders>
            <w:shd w:val="clear" w:color="auto" w:fill="C6D9F1"/>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INSTITUCION Y/O CENTRO EDUCATIVA MUNICIPAL</w:t>
            </w:r>
          </w:p>
        </w:tc>
        <w:tc>
          <w:tcPr>
            <w:tcW w:w="1069" w:type="dxa"/>
            <w:tcBorders>
              <w:top w:val="nil"/>
              <w:left w:val="nil"/>
              <w:bottom w:val="single" w:sz="4" w:space="0" w:color="auto"/>
              <w:right w:val="single" w:sz="4" w:space="0" w:color="auto"/>
            </w:tcBorders>
            <w:shd w:val="clear" w:color="auto" w:fill="C6D9F1"/>
            <w:vAlign w:val="center"/>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JORNADA</w:t>
            </w:r>
          </w:p>
        </w:tc>
        <w:tc>
          <w:tcPr>
            <w:tcW w:w="1051" w:type="dxa"/>
            <w:tcBorders>
              <w:top w:val="nil"/>
              <w:left w:val="nil"/>
              <w:bottom w:val="single" w:sz="4" w:space="0" w:color="auto"/>
              <w:right w:val="single" w:sz="4" w:space="0" w:color="auto"/>
            </w:tcBorders>
            <w:shd w:val="clear" w:color="auto" w:fill="C6D9F1"/>
            <w:noWrap/>
            <w:vAlign w:val="center"/>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2009</w:t>
            </w:r>
          </w:p>
        </w:tc>
        <w:tc>
          <w:tcPr>
            <w:tcW w:w="1051" w:type="dxa"/>
            <w:tcBorders>
              <w:top w:val="nil"/>
              <w:left w:val="nil"/>
              <w:bottom w:val="single" w:sz="4" w:space="0" w:color="auto"/>
              <w:right w:val="single" w:sz="4" w:space="0" w:color="auto"/>
            </w:tcBorders>
            <w:shd w:val="clear" w:color="auto" w:fill="C6D9F1"/>
            <w:noWrap/>
            <w:vAlign w:val="center"/>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2010</w:t>
            </w:r>
          </w:p>
        </w:tc>
        <w:tc>
          <w:tcPr>
            <w:tcW w:w="1051" w:type="dxa"/>
            <w:tcBorders>
              <w:top w:val="nil"/>
              <w:left w:val="nil"/>
              <w:bottom w:val="single" w:sz="4" w:space="0" w:color="auto"/>
              <w:right w:val="single" w:sz="4" w:space="0" w:color="auto"/>
            </w:tcBorders>
            <w:shd w:val="clear" w:color="auto" w:fill="C6D9F1"/>
            <w:noWrap/>
            <w:vAlign w:val="center"/>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2011</w:t>
            </w:r>
          </w:p>
        </w:tc>
        <w:tc>
          <w:tcPr>
            <w:tcW w:w="1051" w:type="dxa"/>
            <w:tcBorders>
              <w:top w:val="nil"/>
              <w:left w:val="nil"/>
              <w:bottom w:val="single" w:sz="4" w:space="0" w:color="auto"/>
              <w:right w:val="single" w:sz="4" w:space="0" w:color="auto"/>
            </w:tcBorders>
            <w:shd w:val="clear" w:color="auto" w:fill="C6D9F1"/>
            <w:noWrap/>
            <w:vAlign w:val="center"/>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2012</w:t>
            </w:r>
          </w:p>
        </w:tc>
        <w:tc>
          <w:tcPr>
            <w:tcW w:w="971" w:type="dxa"/>
            <w:tcBorders>
              <w:top w:val="nil"/>
              <w:left w:val="nil"/>
              <w:bottom w:val="single" w:sz="4" w:space="0" w:color="auto"/>
              <w:right w:val="single" w:sz="4" w:space="0" w:color="auto"/>
            </w:tcBorders>
            <w:shd w:val="clear" w:color="auto" w:fill="C6D9F1"/>
            <w:vAlign w:val="center"/>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TENDENCIA     2011 A 2012</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LICEO  UNIVERSIDAD DE NARIÑO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Completa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MUY 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MUY 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MUY 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MUY 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CIUDAD DE PASTO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MUY 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MUY 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MUY 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CIUDAD DE PASTO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MUY 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Subió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lastRenderedPageBreak/>
              <w:t>4</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TECNICO INDUSTRIAL</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Bajó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5</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MARIANO OSPINA RODRIGUEZ</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 xml:space="preserve">SUPERIOR </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6</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MARIA GORETTI</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 comp</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7</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LIBERTAD</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8</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LA ROSA</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9</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ANTONIO NARIÑO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Bajó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10</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SAN JOSÉ BETHLEMITAS</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 </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11</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TECNICO INDUSTRIAL</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 xml:space="preserve">Constante </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12</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NUESTRA SEÑORA DE LAS   LAJAS</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13</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NORMAL SUPERIOR PASTO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14</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CIUDADELA DE PASTO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completa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 xml:space="preserve">Constante </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15</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CHAMBU</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completa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 xml:space="preserve">Subió </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16</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SAN JUAN BOSCO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r w:rsidRPr="00E2705A">
              <w:rPr>
                <w:rFonts w:eastAsia="Times New Roman" w:cs="Arial"/>
                <w:lang w:eastAsia="es-CO"/>
              </w:rPr>
              <w:tab/>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Subió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17</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MERCEDARIO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18</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LICEO JOSÉ FELIX JIMÉNEZ</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19</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LICEO CENTRAL DE NARIÑO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20</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LICEO CENTRAL DE NARIÑO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Bajó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21</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 xml:space="preserve">HERALDO ROMERO  </w:t>
            </w:r>
          </w:p>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SANCHEZ</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22</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FRANCISCO JOSE DE CALDAS</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Bajó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23</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OBONUCO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Bajó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24</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NORMAL SUPERIOR PASTO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Subió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25</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LUIS EDUARDO MORA OSEJO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 xml:space="preserve">Constante </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26</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LUIS DELFÍN INSUASTY</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completa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27</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LIBERTAD</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28</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CRISTO REY</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completa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29</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CABRERA</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30</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MORASURCO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SUPERIOR</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Subió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31</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PEDAGOGICO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Subió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32</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SANTA BARBARA</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33</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MOCONDINO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34</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LUIS EDUARDO MORA OSEJO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lastRenderedPageBreak/>
              <w:t>35</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JOSE ANTONIO GALAN</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36</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EL ENCANO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37</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EDUARDO ROMO ROSERO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38</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CENTRO DE INTEGRACIÓN POPULAR</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Subió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39</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AURELIO ARTURO MARTINEZ</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40</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ARTEMIO MENDOZA CARVAJAL</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41</w:t>
            </w:r>
          </w:p>
        </w:tc>
        <w:tc>
          <w:tcPr>
            <w:tcW w:w="2580" w:type="dxa"/>
            <w:tcBorders>
              <w:top w:val="nil"/>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ARTEMIO MENDOZA CARVAJAL</w:t>
            </w:r>
          </w:p>
        </w:tc>
        <w:tc>
          <w:tcPr>
            <w:tcW w:w="1069"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 xml:space="preserve">N.A. </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42</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AGUSTIN AGUALONGO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43</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SANTA TERESITA (CATAMBUCO)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44</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NUESTRA SEÑORA DE GUADALUPE</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Subió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45</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MARCO FIDEL SUAREZ</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noche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46</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LIBERTAD</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noche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47</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GUALMATAN</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48</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FRANCISCO DE LA VILLOTA</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mañana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INFERIOR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49</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CIUDADELA DE LA PAZ</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completa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50</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CIUDADELA DE PASTO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Sabatina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 xml:space="preserve"> Bajó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51</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LICEO JOSÉ FELIX JIMÉNEZ</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noche</w:t>
            </w:r>
          </w:p>
        </w:tc>
        <w:tc>
          <w:tcPr>
            <w:tcW w:w="1051" w:type="dxa"/>
            <w:tcBorders>
              <w:top w:val="nil"/>
              <w:left w:val="nil"/>
              <w:bottom w:val="single" w:sz="4" w:space="0" w:color="auto"/>
              <w:right w:val="single" w:sz="4" w:space="0" w:color="auto"/>
            </w:tcBorders>
            <w:shd w:val="clear" w:color="auto" w:fill="auto"/>
            <w:noWrap/>
            <w:vAlign w:val="center"/>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center"/>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MEDIO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Bajó</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52</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ANTONIO NARIÑO</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noche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INFERIOR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53</w:t>
            </w:r>
          </w:p>
        </w:tc>
        <w:tc>
          <w:tcPr>
            <w:tcW w:w="2580" w:type="dxa"/>
            <w:tcBorders>
              <w:top w:val="nil"/>
              <w:left w:val="single" w:sz="4" w:space="0" w:color="auto"/>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MARCO FIDEL SUAREZ</w:t>
            </w:r>
          </w:p>
        </w:tc>
        <w:tc>
          <w:tcPr>
            <w:tcW w:w="1069"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tarde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N.A.</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ALTO</w:t>
            </w:r>
          </w:p>
        </w:tc>
        <w:tc>
          <w:tcPr>
            <w:tcW w:w="97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w:t>
            </w:r>
          </w:p>
        </w:tc>
      </w:tr>
      <w:tr w:rsidR="00E2705A" w:rsidRPr="00E2705A" w:rsidTr="00000F81">
        <w:trPr>
          <w:trHeight w:val="293"/>
        </w:trPr>
        <w:tc>
          <w:tcPr>
            <w:tcW w:w="375" w:type="dxa"/>
            <w:tcBorders>
              <w:top w:val="nil"/>
              <w:left w:val="single" w:sz="4" w:space="0" w:color="auto"/>
              <w:bottom w:val="single" w:sz="4" w:space="0" w:color="auto"/>
              <w:right w:val="nil"/>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54</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rPr>
                <w:rFonts w:eastAsia="Times New Roman" w:cs="Arial"/>
                <w:lang w:eastAsia="es-CO"/>
              </w:rPr>
            </w:pPr>
            <w:r w:rsidRPr="00E2705A">
              <w:rPr>
                <w:rFonts w:eastAsia="Times New Roman" w:cs="Arial"/>
                <w:lang w:eastAsia="es-CO"/>
              </w:rPr>
              <w:t>NUESTRA SEÑORA DE GUADALUPE</w:t>
            </w:r>
          </w:p>
        </w:tc>
        <w:tc>
          <w:tcPr>
            <w:tcW w:w="1069"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noche</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INFERIOR</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1051"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0" w:line="240" w:lineRule="auto"/>
              <w:jc w:val="center"/>
              <w:rPr>
                <w:rFonts w:eastAsia="Times New Roman" w:cs="Arial"/>
                <w:lang w:eastAsia="es-CO"/>
              </w:rPr>
            </w:pPr>
            <w:r w:rsidRPr="00E2705A">
              <w:rPr>
                <w:rFonts w:eastAsia="Times New Roman" w:cs="Arial"/>
                <w:lang w:eastAsia="es-CO"/>
              </w:rPr>
              <w:t>BAJO</w:t>
            </w:r>
          </w:p>
        </w:tc>
        <w:tc>
          <w:tcPr>
            <w:tcW w:w="971"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0" w:line="240" w:lineRule="auto"/>
              <w:jc w:val="center"/>
              <w:rPr>
                <w:rFonts w:eastAsia="Times New Roman" w:cs="Arial"/>
                <w:b/>
                <w:bCs/>
                <w:lang w:eastAsia="es-CO"/>
              </w:rPr>
            </w:pPr>
            <w:r w:rsidRPr="00E2705A">
              <w:rPr>
                <w:rFonts w:eastAsia="Times New Roman" w:cs="Arial"/>
                <w:b/>
                <w:bCs/>
                <w:lang w:eastAsia="es-CO"/>
              </w:rPr>
              <w:t>Constante09</w:t>
            </w:r>
          </w:p>
        </w:tc>
      </w:tr>
    </w:tbl>
    <w:p w:rsidR="00000F81" w:rsidRDefault="00000F81" w:rsidP="00A92D87">
      <w:pPr>
        <w:autoSpaceDE w:val="0"/>
        <w:autoSpaceDN w:val="0"/>
        <w:adjustRightInd w:val="0"/>
        <w:spacing w:after="200" w:line="240" w:lineRule="auto"/>
        <w:contextualSpacing/>
        <w:jc w:val="both"/>
        <w:rPr>
          <w:rFonts w:eastAsia="Calibri" w:cs="Arial"/>
          <w:color w:val="000000"/>
        </w:rPr>
      </w:pPr>
    </w:p>
    <w:p w:rsidR="00E2705A" w:rsidRPr="00E2705A" w:rsidRDefault="00E2705A" w:rsidP="00A92D87">
      <w:pPr>
        <w:autoSpaceDE w:val="0"/>
        <w:autoSpaceDN w:val="0"/>
        <w:adjustRightInd w:val="0"/>
        <w:spacing w:after="200" w:line="240" w:lineRule="auto"/>
        <w:contextualSpacing/>
        <w:jc w:val="both"/>
        <w:rPr>
          <w:rFonts w:eastAsia="Calibri" w:cs="Arial"/>
          <w:color w:val="000000"/>
        </w:rPr>
      </w:pPr>
      <w:r w:rsidRPr="00E2705A">
        <w:rPr>
          <w:rFonts w:eastAsia="Calibri" w:cs="Arial"/>
          <w:color w:val="000000"/>
        </w:rPr>
        <w:t xml:space="preserve">La tabla No.  Contiene la cantidad de Establecimientos Educativos ubicados por categoría de acuerdo a los resultados obtenidos en la prueba SABER 11° en los años 2009, 2010, 2011 y 2012, en ella se pone de  manifiesto que las Instituciones Educativas del Municipio de Pasto, en términos generales han mejorado en su rendimiento. </w:t>
      </w:r>
    </w:p>
    <w:p w:rsidR="00E2705A" w:rsidRPr="00E2705A" w:rsidRDefault="00E2705A" w:rsidP="00A92D87">
      <w:pPr>
        <w:autoSpaceDE w:val="0"/>
        <w:autoSpaceDN w:val="0"/>
        <w:adjustRightInd w:val="0"/>
        <w:spacing w:after="200" w:line="240" w:lineRule="auto"/>
        <w:contextualSpacing/>
        <w:jc w:val="both"/>
        <w:rPr>
          <w:rFonts w:eastAsia="Calibri" w:cs="Arial"/>
          <w:color w:val="000000"/>
        </w:rPr>
      </w:pPr>
    </w:p>
    <w:p w:rsidR="00E2705A" w:rsidRPr="00E2705A" w:rsidRDefault="00E2705A" w:rsidP="00A92D87">
      <w:pPr>
        <w:autoSpaceDE w:val="0"/>
        <w:autoSpaceDN w:val="0"/>
        <w:adjustRightInd w:val="0"/>
        <w:spacing w:after="200" w:line="240" w:lineRule="auto"/>
        <w:contextualSpacing/>
        <w:jc w:val="both"/>
        <w:rPr>
          <w:rFonts w:eastAsia="Calibri" w:cs="Arial"/>
          <w:color w:val="000000"/>
        </w:rPr>
      </w:pPr>
    </w:p>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 xml:space="preserve">Tabla No. </w:t>
      </w:r>
    </w:p>
    <w:p w:rsidR="00E2705A" w:rsidRPr="00E2705A" w:rsidRDefault="00E2705A" w:rsidP="00A92D87">
      <w:pPr>
        <w:autoSpaceDE w:val="0"/>
        <w:autoSpaceDN w:val="0"/>
        <w:adjustRightInd w:val="0"/>
        <w:spacing w:after="200" w:line="240" w:lineRule="auto"/>
        <w:jc w:val="center"/>
        <w:rPr>
          <w:rFonts w:eastAsia="Calibri" w:cs="Arial"/>
          <w:b/>
          <w:color w:val="000000"/>
        </w:rPr>
      </w:pPr>
      <w:r w:rsidRPr="00E2705A">
        <w:rPr>
          <w:rFonts w:eastAsia="Calibri" w:cs="Arial"/>
          <w:b/>
          <w:color w:val="000000"/>
        </w:rPr>
        <w:t>RESULTADOS SABER 11° MUNICIPIO DE PASTO POR ESTABLECIMIENTOS</w:t>
      </w:r>
    </w:p>
    <w:tbl>
      <w:tblPr>
        <w:tblpPr w:leftFromText="141" w:rightFromText="141" w:vertAnchor="text" w:horzAnchor="margin" w:tblpXSpec="center" w:tblpY="120"/>
        <w:tblW w:w="8314" w:type="dxa"/>
        <w:tblCellMar>
          <w:left w:w="70" w:type="dxa"/>
          <w:right w:w="70" w:type="dxa"/>
        </w:tblCellMar>
        <w:tblLook w:val="04A0"/>
      </w:tblPr>
      <w:tblGrid>
        <w:gridCol w:w="1971"/>
        <w:gridCol w:w="1272"/>
        <w:gridCol w:w="1272"/>
        <w:gridCol w:w="1272"/>
        <w:gridCol w:w="1273"/>
        <w:gridCol w:w="1254"/>
      </w:tblGrid>
      <w:tr w:rsidR="00E2705A" w:rsidRPr="00E2705A" w:rsidTr="00000F81">
        <w:trPr>
          <w:trHeight w:val="299"/>
        </w:trPr>
        <w:tc>
          <w:tcPr>
            <w:tcW w:w="1971" w:type="dxa"/>
            <w:vMerge w:val="restart"/>
            <w:tcBorders>
              <w:top w:val="single" w:sz="4" w:space="0" w:color="000000"/>
              <w:left w:val="single" w:sz="4" w:space="0" w:color="000000"/>
              <w:bottom w:val="single" w:sz="4" w:space="0" w:color="000000"/>
              <w:right w:val="single" w:sz="4" w:space="0" w:color="auto"/>
            </w:tcBorders>
            <w:shd w:val="clear" w:color="000000" w:fill="D9D9D9"/>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CATEGORIA</w:t>
            </w:r>
          </w:p>
        </w:tc>
        <w:tc>
          <w:tcPr>
            <w:tcW w:w="5089" w:type="dxa"/>
            <w:gridSpan w:val="4"/>
            <w:tcBorders>
              <w:top w:val="single" w:sz="4" w:space="0" w:color="000000"/>
              <w:left w:val="nil"/>
              <w:bottom w:val="single" w:sz="4" w:space="0" w:color="000000"/>
              <w:right w:val="single" w:sz="4" w:space="0" w:color="000000"/>
            </w:tcBorders>
            <w:shd w:val="clear" w:color="000000" w:fill="D9D9D9"/>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CANTIDAD  E.E.</w:t>
            </w:r>
          </w:p>
        </w:tc>
        <w:tc>
          <w:tcPr>
            <w:tcW w:w="1254" w:type="dxa"/>
            <w:vMerge w:val="restart"/>
            <w:tcBorders>
              <w:top w:val="single" w:sz="4" w:space="0" w:color="000000"/>
              <w:left w:val="single" w:sz="4" w:space="0" w:color="auto"/>
              <w:bottom w:val="single" w:sz="4" w:space="0" w:color="000000"/>
              <w:right w:val="single" w:sz="4" w:space="0" w:color="000000"/>
            </w:tcBorders>
            <w:shd w:val="clear" w:color="000000" w:fill="D9D9D9"/>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Porcentaje 2012  (%)</w:t>
            </w:r>
          </w:p>
        </w:tc>
      </w:tr>
      <w:tr w:rsidR="00E2705A" w:rsidRPr="00E2705A" w:rsidTr="00000F81">
        <w:trPr>
          <w:trHeight w:val="281"/>
        </w:trPr>
        <w:tc>
          <w:tcPr>
            <w:tcW w:w="1971" w:type="dxa"/>
            <w:vMerge/>
            <w:tcBorders>
              <w:top w:val="single" w:sz="4" w:space="0" w:color="000000"/>
              <w:left w:val="single" w:sz="4" w:space="0" w:color="auto"/>
              <w:bottom w:val="single" w:sz="4" w:space="0" w:color="000000"/>
              <w:right w:val="single" w:sz="4" w:space="0" w:color="auto"/>
            </w:tcBorders>
            <w:vAlign w:val="center"/>
            <w:hideMark/>
          </w:tcPr>
          <w:p w:rsidR="00E2705A" w:rsidRPr="00E2705A" w:rsidRDefault="00E2705A" w:rsidP="00A92D87">
            <w:pPr>
              <w:spacing w:after="200" w:line="240" w:lineRule="auto"/>
              <w:rPr>
                <w:rFonts w:eastAsia="Times New Roman" w:cs="Arial"/>
                <w:b/>
                <w:bCs/>
                <w:lang w:eastAsia="es-CO"/>
              </w:rPr>
            </w:pPr>
          </w:p>
        </w:tc>
        <w:tc>
          <w:tcPr>
            <w:tcW w:w="1272" w:type="dxa"/>
            <w:tcBorders>
              <w:top w:val="single" w:sz="4" w:space="0" w:color="000000"/>
              <w:left w:val="nil"/>
              <w:bottom w:val="single" w:sz="4" w:space="0" w:color="auto"/>
              <w:right w:val="single" w:sz="4" w:space="0" w:color="auto"/>
            </w:tcBorders>
            <w:shd w:val="clear" w:color="000000" w:fill="D9D9D9"/>
            <w:noWrap/>
            <w:vAlign w:val="bottom"/>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2009</w:t>
            </w:r>
          </w:p>
        </w:tc>
        <w:tc>
          <w:tcPr>
            <w:tcW w:w="1272" w:type="dxa"/>
            <w:tcBorders>
              <w:top w:val="single" w:sz="4" w:space="0" w:color="000000"/>
              <w:left w:val="nil"/>
              <w:bottom w:val="single" w:sz="4" w:space="0" w:color="auto"/>
              <w:right w:val="single" w:sz="4" w:space="0" w:color="auto"/>
            </w:tcBorders>
            <w:shd w:val="clear" w:color="000000" w:fill="D9D9D9"/>
            <w:noWrap/>
            <w:vAlign w:val="bottom"/>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2010</w:t>
            </w:r>
          </w:p>
        </w:tc>
        <w:tc>
          <w:tcPr>
            <w:tcW w:w="1272" w:type="dxa"/>
            <w:tcBorders>
              <w:top w:val="single" w:sz="4" w:space="0" w:color="000000"/>
              <w:left w:val="nil"/>
              <w:bottom w:val="single" w:sz="4" w:space="0" w:color="auto"/>
              <w:right w:val="single" w:sz="4" w:space="0" w:color="auto"/>
            </w:tcBorders>
            <w:shd w:val="clear" w:color="000000" w:fill="D9D9D9"/>
            <w:noWrap/>
            <w:vAlign w:val="bottom"/>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2011</w:t>
            </w:r>
          </w:p>
        </w:tc>
        <w:tc>
          <w:tcPr>
            <w:tcW w:w="1273" w:type="dxa"/>
            <w:tcBorders>
              <w:top w:val="single" w:sz="4" w:space="0" w:color="000000"/>
              <w:left w:val="nil"/>
              <w:bottom w:val="single" w:sz="4" w:space="0" w:color="auto"/>
              <w:right w:val="single" w:sz="4" w:space="0" w:color="auto"/>
            </w:tcBorders>
            <w:shd w:val="clear" w:color="000000" w:fill="D9D9D9"/>
            <w:noWrap/>
            <w:vAlign w:val="bottom"/>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2012</w:t>
            </w:r>
          </w:p>
        </w:tc>
        <w:tc>
          <w:tcPr>
            <w:tcW w:w="1254" w:type="dxa"/>
            <w:vMerge/>
            <w:tcBorders>
              <w:top w:val="single" w:sz="4" w:space="0" w:color="000000"/>
              <w:left w:val="single" w:sz="4" w:space="0" w:color="auto"/>
              <w:bottom w:val="single" w:sz="4" w:space="0" w:color="000000"/>
              <w:right w:val="single" w:sz="4" w:space="0" w:color="auto"/>
            </w:tcBorders>
            <w:vAlign w:val="center"/>
            <w:hideMark/>
          </w:tcPr>
          <w:p w:rsidR="00E2705A" w:rsidRPr="00E2705A" w:rsidRDefault="00E2705A" w:rsidP="00A92D87">
            <w:pPr>
              <w:spacing w:after="200" w:line="240" w:lineRule="auto"/>
              <w:rPr>
                <w:rFonts w:eastAsia="Times New Roman" w:cs="Arial"/>
                <w:b/>
                <w:bCs/>
                <w:lang w:eastAsia="es-CO"/>
              </w:rPr>
            </w:pPr>
          </w:p>
        </w:tc>
      </w:tr>
      <w:tr w:rsidR="00E2705A" w:rsidRPr="00E2705A" w:rsidTr="00000F81">
        <w:trPr>
          <w:trHeight w:val="281"/>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lastRenderedPageBreak/>
              <w:t>MUY SUPERIOR</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w:t>
            </w:r>
          </w:p>
        </w:tc>
        <w:tc>
          <w:tcPr>
            <w:tcW w:w="1273"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3</w:t>
            </w:r>
          </w:p>
        </w:tc>
        <w:tc>
          <w:tcPr>
            <w:tcW w:w="1254"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5,56 %</w:t>
            </w:r>
          </w:p>
        </w:tc>
      </w:tr>
      <w:tr w:rsidR="00E2705A" w:rsidRPr="00E2705A" w:rsidTr="00000F81">
        <w:trPr>
          <w:trHeight w:val="281"/>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SUPERIOR</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3</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8</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12</w:t>
            </w:r>
          </w:p>
        </w:tc>
        <w:tc>
          <w:tcPr>
            <w:tcW w:w="1273"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13</w:t>
            </w:r>
          </w:p>
        </w:tc>
        <w:tc>
          <w:tcPr>
            <w:tcW w:w="1254"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24,07%</w:t>
            </w:r>
          </w:p>
        </w:tc>
      </w:tr>
      <w:tr w:rsidR="00E2705A" w:rsidRPr="00E2705A" w:rsidTr="00000F81">
        <w:trPr>
          <w:trHeight w:val="281"/>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ALTO</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18</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11</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16</w:t>
            </w:r>
          </w:p>
        </w:tc>
        <w:tc>
          <w:tcPr>
            <w:tcW w:w="1273"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15</w:t>
            </w:r>
          </w:p>
        </w:tc>
        <w:tc>
          <w:tcPr>
            <w:tcW w:w="1254"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27,78%</w:t>
            </w:r>
          </w:p>
        </w:tc>
      </w:tr>
      <w:tr w:rsidR="00E2705A" w:rsidRPr="00E2705A" w:rsidTr="00000F81">
        <w:trPr>
          <w:trHeight w:val="281"/>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MEDIO</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17</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17</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20</w:t>
            </w:r>
          </w:p>
        </w:tc>
        <w:tc>
          <w:tcPr>
            <w:tcW w:w="1273"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18</w:t>
            </w:r>
          </w:p>
        </w:tc>
        <w:tc>
          <w:tcPr>
            <w:tcW w:w="1254"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33,33%</w:t>
            </w:r>
          </w:p>
        </w:tc>
      </w:tr>
      <w:tr w:rsidR="00E2705A" w:rsidRPr="00E2705A" w:rsidTr="00000F81">
        <w:trPr>
          <w:trHeight w:val="281"/>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BAJO</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9</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9</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w:t>
            </w:r>
          </w:p>
        </w:tc>
        <w:tc>
          <w:tcPr>
            <w:tcW w:w="1273"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5</w:t>
            </w:r>
          </w:p>
        </w:tc>
        <w:tc>
          <w:tcPr>
            <w:tcW w:w="1254"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9,26%</w:t>
            </w:r>
          </w:p>
        </w:tc>
      </w:tr>
      <w:tr w:rsidR="00E2705A" w:rsidRPr="00E2705A" w:rsidTr="00000F81">
        <w:trPr>
          <w:trHeight w:val="314"/>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INFERIOR</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2</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1</w:t>
            </w:r>
          </w:p>
        </w:tc>
        <w:tc>
          <w:tcPr>
            <w:tcW w:w="1272"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0</w:t>
            </w:r>
          </w:p>
        </w:tc>
        <w:tc>
          <w:tcPr>
            <w:tcW w:w="1273" w:type="dxa"/>
            <w:tcBorders>
              <w:top w:val="nil"/>
              <w:left w:val="nil"/>
              <w:bottom w:val="single" w:sz="4" w:space="0" w:color="auto"/>
              <w:right w:val="single" w:sz="4" w:space="0" w:color="auto"/>
            </w:tcBorders>
            <w:shd w:val="clear" w:color="auto" w:fill="auto"/>
            <w:noWrap/>
            <w:vAlign w:val="bottom"/>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0</w:t>
            </w:r>
          </w:p>
        </w:tc>
        <w:tc>
          <w:tcPr>
            <w:tcW w:w="1254" w:type="dxa"/>
            <w:tcBorders>
              <w:top w:val="nil"/>
              <w:left w:val="nil"/>
              <w:bottom w:val="single" w:sz="4" w:space="0" w:color="auto"/>
              <w:right w:val="single" w:sz="4" w:space="0" w:color="auto"/>
            </w:tcBorders>
            <w:shd w:val="clear" w:color="auto" w:fill="auto"/>
            <w:noWrap/>
            <w:vAlign w:val="bottom"/>
            <w:hideMark/>
          </w:tcPr>
          <w:p w:rsidR="00E2705A" w:rsidRPr="00E2705A" w:rsidRDefault="00E2705A" w:rsidP="00A92D87">
            <w:pPr>
              <w:spacing w:after="200" w:line="240" w:lineRule="auto"/>
              <w:jc w:val="center"/>
              <w:rPr>
                <w:rFonts w:eastAsia="Times New Roman" w:cs="Arial"/>
                <w:lang w:eastAsia="es-CO"/>
              </w:rPr>
            </w:pPr>
            <w:r w:rsidRPr="00E2705A">
              <w:rPr>
                <w:rFonts w:eastAsia="Times New Roman" w:cs="Arial"/>
                <w:lang w:eastAsia="es-CO"/>
              </w:rPr>
              <w:t>0,0%</w:t>
            </w:r>
          </w:p>
        </w:tc>
      </w:tr>
      <w:tr w:rsidR="00E2705A" w:rsidRPr="00E2705A" w:rsidTr="00000F81">
        <w:trPr>
          <w:trHeight w:val="329"/>
        </w:trPr>
        <w:tc>
          <w:tcPr>
            <w:tcW w:w="1971" w:type="dxa"/>
            <w:tcBorders>
              <w:top w:val="nil"/>
              <w:left w:val="single" w:sz="4" w:space="0" w:color="auto"/>
              <w:bottom w:val="double" w:sz="6" w:space="0" w:color="auto"/>
              <w:right w:val="nil"/>
            </w:tcBorders>
            <w:shd w:val="clear" w:color="000000" w:fill="D9D9D9"/>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TOTAL</w:t>
            </w:r>
          </w:p>
        </w:tc>
        <w:tc>
          <w:tcPr>
            <w:tcW w:w="1272" w:type="dxa"/>
            <w:tcBorders>
              <w:top w:val="nil"/>
              <w:left w:val="single" w:sz="4" w:space="0" w:color="auto"/>
              <w:bottom w:val="double" w:sz="6" w:space="0" w:color="auto"/>
              <w:right w:val="single" w:sz="4" w:space="0" w:color="auto"/>
            </w:tcBorders>
            <w:shd w:val="clear" w:color="000000" w:fill="D9D9D9"/>
            <w:noWrap/>
            <w:vAlign w:val="center"/>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50</w:t>
            </w:r>
          </w:p>
        </w:tc>
        <w:tc>
          <w:tcPr>
            <w:tcW w:w="1272" w:type="dxa"/>
            <w:tcBorders>
              <w:top w:val="nil"/>
              <w:left w:val="nil"/>
              <w:bottom w:val="double" w:sz="6" w:space="0" w:color="auto"/>
              <w:right w:val="single" w:sz="4" w:space="0" w:color="auto"/>
            </w:tcBorders>
            <w:shd w:val="clear" w:color="000000" w:fill="D9D9D9"/>
            <w:noWrap/>
            <w:vAlign w:val="center"/>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48</w:t>
            </w:r>
          </w:p>
        </w:tc>
        <w:tc>
          <w:tcPr>
            <w:tcW w:w="1272" w:type="dxa"/>
            <w:tcBorders>
              <w:top w:val="nil"/>
              <w:left w:val="nil"/>
              <w:bottom w:val="double" w:sz="6" w:space="0" w:color="auto"/>
              <w:right w:val="single" w:sz="4" w:space="0" w:color="auto"/>
            </w:tcBorders>
            <w:shd w:val="clear" w:color="000000" w:fill="D9D9D9"/>
            <w:noWrap/>
            <w:vAlign w:val="center"/>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52</w:t>
            </w:r>
          </w:p>
        </w:tc>
        <w:tc>
          <w:tcPr>
            <w:tcW w:w="1273" w:type="dxa"/>
            <w:tcBorders>
              <w:top w:val="nil"/>
              <w:left w:val="nil"/>
              <w:bottom w:val="double" w:sz="6" w:space="0" w:color="auto"/>
              <w:right w:val="single" w:sz="4" w:space="0" w:color="auto"/>
            </w:tcBorders>
            <w:shd w:val="clear" w:color="000000" w:fill="D9D9D9"/>
            <w:noWrap/>
            <w:vAlign w:val="center"/>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54</w:t>
            </w:r>
          </w:p>
        </w:tc>
        <w:tc>
          <w:tcPr>
            <w:tcW w:w="1254" w:type="dxa"/>
            <w:tcBorders>
              <w:top w:val="nil"/>
              <w:left w:val="nil"/>
              <w:bottom w:val="double" w:sz="6" w:space="0" w:color="auto"/>
              <w:right w:val="single" w:sz="4" w:space="0" w:color="auto"/>
            </w:tcBorders>
            <w:shd w:val="clear" w:color="000000" w:fill="D9D9D9"/>
            <w:noWrap/>
            <w:vAlign w:val="center"/>
            <w:hideMark/>
          </w:tcPr>
          <w:p w:rsidR="00E2705A" w:rsidRPr="00E2705A" w:rsidRDefault="00E2705A" w:rsidP="00A92D87">
            <w:pPr>
              <w:spacing w:after="200" w:line="240" w:lineRule="auto"/>
              <w:jc w:val="center"/>
              <w:rPr>
                <w:rFonts w:eastAsia="Times New Roman" w:cs="Arial"/>
                <w:b/>
                <w:bCs/>
                <w:lang w:eastAsia="es-CO"/>
              </w:rPr>
            </w:pPr>
            <w:r w:rsidRPr="00E2705A">
              <w:rPr>
                <w:rFonts w:eastAsia="Times New Roman" w:cs="Arial"/>
                <w:b/>
                <w:bCs/>
                <w:lang w:eastAsia="es-CO"/>
              </w:rPr>
              <w:t>100,0</w:t>
            </w:r>
          </w:p>
        </w:tc>
      </w:tr>
    </w:tbl>
    <w:p w:rsidR="00E2705A" w:rsidRPr="00E2705A" w:rsidRDefault="00E2705A" w:rsidP="00A92D87">
      <w:pPr>
        <w:autoSpaceDE w:val="0"/>
        <w:autoSpaceDN w:val="0"/>
        <w:adjustRightInd w:val="0"/>
        <w:spacing w:after="200" w:line="240" w:lineRule="auto"/>
        <w:jc w:val="both"/>
        <w:rPr>
          <w:rFonts w:eastAsia="Calibri" w:cs="Arial"/>
          <w:lang w:eastAsia="es-CO"/>
        </w:rPr>
      </w:pPr>
      <w:r w:rsidRPr="00E2705A">
        <w:rPr>
          <w:rFonts w:eastAsia="Calibri" w:cs="Arial"/>
          <w:lang w:eastAsia="es-CO"/>
        </w:rPr>
        <w:t xml:space="preserve">    FUENTE: MEN, ICFES, página WEB, resultados 2012</w:t>
      </w:r>
    </w:p>
    <w:p w:rsidR="00E2705A" w:rsidRPr="00E2705A" w:rsidRDefault="00E2705A" w:rsidP="00A92D87">
      <w:pPr>
        <w:autoSpaceDE w:val="0"/>
        <w:autoSpaceDN w:val="0"/>
        <w:adjustRightInd w:val="0"/>
        <w:spacing w:after="200" w:line="240" w:lineRule="auto"/>
        <w:jc w:val="both"/>
        <w:rPr>
          <w:rFonts w:eastAsia="Calibri" w:cs="Arial"/>
          <w:color w:val="000000"/>
        </w:rPr>
      </w:pPr>
    </w:p>
    <w:p w:rsidR="00E2705A" w:rsidRPr="00E2705A" w:rsidRDefault="00E2705A" w:rsidP="00A92D87">
      <w:pPr>
        <w:autoSpaceDE w:val="0"/>
        <w:autoSpaceDN w:val="0"/>
        <w:adjustRightInd w:val="0"/>
        <w:spacing w:after="200" w:line="240" w:lineRule="auto"/>
        <w:jc w:val="both"/>
        <w:rPr>
          <w:rFonts w:eastAsia="Calibri" w:cs="Arial"/>
          <w:color w:val="000000"/>
        </w:rPr>
      </w:pPr>
      <w:r w:rsidRPr="00E2705A">
        <w:rPr>
          <w:rFonts w:eastAsia="Calibri" w:cs="Arial"/>
          <w:color w:val="000000"/>
        </w:rPr>
        <w:t>Tan solo el 5,56% de los estudiantes que presentaron las pruebas Saber 11° en el año2012 se encuentra en  la categoría Muy Superior, el 24,07% en la categoría Superior, el 27.78% en alto, la mayor cantidad, es decir, el 33.33% en medio, el 9,26 % está en Bajo, en este año no hay Establecimiento Educativos en la categoría Inferior.</w:t>
      </w:r>
    </w:p>
    <w:p w:rsidR="00E2705A" w:rsidRPr="00E2705A" w:rsidRDefault="00E2705A" w:rsidP="00A92D87">
      <w:pPr>
        <w:numPr>
          <w:ilvl w:val="0"/>
          <w:numId w:val="54"/>
        </w:num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Impacto: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Efectos que repercuten a mediano o largo plazo sobre la sociedad en su conjunto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numPr>
          <w:ilvl w:val="0"/>
          <w:numId w:val="54"/>
        </w:numPr>
        <w:spacing w:after="0" w:line="240" w:lineRule="auto"/>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after="0" w:line="240" w:lineRule="auto"/>
        <w:contextualSpacing/>
        <w:rPr>
          <w:rFonts w:eastAsia="Times New Roman" w:cs="Times New Roman"/>
          <w:lang w:eastAsia="es-CO"/>
        </w:rPr>
      </w:pPr>
      <w:r w:rsidRPr="00E2705A">
        <w:rPr>
          <w:rFonts w:eastAsia="Times New Roman" w:cs="Times New Roman"/>
          <w:lang w:eastAsia="es-CO"/>
        </w:rPr>
        <w:t>Identificar aspectos que requieren acciones de mejoramiento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numPr>
          <w:ilvl w:val="0"/>
          <w:numId w:val="54"/>
        </w:numPr>
        <w:spacing w:after="0" w:line="240" w:lineRule="auto"/>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ind w:left="360"/>
        <w:contextualSpacing/>
        <w:jc w:val="both"/>
        <w:rPr>
          <w:rFonts w:eastAsia="Times New Roman" w:cs="Times New Roman"/>
          <w:lang w:eastAsia="es-CO"/>
        </w:rPr>
      </w:pPr>
      <w:r w:rsidRPr="00E2705A">
        <w:t>Para mantener o mejorar la situación del indicador</w:t>
      </w:r>
    </w:p>
    <w:p w:rsidR="00E2705A" w:rsidRPr="00E2705A" w:rsidRDefault="00E2705A" w:rsidP="00A92D87">
      <w:pPr>
        <w:spacing w:after="0" w:line="240" w:lineRule="auto"/>
        <w:ind w:left="360"/>
        <w:contextualSpacing/>
        <w:jc w:val="both"/>
        <w:rPr>
          <w:rFonts w:eastAsia="Times New Roman" w:cs="Times New Roman"/>
          <w:lang w:eastAsia="es-CO"/>
        </w:rPr>
      </w:pPr>
    </w:p>
    <w:p w:rsidR="00E2705A" w:rsidRPr="00064BA9" w:rsidRDefault="0090015F" w:rsidP="0090015F">
      <w:pPr>
        <w:pStyle w:val="Ttulo2"/>
        <w:rPr>
          <w:rFonts w:asciiTheme="minorHAnsi" w:hAnsiTheme="minorHAnsi"/>
          <w:color w:val="auto"/>
          <w:sz w:val="22"/>
          <w:szCs w:val="22"/>
        </w:rPr>
      </w:pPr>
      <w:bookmarkStart w:id="119" w:name="_Toc437376064"/>
      <w:r w:rsidRPr="00064BA9">
        <w:rPr>
          <w:rFonts w:asciiTheme="minorHAnsi" w:hAnsiTheme="minorHAnsi"/>
          <w:color w:val="auto"/>
          <w:sz w:val="22"/>
          <w:szCs w:val="22"/>
        </w:rPr>
        <w:t xml:space="preserve">6.3.3 </w:t>
      </w:r>
      <w:r w:rsidR="006E6C52" w:rsidRPr="00064BA9">
        <w:rPr>
          <w:rFonts w:asciiTheme="minorHAnsi" w:hAnsiTheme="minorHAnsi"/>
          <w:color w:val="auto"/>
          <w:sz w:val="22"/>
          <w:szCs w:val="22"/>
        </w:rPr>
        <w:t xml:space="preserve">CATEGORÍA </w:t>
      </w:r>
      <w:r w:rsidR="00E2705A" w:rsidRPr="00064BA9">
        <w:rPr>
          <w:rFonts w:asciiTheme="minorHAnsi" w:hAnsiTheme="minorHAnsi"/>
          <w:color w:val="auto"/>
          <w:sz w:val="22"/>
          <w:szCs w:val="22"/>
        </w:rPr>
        <w:t>DERECHO A LA PROTECCIÓN</w:t>
      </w:r>
      <w:bookmarkEnd w:id="119"/>
    </w:p>
    <w:p w:rsidR="00E2705A" w:rsidRPr="00E2705A" w:rsidRDefault="00E2705A" w:rsidP="00A92D87">
      <w:pPr>
        <w:spacing w:line="240" w:lineRule="auto"/>
        <w:jc w:val="both"/>
      </w:pPr>
      <w:r w:rsidRPr="00E2705A">
        <w:t>Código del indicador: 69</w:t>
      </w:r>
    </w:p>
    <w:p w:rsidR="00E2705A" w:rsidRPr="00E2705A" w:rsidRDefault="00E2705A" w:rsidP="00A92D87">
      <w:pPr>
        <w:spacing w:line="240" w:lineRule="auto"/>
        <w:jc w:val="both"/>
      </w:pPr>
      <w:r w:rsidRPr="00E2705A">
        <w:t>Nombre del indicador: Número de niños, niñas y adolescentes en Proceso Administrativo de Restablecimiento de Derechos - PARD</w:t>
      </w:r>
    </w:p>
    <w:p w:rsidR="00E2705A" w:rsidRPr="00E2705A" w:rsidRDefault="00E2705A" w:rsidP="00A92D87">
      <w:pPr>
        <w:spacing w:line="240" w:lineRule="auto"/>
        <w:jc w:val="both"/>
      </w:pPr>
      <w:r w:rsidRPr="00E2705A">
        <w:t>a.</w:t>
      </w:r>
      <w:r w:rsidRPr="00E2705A">
        <w:tab/>
        <w:t>Identifique cual es la fuente de información que respalda el análisis que realizará a continuación (nacional o local), identificando sus fortalezas y debilidades:</w:t>
      </w:r>
    </w:p>
    <w:p w:rsidR="00E2705A" w:rsidRPr="00E2705A" w:rsidRDefault="00E2705A" w:rsidP="00A92D87">
      <w:pPr>
        <w:spacing w:line="240" w:lineRule="auto"/>
        <w:jc w:val="both"/>
      </w:pPr>
      <w:r w:rsidRPr="00E2705A">
        <w:t>o</w:t>
      </w:r>
      <w:r w:rsidRPr="00E2705A">
        <w:tab/>
        <w:t>Fuente Nacional X</w:t>
      </w:r>
    </w:p>
    <w:p w:rsidR="00E2705A" w:rsidRPr="00E2705A" w:rsidRDefault="00E2705A" w:rsidP="00A92D87">
      <w:pPr>
        <w:spacing w:line="240" w:lineRule="auto"/>
        <w:jc w:val="both"/>
      </w:pPr>
      <w:r w:rsidRPr="00E2705A">
        <w:t>o</w:t>
      </w:r>
      <w:r w:rsidRPr="00E2705A">
        <w:tab/>
        <w:t>Fuente Local</w:t>
      </w:r>
    </w:p>
    <w:p w:rsidR="00E2705A" w:rsidRPr="00E2705A" w:rsidRDefault="00E2705A" w:rsidP="00A92D87">
      <w:pPr>
        <w:spacing w:line="240" w:lineRule="auto"/>
        <w:jc w:val="both"/>
      </w:pPr>
      <w:r w:rsidRPr="00E2705A">
        <w:t xml:space="preserve">    Fortalezas:</w:t>
      </w:r>
    </w:p>
    <w:p w:rsidR="00E2705A" w:rsidRPr="00E2705A" w:rsidRDefault="00E2705A" w:rsidP="00A92D87">
      <w:pPr>
        <w:spacing w:line="240" w:lineRule="auto"/>
        <w:jc w:val="both"/>
      </w:pPr>
      <w:r w:rsidRPr="00E2705A">
        <w:lastRenderedPageBreak/>
        <w:t xml:space="preserve">Se cuenta con un sistema de información misional SIM desde el ICBF que permite identificar el </w:t>
      </w:r>
      <w:r w:rsidR="007E5119" w:rsidRPr="00E2705A">
        <w:t>número</w:t>
      </w:r>
      <w:r w:rsidRPr="00E2705A">
        <w:t xml:space="preserve"> de niños, niñas y adolescentes en proceso administrativo - PARD y las medidas adoptadas por la respectiva </w:t>
      </w:r>
      <w:r w:rsidR="007E5119" w:rsidRPr="00E2705A">
        <w:t>Defensoría</w:t>
      </w:r>
      <w:r w:rsidRPr="00E2705A">
        <w:t xml:space="preserve"> de Familia para el restablecimiento de derechos.</w:t>
      </w:r>
    </w:p>
    <w:p w:rsidR="00E2705A" w:rsidRPr="00E2705A" w:rsidRDefault="00E2705A" w:rsidP="00A92D87">
      <w:pPr>
        <w:spacing w:line="240" w:lineRule="auto"/>
        <w:jc w:val="both"/>
      </w:pPr>
      <w:r w:rsidRPr="00E2705A">
        <w:t xml:space="preserve">Esta </w:t>
      </w:r>
      <w:r w:rsidR="007E5119" w:rsidRPr="00E2705A">
        <w:t>información</w:t>
      </w:r>
      <w:r w:rsidRPr="00E2705A">
        <w:t xml:space="preserve"> sirve para alimentar el Sistema Único de </w:t>
      </w:r>
      <w:r w:rsidR="007E5119" w:rsidRPr="00E2705A">
        <w:t>Información</w:t>
      </w:r>
      <w:r w:rsidRPr="00E2705A">
        <w:t xml:space="preserve"> para la niñez SUIN, el que permite consolidar la </w:t>
      </w:r>
      <w:r w:rsidR="007E5119" w:rsidRPr="00E2705A">
        <w:t>estadística</w:t>
      </w:r>
      <w:r w:rsidRPr="00E2705A">
        <w:t xml:space="preserve"> nacional, departamental y municipal de niños, niñas y adolescentes en proceso administrativo de restablecimiento de derechos.</w:t>
      </w:r>
    </w:p>
    <w:p w:rsidR="00E2705A" w:rsidRPr="00E2705A" w:rsidRDefault="00E2705A" w:rsidP="00A92D87">
      <w:pPr>
        <w:spacing w:line="240" w:lineRule="auto"/>
        <w:jc w:val="both"/>
      </w:pPr>
      <w:r w:rsidRPr="00E2705A">
        <w:t>Debilidades:</w:t>
      </w:r>
    </w:p>
    <w:p w:rsidR="00E2705A" w:rsidRPr="00E2705A" w:rsidRDefault="00E2705A" w:rsidP="00A92D87">
      <w:pPr>
        <w:spacing w:line="240" w:lineRule="auto"/>
        <w:jc w:val="both"/>
      </w:pPr>
      <w:r w:rsidRPr="00E2705A">
        <w:t xml:space="preserve">Al Sistema de Información Misional - SIM, solo tiene acceso el ICBF y no los Comisarios de Familia quienes en el territorio por competencia subsidiaria, adelantan procesos administrativos de restablecimiento de derechos. </w:t>
      </w:r>
    </w:p>
    <w:p w:rsidR="00E2705A" w:rsidRPr="00E2705A" w:rsidRDefault="00E2705A" w:rsidP="00A92D87">
      <w:pPr>
        <w:spacing w:line="240" w:lineRule="auto"/>
        <w:jc w:val="both"/>
      </w:pPr>
      <w:r w:rsidRPr="00E2705A">
        <w:t>Durante el periodo a analizar, desde las comisarías de familia se envió la información de los Procesos Administrativos de Restablecimiento de Derechos- PARD atendidos al ICBF, en un instrumento diseñado para tal fin, por cuanto, la comisaria de Familia, no cuentan con un sistema de información propio.</w:t>
      </w:r>
    </w:p>
    <w:p w:rsidR="00E2705A" w:rsidRPr="00E2705A" w:rsidRDefault="00E2705A" w:rsidP="00A92D87">
      <w:pPr>
        <w:spacing w:line="240" w:lineRule="auto"/>
        <w:jc w:val="both"/>
      </w:pPr>
      <w:r w:rsidRPr="00E2705A">
        <w:t xml:space="preserve">La fuente nacional allegada, no permite desagregación por motivo de ingreso al proceso administrativo de restablecimiento de derechos- PARD.  </w:t>
      </w:r>
    </w:p>
    <w:p w:rsidR="00E2705A" w:rsidRPr="00E2705A" w:rsidRDefault="00E2705A" w:rsidP="00A92D87">
      <w:pPr>
        <w:spacing w:line="240" w:lineRule="auto"/>
        <w:jc w:val="both"/>
      </w:pPr>
      <w:r w:rsidRPr="00E2705A">
        <w:t>a.</w:t>
      </w:r>
      <w:r w:rsidRPr="00E2705A">
        <w:tab/>
        <w:t xml:space="preserve">Indique, según los siguientes criterios de valoración, cual es el que mejor interpreta el comportamiento del indicador analizado, para el periodo comprendido entre los años 2011 y 2014. </w:t>
      </w:r>
    </w:p>
    <w:p w:rsidR="00E2705A" w:rsidRPr="00E2705A" w:rsidRDefault="00E2705A" w:rsidP="00A92D87">
      <w:pPr>
        <w:spacing w:line="240" w:lineRule="auto"/>
        <w:jc w:val="both"/>
      </w:pPr>
      <w:r w:rsidRPr="00E2705A">
        <w:t>Tenga en cuenta que debe analizar el periodo completo (2011 al 2014), si no cuenta con información para todos los años, la categoría a señalar es "sin serie Temporal":</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o</w:t>
      </w:r>
      <w:r w:rsidRPr="00E2705A">
        <w:tab/>
        <w:t xml:space="preserve">Mejoró  </w:t>
      </w:r>
    </w:p>
    <w:p w:rsidR="00E2705A" w:rsidRPr="00E2705A" w:rsidRDefault="00E2705A" w:rsidP="00A92D87">
      <w:pPr>
        <w:spacing w:line="240" w:lineRule="auto"/>
        <w:jc w:val="both"/>
      </w:pPr>
      <w:r w:rsidRPr="00E2705A">
        <w:t>o</w:t>
      </w:r>
      <w:r w:rsidRPr="00E2705A">
        <w:tab/>
        <w:t>Desmejoró</w:t>
      </w:r>
    </w:p>
    <w:p w:rsidR="00E2705A" w:rsidRPr="00E2705A" w:rsidRDefault="00E2705A" w:rsidP="00A92D87">
      <w:pPr>
        <w:spacing w:line="240" w:lineRule="auto"/>
        <w:jc w:val="both"/>
      </w:pPr>
      <w:r w:rsidRPr="00E2705A">
        <w:t>o</w:t>
      </w:r>
      <w:r w:rsidRPr="00E2705A">
        <w:tab/>
        <w:t>Estable</w:t>
      </w:r>
    </w:p>
    <w:p w:rsidR="00E2705A" w:rsidRPr="00E2705A" w:rsidRDefault="00E2705A" w:rsidP="00A92D87">
      <w:pPr>
        <w:spacing w:line="240" w:lineRule="auto"/>
        <w:jc w:val="both"/>
      </w:pPr>
      <w:r w:rsidRPr="00E2705A">
        <w:t xml:space="preserve">X   Sin serie temporal </w:t>
      </w:r>
    </w:p>
    <w:p w:rsidR="00E2705A" w:rsidRPr="00E2705A" w:rsidRDefault="00E2705A" w:rsidP="00A92D87">
      <w:pPr>
        <w:spacing w:line="240" w:lineRule="auto"/>
        <w:jc w:val="both"/>
      </w:pPr>
      <w:r w:rsidRPr="00E2705A">
        <w:t>o</w:t>
      </w:r>
      <w:r w:rsidRPr="00E2705A">
        <w:tab/>
        <w:t>Sin datos</w:t>
      </w:r>
    </w:p>
    <w:p w:rsidR="00E2705A" w:rsidRPr="00E2705A" w:rsidRDefault="00E2705A" w:rsidP="00A92D87">
      <w:pPr>
        <w:spacing w:line="240" w:lineRule="auto"/>
        <w:jc w:val="both"/>
      </w:pPr>
      <w:r w:rsidRPr="00E2705A">
        <w:t>b.</w:t>
      </w:r>
      <w:r w:rsidRPr="00E2705A">
        <w:tab/>
        <w:t>Analice la categoría de valoración dada al indicador, identificando los impactos positivos o negativos sobre la población correspondiente al momento del ciclo de vida analizado, desde la situación encontrada al inicio de la administración y la del último año de referencia (2014 o 2015 según aplique)</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c.</w:t>
      </w:r>
      <w:r w:rsidRPr="00E2705A">
        <w:tab/>
        <w:t>Impactos positivos:</w:t>
      </w:r>
    </w:p>
    <w:p w:rsidR="00E2705A" w:rsidRPr="00E2705A" w:rsidRDefault="00E2705A" w:rsidP="00A92D87">
      <w:pPr>
        <w:spacing w:line="240" w:lineRule="auto"/>
        <w:jc w:val="both"/>
      </w:pPr>
      <w:r w:rsidRPr="00E2705A">
        <w:lastRenderedPageBreak/>
        <w:t xml:space="preserve">En los municipios, la creación de la  Comisaría de Familia  permitió realizar  la verificación del estado de cumplimiento de los derechos de los niños, niñas o adolescentes, en los casos de inobservancia, amenaza o vulneración,  logrando la restauración de su dignidad e integridad como sujetos y haciendo efectivo el ejercicio de los derechos que fueron vulnerados, a través de los procesos administrativos. </w:t>
      </w:r>
    </w:p>
    <w:p w:rsidR="00E2705A" w:rsidRPr="00E2705A" w:rsidRDefault="00E2705A" w:rsidP="00A92D87">
      <w:pPr>
        <w:spacing w:line="240" w:lineRule="auto"/>
        <w:jc w:val="both"/>
      </w:pPr>
      <w:r w:rsidRPr="00E2705A">
        <w:t xml:space="preserve">Se empezó a hacer efectivo el principio de corresponsabilidad, consagrado en la ley 1098 de 2006, por parte de las administraciones municipales con la concurrencia de los sectores de salud y educación al vincular a los niños, niñas y adolescentes a sus sistemas, según sus competencias y garantizando el ejercicio de los derechos  fundamentales en sus áreas de atención, articulando el Sistema Nacional de Bienestar Familiar. </w:t>
      </w:r>
    </w:p>
    <w:p w:rsidR="00E2705A" w:rsidRPr="00E2705A" w:rsidRDefault="00E2705A" w:rsidP="00A92D87">
      <w:pPr>
        <w:spacing w:line="240" w:lineRule="auto"/>
        <w:jc w:val="both"/>
      </w:pPr>
      <w:r w:rsidRPr="00E2705A">
        <w:t xml:space="preserve">Igualmente desde las Comisarias de Familia  se logró  la sensibilización y conminación a los padres o a las personas responsables del cuidado del niño, niña o adolescente sobre el cumplimiento de las obligaciones que les corresponden. </w:t>
      </w:r>
    </w:p>
    <w:p w:rsidR="00E2705A" w:rsidRPr="00E2705A" w:rsidRDefault="00E2705A" w:rsidP="00A92D87">
      <w:pPr>
        <w:spacing w:line="240" w:lineRule="auto"/>
        <w:jc w:val="both"/>
      </w:pPr>
      <w:r w:rsidRPr="00E2705A">
        <w:t>Los niños, niñas y adolescentes fueron atendidos en los programas existentes, en busca de generar procesos de atención que permitan prevenir mayores niveles de amenaza, inobservancia y/o vulneración de sus derechos, considerando los  factores de generatividad y vulnerabilidad de su familia o red vincular.</w:t>
      </w:r>
    </w:p>
    <w:p w:rsidR="00E2705A" w:rsidRPr="00E2705A" w:rsidRDefault="00E2705A" w:rsidP="00A92D87">
      <w:pPr>
        <w:spacing w:line="240" w:lineRule="auto"/>
        <w:jc w:val="both"/>
      </w:pPr>
      <w:r w:rsidRPr="00E2705A">
        <w:t xml:space="preserve">Las mencionadas modalidades son: </w:t>
      </w:r>
    </w:p>
    <w:p w:rsidR="00E2705A" w:rsidRPr="00E2705A" w:rsidRDefault="00E2705A" w:rsidP="00A92D87">
      <w:pPr>
        <w:spacing w:line="240" w:lineRule="auto"/>
        <w:jc w:val="both"/>
      </w:pPr>
      <w:r w:rsidRPr="00E2705A">
        <w:t>1.</w:t>
      </w:r>
      <w:r w:rsidRPr="00E2705A">
        <w:tab/>
        <w:t>Hogar de paso</w:t>
      </w:r>
    </w:p>
    <w:p w:rsidR="00E2705A" w:rsidRPr="00E2705A" w:rsidRDefault="00E2705A" w:rsidP="00A92D87">
      <w:pPr>
        <w:spacing w:line="240" w:lineRule="auto"/>
        <w:jc w:val="both"/>
      </w:pPr>
      <w:r w:rsidRPr="00E2705A">
        <w:t>2.</w:t>
      </w:r>
      <w:r w:rsidRPr="00E2705A">
        <w:tab/>
        <w:t xml:space="preserve">Hogar Sustituto. </w:t>
      </w:r>
    </w:p>
    <w:p w:rsidR="00E2705A" w:rsidRPr="00E2705A" w:rsidRDefault="00E2705A" w:rsidP="00A92D87">
      <w:pPr>
        <w:spacing w:line="240" w:lineRule="auto"/>
        <w:jc w:val="both"/>
      </w:pPr>
      <w:r w:rsidRPr="00E2705A">
        <w:t xml:space="preserve">2.       Hogar Sustituto para Discapacidad. </w:t>
      </w:r>
    </w:p>
    <w:p w:rsidR="00E2705A" w:rsidRPr="00E2705A" w:rsidRDefault="00E2705A" w:rsidP="00A92D87">
      <w:pPr>
        <w:spacing w:line="240" w:lineRule="auto"/>
        <w:jc w:val="both"/>
      </w:pPr>
      <w:r w:rsidRPr="00E2705A">
        <w:t xml:space="preserve">3.       Internado de Atención Especializada. </w:t>
      </w:r>
    </w:p>
    <w:p w:rsidR="00E2705A" w:rsidRPr="00E2705A" w:rsidRDefault="00E2705A" w:rsidP="00A92D87">
      <w:pPr>
        <w:spacing w:line="240" w:lineRule="auto"/>
        <w:jc w:val="both"/>
      </w:pPr>
      <w:r w:rsidRPr="00E2705A">
        <w:t xml:space="preserve">4.       Casa Hogar de Protección. </w:t>
      </w:r>
    </w:p>
    <w:p w:rsidR="00E2705A" w:rsidRPr="00E2705A" w:rsidRDefault="00E2705A" w:rsidP="00A92D87">
      <w:pPr>
        <w:spacing w:line="240" w:lineRule="auto"/>
        <w:jc w:val="both"/>
      </w:pPr>
      <w:r w:rsidRPr="00E2705A">
        <w:t xml:space="preserve">5.       Internado: Diagnóstico y Acogida para IAPAS. </w:t>
      </w:r>
    </w:p>
    <w:p w:rsidR="00E2705A" w:rsidRPr="00E2705A" w:rsidRDefault="00E2705A" w:rsidP="00A92D87">
      <w:pPr>
        <w:spacing w:line="240" w:lineRule="auto"/>
        <w:jc w:val="both"/>
      </w:pPr>
      <w:r w:rsidRPr="00E2705A">
        <w:t xml:space="preserve">6.       Internado: Discapacidad. </w:t>
      </w:r>
    </w:p>
    <w:p w:rsidR="00E2705A" w:rsidRPr="00E2705A" w:rsidRDefault="00E2705A" w:rsidP="00A92D87">
      <w:pPr>
        <w:spacing w:line="240" w:lineRule="auto"/>
        <w:jc w:val="both"/>
      </w:pPr>
      <w:r w:rsidRPr="00E2705A">
        <w:t xml:space="preserve">7.       Internado: Discapacidad Mental Psicosocial. </w:t>
      </w:r>
    </w:p>
    <w:p w:rsidR="00E2705A" w:rsidRPr="00E2705A" w:rsidRDefault="00E2705A" w:rsidP="00A92D87">
      <w:pPr>
        <w:spacing w:line="240" w:lineRule="auto"/>
        <w:jc w:val="both"/>
      </w:pPr>
      <w:r w:rsidRPr="00E2705A">
        <w:t xml:space="preserve">8.       Preparación para la Vida Laboral y Productiva </w:t>
      </w:r>
    </w:p>
    <w:p w:rsidR="00E2705A" w:rsidRPr="00E2705A" w:rsidRDefault="00E2705A" w:rsidP="00A92D87">
      <w:pPr>
        <w:spacing w:line="240" w:lineRule="auto"/>
        <w:jc w:val="both"/>
      </w:pPr>
      <w:r w:rsidRPr="00E2705A">
        <w:t>Impactos negativos:</w:t>
      </w:r>
    </w:p>
    <w:p w:rsidR="00E2705A" w:rsidRPr="00E2705A" w:rsidRDefault="007E5119" w:rsidP="00A92D87">
      <w:pPr>
        <w:spacing w:line="240" w:lineRule="auto"/>
        <w:jc w:val="both"/>
      </w:pPr>
      <w:r w:rsidRPr="00E2705A">
        <w:t>Débil</w:t>
      </w:r>
      <w:r w:rsidR="00E2705A" w:rsidRPr="00E2705A">
        <w:t xml:space="preserve"> trabajo con la familia de </w:t>
      </w:r>
      <w:r w:rsidRPr="00E2705A">
        <w:t>los niños, niñas</w:t>
      </w:r>
      <w:r w:rsidR="00E2705A" w:rsidRPr="00E2705A">
        <w:t xml:space="preserve"> y adolescentes debido a la falta de equipos interdisciplinarios y recursos financieros en las Comisarias de Familia, requeridos para una </w:t>
      </w:r>
      <w:r w:rsidRPr="00E2705A">
        <w:t>óptima</w:t>
      </w:r>
      <w:r w:rsidR="00E2705A" w:rsidRPr="00E2705A">
        <w:t xml:space="preserve"> atención de la problemática presentada, toda vez que tiene a su cargo la competencia legal de atención de VIOLENCIA INTRAFAMILIAR.</w:t>
      </w:r>
    </w:p>
    <w:p w:rsidR="00E2705A" w:rsidRPr="00E2705A" w:rsidRDefault="00E2705A" w:rsidP="00A92D87">
      <w:pPr>
        <w:spacing w:line="240" w:lineRule="auto"/>
        <w:jc w:val="both"/>
      </w:pPr>
      <w:r w:rsidRPr="00E2705A">
        <w:t>d.</w:t>
      </w:r>
      <w:r w:rsidRPr="00E2705A">
        <w:tab/>
        <w:t xml:space="preserve">Realice un análisis de las razones del comportamiento del indicador (según serie temporal) teniendo en cuenta la fuente que está utilizando (nacional o local). Si la fuente de información ofrece niveles de desagregación (sexo, área, etnia, discapacidad, </w:t>
      </w:r>
      <w:r w:rsidR="007E5119" w:rsidRPr="00E2705A">
        <w:t>etc.</w:t>
      </w:r>
      <w:r w:rsidRPr="00E2705A">
        <w:t xml:space="preserve">,), inclúyalos en el análisis. </w:t>
      </w:r>
    </w:p>
    <w:p w:rsidR="00E2705A" w:rsidRPr="00E2705A" w:rsidRDefault="00E2705A" w:rsidP="00A92D87">
      <w:pPr>
        <w:spacing w:line="240" w:lineRule="auto"/>
        <w:jc w:val="both"/>
      </w:pPr>
      <w:r w:rsidRPr="00E2705A">
        <w:lastRenderedPageBreak/>
        <w:t>Si puede argumentar el comportamiento del indicador según la fuente alterna puede hacerlo en el campo correspondiente:</w:t>
      </w:r>
    </w:p>
    <w:p w:rsidR="00E2705A" w:rsidRPr="00E2705A" w:rsidRDefault="00E2705A" w:rsidP="00A92D87">
      <w:pPr>
        <w:spacing w:line="240" w:lineRule="auto"/>
        <w:jc w:val="both"/>
      </w:pPr>
      <w:r w:rsidRPr="00E2705A">
        <w:t>Fuente Nacional:</w:t>
      </w:r>
    </w:p>
    <w:p w:rsidR="00E2705A" w:rsidRPr="00E2705A" w:rsidRDefault="00E2705A" w:rsidP="00A92D87">
      <w:pPr>
        <w:spacing w:line="240" w:lineRule="auto"/>
        <w:jc w:val="both"/>
      </w:pPr>
      <w:r w:rsidRPr="00E2705A">
        <w:t>Revisada la fuente de información nacional http://www.suin-snbf.gov.co/suin/se verifica que para la vigencia 2012 - 2014 se reporta un descenso cuantitativo de una vigencia de un año a otro lo que permite visualizar el impacto de las acciones adelantadas a nivel territorial.</w:t>
      </w:r>
    </w:p>
    <w:p w:rsidR="00E2705A" w:rsidRPr="00E2705A" w:rsidRDefault="00E2705A" w:rsidP="00A92D87">
      <w:pPr>
        <w:spacing w:line="240" w:lineRule="auto"/>
        <w:jc w:val="both"/>
      </w:pPr>
      <w:r w:rsidRPr="00E2705A">
        <w:t xml:space="preserve">Como fortalezas que permiten la disminución estadística se encuentra: </w:t>
      </w:r>
    </w:p>
    <w:p w:rsidR="00E2705A" w:rsidRPr="00E2705A" w:rsidRDefault="00E2705A" w:rsidP="00A92D87">
      <w:pPr>
        <w:spacing w:line="240" w:lineRule="auto"/>
        <w:jc w:val="both"/>
      </w:pPr>
      <w:r w:rsidRPr="00E2705A">
        <w:t>Capacitación a los comisarios de familia.</w:t>
      </w:r>
    </w:p>
    <w:p w:rsidR="00E2705A" w:rsidRPr="00E2705A" w:rsidRDefault="00E2705A" w:rsidP="00A92D87">
      <w:pPr>
        <w:spacing w:line="240" w:lineRule="auto"/>
        <w:jc w:val="both"/>
      </w:pPr>
      <w:r w:rsidRPr="00E2705A">
        <w:t xml:space="preserve">Ampliación e impacto de los programas de prevención, encaminados a incentivar la cultura del denuncio. </w:t>
      </w:r>
    </w:p>
    <w:p w:rsidR="00E2705A" w:rsidRPr="00E2705A" w:rsidRDefault="00E2705A" w:rsidP="00A92D87">
      <w:pPr>
        <w:spacing w:line="240" w:lineRule="auto"/>
        <w:jc w:val="both"/>
      </w:pPr>
      <w:r w:rsidRPr="00E2705A">
        <w:t xml:space="preserve">Implementación y fortalecimiento de la ruta HAZ PAZ  y de las  rutas de atención y prevención de maltrato infantil, abuso sexual, violencia intrafamiliar y trabajo infantil. </w:t>
      </w:r>
    </w:p>
    <w:p w:rsidR="00E2705A" w:rsidRPr="00E2705A" w:rsidRDefault="00E2705A" w:rsidP="00A92D87">
      <w:pPr>
        <w:spacing w:line="240" w:lineRule="auto"/>
        <w:jc w:val="both"/>
      </w:pPr>
      <w:r w:rsidRPr="00E2705A">
        <w:t>Mayor conocimiento y apropiación de la ley 1098 de 2006 por parte de la comunidad, implementación de la estrategia departamental de prevención de vulneración de derechos de niños, niñas, adolescentes y jóvenes en contextos de conflicto y violencias asociadas</w:t>
      </w:r>
    </w:p>
    <w:p w:rsidR="00E2705A" w:rsidRPr="00E2705A" w:rsidRDefault="00E2705A" w:rsidP="00A92D87">
      <w:pPr>
        <w:spacing w:line="240" w:lineRule="auto"/>
        <w:jc w:val="both"/>
      </w:pPr>
      <w:r w:rsidRPr="00E2705A">
        <w:t>Se logró la firma de CONVENIO MARCO, entre ICBF y los entes territoriales para la conformación de hogares de paso, medida que permite a las autoridades administrativas, la ubicación de los niños, niñas y adolescentes, en tanto se adoptan medidas de restablecimiento definitivas.</w:t>
      </w:r>
    </w:p>
    <w:p w:rsidR="00E2705A" w:rsidRPr="00E2705A" w:rsidRDefault="00E2705A" w:rsidP="00A92D87">
      <w:pPr>
        <w:spacing w:line="240" w:lineRule="auto"/>
        <w:jc w:val="both"/>
      </w:pPr>
      <w:r w:rsidRPr="00E2705A">
        <w:t xml:space="preserve">Planes de acción de las mesas de primera infancia, infancia y </w:t>
      </w:r>
      <w:r w:rsidR="00B21121" w:rsidRPr="00E2705A">
        <w:t>adolescencia con</w:t>
      </w:r>
      <w:r w:rsidRPr="00E2705A">
        <w:t xml:space="preserve"> </w:t>
      </w:r>
      <w:r w:rsidR="00B21121" w:rsidRPr="00E2705A">
        <w:t>seguimiento a</w:t>
      </w:r>
      <w:r w:rsidRPr="00E2705A">
        <w:t xml:space="preserve"> la garantía de derechos.</w:t>
      </w:r>
    </w:p>
    <w:p w:rsidR="00E2705A" w:rsidRPr="00E2705A" w:rsidRDefault="00E2705A" w:rsidP="00A92D87">
      <w:pPr>
        <w:spacing w:line="240" w:lineRule="auto"/>
        <w:jc w:val="both"/>
      </w:pPr>
      <w:r w:rsidRPr="00E2705A">
        <w:t>Fuente local:</w:t>
      </w:r>
    </w:p>
    <w:p w:rsidR="00E2705A" w:rsidRPr="00E2705A" w:rsidRDefault="00E2705A" w:rsidP="00A92D87">
      <w:pPr>
        <w:spacing w:line="240" w:lineRule="auto"/>
        <w:jc w:val="both"/>
      </w:pPr>
      <w:r w:rsidRPr="00E2705A">
        <w:t xml:space="preserve">No se adjuntan datos de fuentes locales que permitan hacer interpretación. </w:t>
      </w:r>
    </w:p>
    <w:p w:rsidR="00E2705A" w:rsidRPr="00E2705A" w:rsidRDefault="00E2705A" w:rsidP="00A92D87">
      <w:pPr>
        <w:spacing w:line="240" w:lineRule="auto"/>
        <w:jc w:val="both"/>
      </w:pPr>
      <w:r w:rsidRPr="00E2705A">
        <w:t>e.</w:t>
      </w:r>
      <w:r w:rsidRPr="00E2705A">
        <w:tab/>
        <w:t>Describa las recomendaciones que como gobierno local o departamental, le deja a la próxima administración para mejorar la situación de la población correspondiente al momento del ciclo de vida analizado:</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Actualización del diagnóstico poblacional y la adecuación de acciones pertinentes.</w:t>
      </w:r>
    </w:p>
    <w:p w:rsidR="00E2705A" w:rsidRPr="00E2705A" w:rsidRDefault="00E2705A" w:rsidP="00A92D87">
      <w:pPr>
        <w:spacing w:line="240" w:lineRule="auto"/>
        <w:jc w:val="both"/>
      </w:pPr>
      <w:r w:rsidRPr="00E2705A">
        <w:t xml:space="preserve">Reforzar las acciones y programas preventivos. </w:t>
      </w:r>
    </w:p>
    <w:p w:rsidR="00E2705A" w:rsidRPr="00E2705A" w:rsidRDefault="00E2705A" w:rsidP="00A92D87">
      <w:pPr>
        <w:spacing w:line="240" w:lineRule="auto"/>
        <w:jc w:val="both"/>
      </w:pPr>
      <w:r w:rsidRPr="00E2705A">
        <w:t>Garantizar equipos técnicos interdisciplinarios cualificados en las comisarías de familias</w:t>
      </w:r>
    </w:p>
    <w:p w:rsidR="00E2705A" w:rsidRPr="00E2705A" w:rsidRDefault="00E2705A" w:rsidP="00A92D87">
      <w:pPr>
        <w:spacing w:line="240" w:lineRule="auto"/>
        <w:jc w:val="both"/>
      </w:pPr>
      <w:r w:rsidRPr="00E2705A">
        <w:t xml:space="preserve">Asignación de recursos para el fortalecimiento de entornos protectores en el plan de desarrollo. </w:t>
      </w:r>
    </w:p>
    <w:p w:rsidR="00E2705A" w:rsidRPr="00E2705A" w:rsidRDefault="00E2705A" w:rsidP="00A92D87">
      <w:pPr>
        <w:spacing w:line="240" w:lineRule="auto"/>
        <w:jc w:val="both"/>
      </w:pPr>
      <w:r w:rsidRPr="00E2705A">
        <w:t>Asignación de recursos para la financiación de hogares de paso y cofinanciación de cupos en hogares sustitutos e instituciones</w:t>
      </w:r>
    </w:p>
    <w:p w:rsidR="00E2705A" w:rsidRPr="00E2705A" w:rsidRDefault="00E2705A" w:rsidP="00A92D87">
      <w:pPr>
        <w:spacing w:line="240" w:lineRule="auto"/>
        <w:jc w:val="both"/>
      </w:pPr>
      <w:r w:rsidRPr="00E2705A">
        <w:lastRenderedPageBreak/>
        <w:t xml:space="preserve">Adelantar convenios con las universidades y demás instituciones del estado que contribuyan al restablecimiento de los derechos.  De igual manera la vinculación a programas de atención especializada para la PREPARACION PARA LA VIDA LABORAL Y PRODUCTIVA y construcción de proyecto de vida de los adolescentes. </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CÓDIGO DEL INDICADOR: 70</w:t>
      </w:r>
    </w:p>
    <w:p w:rsidR="00E2705A" w:rsidRPr="00E2705A" w:rsidRDefault="00E2705A" w:rsidP="00A92D87">
      <w:pPr>
        <w:spacing w:line="240" w:lineRule="auto"/>
        <w:jc w:val="both"/>
      </w:pPr>
      <w:r w:rsidRPr="00E2705A">
        <w:t>Nombre del indicador: Número de niños, niñas y adolescentes atendidos por el ICBF con Proceso Administrativo de Restablecimiento de Derechos - PARD identificados como víctimas de violencia sexual</w:t>
      </w:r>
    </w:p>
    <w:p w:rsidR="00E2705A" w:rsidRPr="00E2705A" w:rsidRDefault="00E2705A" w:rsidP="00A92D87">
      <w:pPr>
        <w:spacing w:line="240" w:lineRule="auto"/>
        <w:jc w:val="both"/>
      </w:pPr>
      <w:r w:rsidRPr="00E2705A">
        <w:t>b.</w:t>
      </w:r>
      <w:r w:rsidRPr="00E2705A">
        <w:tab/>
        <w:t>Identifique cual es la fuente de información que respalda el análisis que realizará a continuación (nacional o local), identificando sus fortalezas y debilidades:</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o</w:t>
      </w:r>
      <w:r w:rsidRPr="00E2705A">
        <w:tab/>
        <w:t>Fuente Nacional X</w:t>
      </w:r>
    </w:p>
    <w:p w:rsidR="00E2705A" w:rsidRPr="00E2705A" w:rsidRDefault="00E2705A" w:rsidP="00A92D87">
      <w:pPr>
        <w:spacing w:line="240" w:lineRule="auto"/>
        <w:jc w:val="both"/>
      </w:pPr>
      <w:r w:rsidRPr="00E2705A">
        <w:t>o</w:t>
      </w:r>
      <w:r w:rsidRPr="00E2705A">
        <w:tab/>
        <w:t>Fuente Local</w:t>
      </w:r>
    </w:p>
    <w:p w:rsidR="00E2705A" w:rsidRPr="00E2705A" w:rsidRDefault="00E2705A" w:rsidP="00A92D87">
      <w:pPr>
        <w:spacing w:line="240" w:lineRule="auto"/>
        <w:jc w:val="both"/>
      </w:pPr>
      <w:r w:rsidRPr="00E2705A">
        <w:t xml:space="preserve"> Fortalezas:</w:t>
      </w:r>
    </w:p>
    <w:p w:rsidR="00E2705A" w:rsidRPr="00E2705A" w:rsidRDefault="00E2705A" w:rsidP="00A92D87">
      <w:pPr>
        <w:spacing w:line="240" w:lineRule="auto"/>
        <w:jc w:val="both"/>
      </w:pPr>
      <w:r w:rsidRPr="00E2705A">
        <w:t xml:space="preserve">Se cuenta con un sistema de información misional SIM desde el ICBF que permite identificar el </w:t>
      </w:r>
      <w:r w:rsidR="00B2568D" w:rsidRPr="00E2705A">
        <w:t>número</w:t>
      </w:r>
      <w:r w:rsidRPr="00E2705A">
        <w:t xml:space="preserve"> de niños, niñas y adolescentes en proceso administrativo – PARD, identificados como </w:t>
      </w:r>
      <w:r w:rsidR="00B2568D" w:rsidRPr="00E2705A">
        <w:t>víctimas</w:t>
      </w:r>
      <w:r w:rsidRPr="00E2705A">
        <w:t xml:space="preserve"> de violencia sexual y las medidas adoptadas por las respectivas </w:t>
      </w:r>
      <w:r w:rsidR="00B2568D" w:rsidRPr="00E2705A">
        <w:t>Defensorías</w:t>
      </w:r>
      <w:r w:rsidRPr="00E2705A">
        <w:t xml:space="preserve"> de Familia para el restablecimiento de derechos.</w:t>
      </w:r>
    </w:p>
    <w:p w:rsidR="00E2705A" w:rsidRPr="00E2705A" w:rsidRDefault="00E2705A" w:rsidP="00A92D87">
      <w:pPr>
        <w:spacing w:line="240" w:lineRule="auto"/>
        <w:jc w:val="both"/>
      </w:pPr>
      <w:r w:rsidRPr="00E2705A">
        <w:t xml:space="preserve">Esta </w:t>
      </w:r>
      <w:r w:rsidR="00B2568D" w:rsidRPr="00E2705A">
        <w:t>información</w:t>
      </w:r>
      <w:r w:rsidRPr="00E2705A">
        <w:t xml:space="preserve"> sirve para alimentar el Sistema Único de </w:t>
      </w:r>
      <w:r w:rsidR="00B2568D" w:rsidRPr="00E2705A">
        <w:t>Información</w:t>
      </w:r>
      <w:r w:rsidRPr="00E2705A">
        <w:t xml:space="preserve"> para la niñez SUIN, el que permite consolidar la </w:t>
      </w:r>
      <w:r w:rsidR="00B2568D" w:rsidRPr="00E2705A">
        <w:t>estadística</w:t>
      </w:r>
      <w:r w:rsidRPr="00E2705A">
        <w:t xml:space="preserve"> nacional, departamental y municipal de niños, niñas y adolescentes en proceso administrativo de restablecimiento de derechos, reportados como </w:t>
      </w:r>
      <w:r w:rsidR="00B2568D" w:rsidRPr="00E2705A">
        <w:t>víctimas</w:t>
      </w:r>
      <w:r w:rsidRPr="00E2705A">
        <w:t xml:space="preserve"> de violencia sexual.</w:t>
      </w:r>
    </w:p>
    <w:p w:rsidR="00E2705A" w:rsidRPr="00E2705A" w:rsidRDefault="00E2705A" w:rsidP="00A92D87">
      <w:pPr>
        <w:spacing w:line="240" w:lineRule="auto"/>
        <w:jc w:val="both"/>
      </w:pPr>
      <w:r w:rsidRPr="00E2705A">
        <w:t>Debilidades:</w:t>
      </w:r>
    </w:p>
    <w:p w:rsidR="00E2705A" w:rsidRPr="00E2705A" w:rsidRDefault="00E2705A" w:rsidP="00A92D87">
      <w:pPr>
        <w:spacing w:line="240" w:lineRule="auto"/>
        <w:jc w:val="both"/>
      </w:pPr>
      <w:r w:rsidRPr="00E2705A">
        <w:t>Al Sistema de Información Misional - SIM, solo tiene acceso el ICBF y no los Comisarios de Familia quienes en el territorio por competencia subsidiaria, adelantan procesos administrativos de restablecimiento de derechos a víctimas de violencia sexual.</w:t>
      </w:r>
    </w:p>
    <w:p w:rsidR="00E2705A" w:rsidRPr="00E2705A" w:rsidRDefault="00E2705A" w:rsidP="00A92D87">
      <w:pPr>
        <w:spacing w:line="240" w:lineRule="auto"/>
        <w:jc w:val="both"/>
      </w:pPr>
      <w:r w:rsidRPr="00E2705A">
        <w:t>Durante el periodo a analizar, desde las comisarías de familia se envió la información de los Procesos Administrativos de Restablecimiento de Derechos- PARD atendidos al ICBF víctimas de violencia sexual , en un instrumento diseñado para tal fin, por cuanto, la comisaria de Familia, no cuentan con un sistema de información propio.</w:t>
      </w:r>
    </w:p>
    <w:p w:rsidR="00E2705A" w:rsidRPr="00E2705A" w:rsidRDefault="00E2705A" w:rsidP="00A92D87">
      <w:pPr>
        <w:spacing w:line="240" w:lineRule="auto"/>
        <w:jc w:val="both"/>
      </w:pPr>
      <w:r w:rsidRPr="00E2705A">
        <w:t>f.</w:t>
      </w:r>
      <w:r w:rsidRPr="00E2705A">
        <w:tab/>
        <w:t xml:space="preserve">Indique, según los siguientes criterios de valoración, cual es el que mejor interpreta el comportamiento del indicador analizado, para  el periodo comprendido entre los años 2011 y 2014. </w:t>
      </w:r>
    </w:p>
    <w:p w:rsidR="00E2705A" w:rsidRPr="00E2705A" w:rsidRDefault="00E2705A" w:rsidP="00A92D87">
      <w:pPr>
        <w:spacing w:line="240" w:lineRule="auto"/>
        <w:jc w:val="both"/>
      </w:pPr>
      <w:r w:rsidRPr="00E2705A">
        <w:lastRenderedPageBreak/>
        <w:t>Tenga en cuenta que debe analizar el periodo completo (2011 al 2014), si no cuenta con información para todos los años, la categoría a señalar es "sin serie Temporal":</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o</w:t>
      </w:r>
      <w:r w:rsidRPr="00E2705A">
        <w:tab/>
        <w:t xml:space="preserve">Mejoró  </w:t>
      </w:r>
    </w:p>
    <w:p w:rsidR="00E2705A" w:rsidRPr="00E2705A" w:rsidRDefault="00E2705A" w:rsidP="00A92D87">
      <w:pPr>
        <w:spacing w:line="240" w:lineRule="auto"/>
        <w:jc w:val="both"/>
      </w:pPr>
      <w:r w:rsidRPr="00E2705A">
        <w:t>o</w:t>
      </w:r>
      <w:r w:rsidRPr="00E2705A">
        <w:tab/>
        <w:t>Desmejoró</w:t>
      </w:r>
    </w:p>
    <w:p w:rsidR="00E2705A" w:rsidRPr="00E2705A" w:rsidRDefault="00E2705A" w:rsidP="00A92D87">
      <w:pPr>
        <w:spacing w:line="240" w:lineRule="auto"/>
        <w:jc w:val="both"/>
      </w:pPr>
      <w:r w:rsidRPr="00E2705A">
        <w:t>o</w:t>
      </w:r>
      <w:r w:rsidRPr="00E2705A">
        <w:tab/>
        <w:t>Estable</w:t>
      </w:r>
    </w:p>
    <w:p w:rsidR="00E2705A" w:rsidRPr="00E2705A" w:rsidRDefault="00E2705A" w:rsidP="00A92D87">
      <w:pPr>
        <w:spacing w:line="240" w:lineRule="auto"/>
        <w:jc w:val="both"/>
      </w:pPr>
      <w:r w:rsidRPr="00E2705A">
        <w:t xml:space="preserve">X   Sin serie temporal </w:t>
      </w:r>
    </w:p>
    <w:p w:rsidR="00E2705A" w:rsidRPr="00E2705A" w:rsidRDefault="00E2705A" w:rsidP="00A92D87">
      <w:pPr>
        <w:spacing w:line="240" w:lineRule="auto"/>
        <w:jc w:val="both"/>
      </w:pPr>
      <w:r w:rsidRPr="00E2705A">
        <w:t>o</w:t>
      </w:r>
      <w:r w:rsidRPr="00E2705A">
        <w:tab/>
        <w:t>Sin datos</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g.</w:t>
      </w:r>
      <w:r w:rsidRPr="00E2705A">
        <w:tab/>
        <w:t>Analice la categoría de valoración dada al indicador, identificando los impactos positivos o negativos sobre la población correspondiente al momento del ciclo de vida analizado, desde la situación encontrada al inicio de la administración y la del último año de referencia (2014 o 2015 según aplique):</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Impactos positivos:</w:t>
      </w:r>
    </w:p>
    <w:p w:rsidR="00E2705A" w:rsidRPr="00E2705A" w:rsidRDefault="00E2705A" w:rsidP="00A92D87">
      <w:pPr>
        <w:spacing w:line="240" w:lineRule="auto"/>
        <w:jc w:val="both"/>
      </w:pPr>
      <w:r w:rsidRPr="00E2705A">
        <w:t>Los niños, niñas, adolescentes y  sus familias, que vivieron experiencias de violencia sexual y a quienes se les aperturó proceso administrativo de restablecimiento de derechos fueron atendidos por la Comisaria de Familia del municipio, pese a la carencia de equipos interdisciplinarios.</w:t>
      </w:r>
    </w:p>
    <w:p w:rsidR="00E2705A" w:rsidRPr="00E2705A" w:rsidRDefault="00E2705A" w:rsidP="00A92D87">
      <w:pPr>
        <w:spacing w:line="240" w:lineRule="auto"/>
        <w:jc w:val="both"/>
      </w:pPr>
      <w:r w:rsidRPr="00E2705A">
        <w:t>El territorio desarrollo acciones de prevención de violencia sexual  dirigidas a los niños, niñas adolescentes y sus familias.</w:t>
      </w:r>
    </w:p>
    <w:p w:rsidR="00E2705A" w:rsidRPr="00E2705A" w:rsidRDefault="00E2705A" w:rsidP="00A92D87">
      <w:pPr>
        <w:spacing w:line="240" w:lineRule="auto"/>
        <w:jc w:val="both"/>
      </w:pPr>
      <w:r w:rsidRPr="00E2705A">
        <w:t>Ejecución de campañas de prevención y sensibilización para generar factores protectores en la familia y en espacios académicos y promover la denuncia ante las autoridades competentes.</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Articulación del Sistema Nacional de Bienestar Familiar para la garantía de derechos de los niños, niñas y adolescentes.</w:t>
      </w:r>
    </w:p>
    <w:p w:rsidR="00E2705A" w:rsidRPr="00E2705A" w:rsidRDefault="00E2705A" w:rsidP="00A92D87">
      <w:pPr>
        <w:spacing w:line="240" w:lineRule="auto"/>
        <w:jc w:val="both"/>
      </w:pPr>
      <w:r w:rsidRPr="00E2705A">
        <w:t>Impactos negativos:</w:t>
      </w:r>
    </w:p>
    <w:p w:rsidR="00E2705A" w:rsidRPr="00E2705A" w:rsidRDefault="00E2705A" w:rsidP="00A92D87">
      <w:pPr>
        <w:spacing w:line="240" w:lineRule="auto"/>
        <w:jc w:val="both"/>
      </w:pPr>
      <w:r w:rsidRPr="00E2705A">
        <w:t xml:space="preserve">Deficiente atención terapéutica para los niños, niñas, adolescentes y familia, requerida para los casos de abuso sexual debido a la falta de recursos que permitan la contratación de profesionales especializados, toda vez que la afectación para las víctimas de abuso sexual generan múltiples y complejas consecuencias como: </w:t>
      </w:r>
    </w:p>
    <w:p w:rsidR="00E2705A" w:rsidRPr="00E2705A" w:rsidRDefault="00E2705A" w:rsidP="00A92D87">
      <w:pPr>
        <w:spacing w:line="240" w:lineRule="auto"/>
        <w:jc w:val="both"/>
      </w:pPr>
      <w:r w:rsidRPr="00E2705A">
        <w:t>Alteraciones físicas, cognitivas, emocionales, comportamentales, sociales, sexuales en los niños, niñas y adolescentes.</w:t>
      </w:r>
    </w:p>
    <w:p w:rsidR="00E2705A" w:rsidRPr="00E2705A" w:rsidRDefault="00E2705A" w:rsidP="00A92D87">
      <w:pPr>
        <w:spacing w:line="240" w:lineRule="auto"/>
        <w:jc w:val="both"/>
      </w:pPr>
      <w:r w:rsidRPr="00E2705A">
        <w:t>Niños, niñas y adolescentes con  vulneración de derechos.</w:t>
      </w:r>
    </w:p>
    <w:p w:rsidR="00E2705A" w:rsidRPr="00E2705A" w:rsidRDefault="00E2705A" w:rsidP="00A92D87">
      <w:pPr>
        <w:spacing w:line="240" w:lineRule="auto"/>
        <w:jc w:val="both"/>
      </w:pPr>
      <w:r w:rsidRPr="00E2705A">
        <w:lastRenderedPageBreak/>
        <w:t>Afectación de la calidad y proyecto de vida.</w:t>
      </w:r>
    </w:p>
    <w:p w:rsidR="00E2705A" w:rsidRPr="00E2705A" w:rsidRDefault="00E2705A" w:rsidP="00A92D87">
      <w:pPr>
        <w:spacing w:line="240" w:lineRule="auto"/>
        <w:jc w:val="both"/>
      </w:pPr>
      <w:r w:rsidRPr="00E2705A">
        <w:t>Conductas suicidas.</w:t>
      </w:r>
    </w:p>
    <w:p w:rsidR="00E2705A" w:rsidRPr="00E2705A" w:rsidRDefault="00E2705A" w:rsidP="00A92D87">
      <w:pPr>
        <w:spacing w:line="240" w:lineRule="auto"/>
        <w:jc w:val="both"/>
      </w:pPr>
      <w:r w:rsidRPr="00E2705A">
        <w:t>Desestructuración familiar.</w:t>
      </w:r>
    </w:p>
    <w:p w:rsidR="00E2705A" w:rsidRPr="00E2705A" w:rsidRDefault="00E2705A" w:rsidP="00A92D87">
      <w:pPr>
        <w:spacing w:line="240" w:lineRule="auto"/>
        <w:jc w:val="both"/>
      </w:pPr>
      <w:r w:rsidRPr="00E2705A">
        <w:t xml:space="preserve">Generación de problemáticas  socio familiares </w:t>
      </w:r>
    </w:p>
    <w:p w:rsidR="00E2705A" w:rsidRPr="00E2705A" w:rsidRDefault="00E2705A" w:rsidP="00A92D87">
      <w:pPr>
        <w:spacing w:line="240" w:lineRule="auto"/>
        <w:jc w:val="both"/>
      </w:pPr>
      <w:r w:rsidRPr="00E2705A">
        <w:t>Entornos protectores no garantes.</w:t>
      </w:r>
    </w:p>
    <w:p w:rsidR="00E2705A" w:rsidRPr="00E2705A" w:rsidRDefault="00E2705A" w:rsidP="00A92D87">
      <w:pPr>
        <w:spacing w:line="240" w:lineRule="auto"/>
        <w:jc w:val="both"/>
      </w:pPr>
      <w:r w:rsidRPr="00E2705A">
        <w:t>Consumo de sustancias psicoactivas</w:t>
      </w:r>
    </w:p>
    <w:p w:rsidR="00E2705A" w:rsidRPr="00E2705A" w:rsidRDefault="00E2705A" w:rsidP="00A92D87">
      <w:pPr>
        <w:spacing w:line="240" w:lineRule="auto"/>
        <w:jc w:val="both"/>
      </w:pPr>
      <w:r w:rsidRPr="00E2705A">
        <w:t>Embarazos en adolescentes.</w:t>
      </w:r>
    </w:p>
    <w:p w:rsidR="00E2705A" w:rsidRPr="00E2705A" w:rsidRDefault="00E2705A" w:rsidP="00A92D87">
      <w:pPr>
        <w:spacing w:line="240" w:lineRule="auto"/>
        <w:jc w:val="both"/>
      </w:pPr>
      <w:r w:rsidRPr="00E2705A">
        <w:t>h.</w:t>
      </w:r>
      <w:r w:rsidRPr="00E2705A">
        <w:tab/>
        <w:t xml:space="preserve">Realice un análisis de las razones del comportamiento del indicador (según serie temporal) teniendo en cuenta la fuente que está utilizando (nacional o local). Si la fuente de información ofrece niveles de desagregación (sexo, área, etnia, discapacidad, etc.), inclúyalos en el análisis. </w:t>
      </w:r>
    </w:p>
    <w:p w:rsidR="00E2705A" w:rsidRPr="00E2705A" w:rsidRDefault="00E2705A" w:rsidP="00A92D87">
      <w:pPr>
        <w:spacing w:line="240" w:lineRule="auto"/>
        <w:jc w:val="both"/>
      </w:pPr>
      <w:r w:rsidRPr="00E2705A">
        <w:t>Si puede argumentar el comportamiento del indicador según la fuente alterna puede hacerlo en el campo correspondiente:</w:t>
      </w:r>
    </w:p>
    <w:p w:rsidR="00E2705A" w:rsidRPr="00E2705A" w:rsidRDefault="00E2705A" w:rsidP="00A92D87">
      <w:pPr>
        <w:spacing w:line="240" w:lineRule="auto"/>
        <w:jc w:val="both"/>
      </w:pPr>
      <w:r w:rsidRPr="00E2705A">
        <w:t>Fuente Nacional:</w:t>
      </w:r>
    </w:p>
    <w:p w:rsidR="00E2705A" w:rsidRPr="00E2705A" w:rsidRDefault="00E2705A" w:rsidP="00A92D87">
      <w:pPr>
        <w:spacing w:line="240" w:lineRule="auto"/>
        <w:jc w:val="both"/>
      </w:pPr>
      <w:r w:rsidRPr="00E2705A">
        <w:t>Revisada la fuente de información nacional,  se verifica para la vigencia 2011-2014 se reportan procesos administrativos de restablecimiento de derechos de niños niñas y adolescentes víctimas de violencia sexual, un descenso cuantitativo de un año a otro. Lo cual se atribuye a acciones como:</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w:t>
      </w:r>
      <w:r w:rsidRPr="00E2705A">
        <w:tab/>
        <w:t xml:space="preserve">Se desarrollaron campañas preventivas </w:t>
      </w:r>
      <w:r w:rsidR="00E977C6" w:rsidRPr="00E2705A">
        <w:t>y programas encaminados</w:t>
      </w:r>
      <w:r w:rsidRPr="00E2705A">
        <w:t xml:space="preserve"> a la sensibilización de las familias para ser garantes de derechos   y protectores.</w:t>
      </w:r>
    </w:p>
    <w:p w:rsidR="00E2705A" w:rsidRPr="00E2705A" w:rsidRDefault="00E2705A" w:rsidP="00A92D87">
      <w:pPr>
        <w:spacing w:line="240" w:lineRule="auto"/>
        <w:jc w:val="both"/>
      </w:pPr>
      <w:r w:rsidRPr="00E2705A">
        <w:t>•</w:t>
      </w:r>
      <w:r w:rsidRPr="00E2705A">
        <w:tab/>
        <w:t>Mayor sensibilización de la comunidad en general que incentiva la denuncia.</w:t>
      </w:r>
    </w:p>
    <w:p w:rsidR="00E2705A" w:rsidRPr="00E2705A" w:rsidRDefault="00E2705A" w:rsidP="00A92D87">
      <w:pPr>
        <w:spacing w:line="240" w:lineRule="auto"/>
        <w:jc w:val="both"/>
      </w:pPr>
      <w:r w:rsidRPr="00E2705A">
        <w:t>•</w:t>
      </w:r>
      <w:r w:rsidRPr="00E2705A">
        <w:tab/>
        <w:t>Implementación y fortalecimiento de la ruta haz paz.</w:t>
      </w:r>
    </w:p>
    <w:p w:rsidR="00E2705A" w:rsidRPr="00E2705A" w:rsidRDefault="00E2705A" w:rsidP="00A92D87">
      <w:pPr>
        <w:spacing w:line="240" w:lineRule="auto"/>
        <w:jc w:val="both"/>
      </w:pPr>
      <w:r w:rsidRPr="00E2705A">
        <w:t>•</w:t>
      </w:r>
      <w:r w:rsidRPr="00E2705A">
        <w:tab/>
        <w:t>Implementación y fortalecimiento de las rutas de atención y prevención  de maltrato infantil, abuso sexual, violencia intrafamiliar y trabajo infantil.</w:t>
      </w:r>
    </w:p>
    <w:p w:rsidR="00E2705A" w:rsidRPr="00E2705A" w:rsidRDefault="00E2705A" w:rsidP="00A92D87">
      <w:pPr>
        <w:spacing w:line="240" w:lineRule="auto"/>
        <w:jc w:val="both"/>
      </w:pPr>
      <w:r w:rsidRPr="00E2705A">
        <w:t>•</w:t>
      </w:r>
      <w:r w:rsidRPr="00E2705A">
        <w:tab/>
        <w:t>Mayor conocimiento y apropiación de la ley 1098 de 2006.</w:t>
      </w:r>
    </w:p>
    <w:p w:rsidR="00E2705A" w:rsidRPr="00E2705A" w:rsidRDefault="00E2705A" w:rsidP="00A92D87">
      <w:pPr>
        <w:spacing w:line="240" w:lineRule="auto"/>
        <w:jc w:val="both"/>
      </w:pPr>
      <w:r w:rsidRPr="00E2705A">
        <w:t xml:space="preserve"> •</w:t>
      </w:r>
      <w:r w:rsidRPr="00E2705A">
        <w:tab/>
        <w:t>Mayor concientización  y  apropiación  de factores protectores en la familia y la comunidad  frente al abuso sexual</w:t>
      </w:r>
    </w:p>
    <w:p w:rsidR="00E2705A" w:rsidRPr="00E2705A" w:rsidRDefault="00E2705A" w:rsidP="00A92D87">
      <w:pPr>
        <w:spacing w:line="240" w:lineRule="auto"/>
        <w:jc w:val="both"/>
      </w:pPr>
      <w:r w:rsidRPr="00E2705A">
        <w:t>•</w:t>
      </w:r>
      <w:r w:rsidRPr="00E2705A">
        <w:tab/>
        <w:t>Mesa de primera infancia, infancia y adolescencia con planes operativos encaminados a la prevención y atención de violencia sexual.</w:t>
      </w:r>
    </w:p>
    <w:p w:rsidR="00E2705A" w:rsidRPr="00E2705A" w:rsidRDefault="00E2705A" w:rsidP="00A92D87">
      <w:pPr>
        <w:spacing w:line="240" w:lineRule="auto"/>
        <w:jc w:val="both"/>
      </w:pPr>
      <w:r w:rsidRPr="00E2705A">
        <w:t>•</w:t>
      </w:r>
      <w:r w:rsidRPr="00E2705A">
        <w:tab/>
        <w:t>Red del buen trato  desarrollando acciones de prevención y atención.</w:t>
      </w:r>
    </w:p>
    <w:p w:rsidR="00E2705A" w:rsidRPr="00E2705A" w:rsidRDefault="00E2705A" w:rsidP="00A92D87">
      <w:pPr>
        <w:spacing w:line="240" w:lineRule="auto"/>
        <w:jc w:val="both"/>
      </w:pPr>
      <w:r w:rsidRPr="00E2705A">
        <w:t>•</w:t>
      </w:r>
      <w:r w:rsidRPr="00E2705A">
        <w:tab/>
        <w:t>Articulación del sistema nacional de bienestar familiar para la garantía de derechos de los niños, niñas y adolescentes.</w:t>
      </w:r>
    </w:p>
    <w:p w:rsidR="00E2705A" w:rsidRPr="00E2705A" w:rsidRDefault="00E2705A" w:rsidP="00A92D87">
      <w:pPr>
        <w:spacing w:line="240" w:lineRule="auto"/>
        <w:jc w:val="both"/>
      </w:pPr>
      <w:r w:rsidRPr="00E2705A">
        <w:lastRenderedPageBreak/>
        <w:t>•</w:t>
      </w:r>
      <w:r w:rsidRPr="00E2705A">
        <w:tab/>
        <w:t>Aumento de penas para los victimarios de niños, niñas y adolescentes.</w:t>
      </w:r>
    </w:p>
    <w:p w:rsidR="00E2705A" w:rsidRPr="00E2705A" w:rsidRDefault="00E2705A" w:rsidP="00A92D87">
      <w:pPr>
        <w:spacing w:line="240" w:lineRule="auto"/>
        <w:jc w:val="both"/>
      </w:pPr>
      <w:r w:rsidRPr="00E2705A">
        <w:t>Entre las razones que explica la disminución estadística se encuentra el fortalecimiento de los centros de atención de víctimas de violencia sexual, con la corresponsabilidad de la Fiscalía General de la Nación para atender con un  Caivas no solo en la ciudad de Pasto, sino también  en Tumaco.</w:t>
      </w:r>
    </w:p>
    <w:p w:rsidR="00E2705A" w:rsidRPr="00E2705A" w:rsidRDefault="00E2705A" w:rsidP="00A92D87">
      <w:pPr>
        <w:spacing w:line="240" w:lineRule="auto"/>
        <w:jc w:val="both"/>
      </w:pPr>
      <w:r w:rsidRPr="00E2705A">
        <w:t>Se utilizaron las modalidades de atención que dispone el ICBF tales como intervención terapéutica, intervención de apoyo, hogar sustituto.</w:t>
      </w:r>
    </w:p>
    <w:p w:rsidR="00E2705A" w:rsidRPr="00E2705A" w:rsidRDefault="00E2705A" w:rsidP="00A92D87">
      <w:pPr>
        <w:spacing w:line="240" w:lineRule="auto"/>
        <w:jc w:val="both"/>
      </w:pPr>
      <w:r w:rsidRPr="00E2705A">
        <w:t xml:space="preserve">Coordinación y participación conjunta con otras entidades en los Comités Interinstitucionales Consultivos para la prevención de la violencia sexual y atención integral de los niños, niñas y adolescentes </w:t>
      </w:r>
      <w:r w:rsidR="00E977C6" w:rsidRPr="00E2705A">
        <w:t>víctimas</w:t>
      </w:r>
      <w:r w:rsidRPr="00E2705A">
        <w:t xml:space="preserve"> de abuso sexual.</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Vigencia 2.012</w:t>
      </w:r>
    </w:p>
    <w:p w:rsidR="00E2705A" w:rsidRPr="00E2705A" w:rsidRDefault="00E2705A" w:rsidP="00A92D87">
      <w:pPr>
        <w:spacing w:line="240" w:lineRule="auto"/>
        <w:jc w:val="both"/>
      </w:pPr>
      <w:r w:rsidRPr="00E2705A">
        <w:t>1.</w:t>
      </w:r>
      <w:r w:rsidRPr="00E2705A">
        <w:tab/>
        <w:t>El IDSN brindó asistencia técnica a los 64 municipios logrando implementar la estrategia ICDP  en el 97% de los municipios, dirigido a actores del SGSSS de nivel municipal.</w:t>
      </w:r>
    </w:p>
    <w:p w:rsidR="00E2705A" w:rsidRPr="00E2705A" w:rsidRDefault="00E2705A" w:rsidP="00A92D87">
      <w:pPr>
        <w:spacing w:line="240" w:lineRule="auto"/>
        <w:jc w:val="both"/>
      </w:pPr>
      <w:r w:rsidRPr="00E2705A">
        <w:t>2.</w:t>
      </w:r>
      <w:r w:rsidRPr="00E2705A">
        <w:tab/>
        <w:t>Taller Departamental "Modelo de Atención Integral a Víctimas de Violencia Sexual". Se capacitó a 31 Directores Locales de Salud, 42 Comisarios de Familia, 45 profesionales de salud de las ESEs, IPSs, 6 EPS y 3 universidades formadoras del recurso humano.</w:t>
      </w:r>
    </w:p>
    <w:p w:rsidR="00E2705A" w:rsidRPr="00E2705A" w:rsidRDefault="00E2705A" w:rsidP="00A92D87">
      <w:pPr>
        <w:spacing w:line="240" w:lineRule="auto"/>
        <w:jc w:val="both"/>
      </w:pPr>
      <w:r w:rsidRPr="00E2705A">
        <w:t>3.</w:t>
      </w:r>
      <w:r w:rsidRPr="00E2705A">
        <w:tab/>
        <w:t>Se realizaron talleres en Tumaco, La Unión, Ipiales y Túquerres en Modelo de Atención Integral a Víctimas de Violencia Sexual.</w:t>
      </w:r>
    </w:p>
    <w:p w:rsidR="00E2705A" w:rsidRPr="00E2705A" w:rsidRDefault="00E2705A" w:rsidP="00A92D87">
      <w:pPr>
        <w:spacing w:line="240" w:lineRule="auto"/>
        <w:jc w:val="both"/>
      </w:pPr>
      <w:r w:rsidRPr="00E2705A">
        <w:t>4.</w:t>
      </w:r>
      <w:r w:rsidRPr="00E2705A">
        <w:tab/>
        <w:t>Implementación del modelo de atención en salud a víctimas de violencia sexual en el departamento de Nariño.</w:t>
      </w:r>
    </w:p>
    <w:p w:rsidR="00E2705A" w:rsidRPr="00E2705A" w:rsidRDefault="00E2705A" w:rsidP="00A92D87">
      <w:pPr>
        <w:spacing w:line="240" w:lineRule="auto"/>
        <w:jc w:val="both"/>
      </w:pPr>
      <w:r w:rsidRPr="00E2705A">
        <w:t>Vigencia 2.013</w:t>
      </w:r>
    </w:p>
    <w:p w:rsidR="00E2705A" w:rsidRPr="00E2705A" w:rsidRDefault="00E2705A" w:rsidP="00A92D87">
      <w:pPr>
        <w:spacing w:line="240" w:lineRule="auto"/>
        <w:jc w:val="both"/>
      </w:pPr>
      <w:r w:rsidRPr="00E2705A">
        <w:t>1.</w:t>
      </w:r>
      <w:r w:rsidRPr="00E2705A">
        <w:tab/>
        <w:t>Talleres de fortalecimiento intersectorial y de Redes de apoyo en derechos sexuales y reproductivos priorizando municipios de mayor incidencia de los eventos de violencia.  IDSN –SSR. Se realizaron talleres con líderes y docentes de los municipios de Ricaurte, Tuquerres, Ipiales y Policarpa.</w:t>
      </w:r>
    </w:p>
    <w:p w:rsidR="00E2705A" w:rsidRPr="00E2705A" w:rsidRDefault="00E2705A" w:rsidP="00A92D87">
      <w:pPr>
        <w:spacing w:line="240" w:lineRule="auto"/>
        <w:jc w:val="both"/>
      </w:pPr>
      <w:r w:rsidRPr="00E2705A">
        <w:t>2.</w:t>
      </w:r>
      <w:r w:rsidRPr="00E2705A">
        <w:tab/>
        <w:t>Realización de un Foro Departamental en el marco del día de la No violencia contra las mujeres.</w:t>
      </w:r>
    </w:p>
    <w:p w:rsidR="00E2705A" w:rsidRPr="00E2705A" w:rsidRDefault="00E2705A" w:rsidP="00A92D87">
      <w:pPr>
        <w:spacing w:line="240" w:lineRule="auto"/>
        <w:jc w:val="both"/>
      </w:pPr>
      <w:r w:rsidRPr="00E2705A">
        <w:t>3.</w:t>
      </w:r>
      <w:r w:rsidRPr="00E2705A">
        <w:tab/>
        <w:t>Creación de una Macro Ruta en las funciones y acciones que se requieren para hacer prevención y atención de la violencia sexual desde los tres sectores y las diferentes instituciones, liderado por IDSN, Sector Justicia, Protección, Educación, Salud, Ministerio Público, donde se plantearon las acciones que se deben llevar a cabo teniendo en cuenta el contexto del departamento de Nariño y los municipios en los cuales solo cuentan con sector salud, inspección de policía y comisaria de familia.</w:t>
      </w:r>
    </w:p>
    <w:p w:rsidR="00E2705A" w:rsidRPr="00E2705A" w:rsidRDefault="00E2705A" w:rsidP="00A92D87">
      <w:pPr>
        <w:spacing w:line="240" w:lineRule="auto"/>
        <w:jc w:val="both"/>
      </w:pPr>
      <w:r w:rsidRPr="00E2705A">
        <w:t>4.</w:t>
      </w:r>
      <w:r w:rsidRPr="00E2705A">
        <w:tab/>
        <w:t xml:space="preserve">Se llevó a cabo el plan de medios de la semana de la No Violencia hacia las mujeres con la participación de los representantes de las instituciones del Comités Interinstitucional Consultivo </w:t>
      </w:r>
      <w:r w:rsidRPr="00E2705A">
        <w:lastRenderedPageBreak/>
        <w:t>para la Prevención de la violencia Sexual y Atención Integral de los NNA víctimas de Violencia Sexual.</w:t>
      </w:r>
    </w:p>
    <w:p w:rsidR="00E2705A" w:rsidRPr="00E2705A" w:rsidRDefault="00E2705A" w:rsidP="00A92D87">
      <w:pPr>
        <w:spacing w:line="240" w:lineRule="auto"/>
        <w:jc w:val="both"/>
      </w:pPr>
      <w:r w:rsidRPr="00E2705A">
        <w:t>Vigencia 2.014</w:t>
      </w:r>
    </w:p>
    <w:p w:rsidR="00E2705A" w:rsidRPr="00E2705A" w:rsidRDefault="00E2705A" w:rsidP="00A92D87">
      <w:pPr>
        <w:spacing w:line="240" w:lineRule="auto"/>
        <w:jc w:val="both"/>
      </w:pPr>
      <w:r w:rsidRPr="00E2705A">
        <w:t>1.</w:t>
      </w:r>
      <w:r w:rsidRPr="00E2705A">
        <w:tab/>
        <w:t>Validación de la Ruta Departamental de Atención Integral a Víctimas de Violencia Intrafamiliar, donde se contempla el tema de Violencia Sexual y Formulación del Plan de Acción Vigencia 2.014.</w:t>
      </w:r>
    </w:p>
    <w:p w:rsidR="00E2705A" w:rsidRPr="00E2705A" w:rsidRDefault="00E2705A" w:rsidP="00A92D87">
      <w:pPr>
        <w:spacing w:line="240" w:lineRule="auto"/>
        <w:jc w:val="both"/>
      </w:pPr>
      <w:r w:rsidRPr="00E2705A">
        <w:t>Meta 1. Definir e implementar a nivel departamental estrategias que permitan realizar acciones de promoción y prevención de la violencia sexual en los 64 municipios del departamento</w:t>
      </w:r>
    </w:p>
    <w:p w:rsidR="00E2705A" w:rsidRPr="00E2705A" w:rsidRDefault="00E2705A" w:rsidP="00A92D87">
      <w:pPr>
        <w:spacing w:line="240" w:lineRule="auto"/>
        <w:jc w:val="both"/>
      </w:pPr>
      <w:r w:rsidRPr="00E2705A">
        <w:t>Meta 2. Capacitación y asistencia técnica a los sectores salud, justicia, protección y educación en el modelo de promoción y prevención de la violencia y atención a víctimas de violencia sexual de acuerdo a la macro ruta realizada en el 2014 en  los 64 municipios del departamento</w:t>
      </w:r>
    </w:p>
    <w:p w:rsidR="00E2705A" w:rsidRPr="00E2705A" w:rsidRDefault="00E2705A" w:rsidP="00A92D87">
      <w:pPr>
        <w:spacing w:line="240" w:lineRule="auto"/>
        <w:jc w:val="both"/>
      </w:pPr>
      <w:r w:rsidRPr="00E2705A">
        <w:t>Meta 3. Fortalecer la ruta de atención para Interrupción Voluntaria del Embarazo en los 64 municipios del departamento, coordinado con EPS.</w:t>
      </w:r>
    </w:p>
    <w:p w:rsidR="00E2705A" w:rsidRPr="00E2705A" w:rsidRDefault="00E2705A" w:rsidP="00A92D87">
      <w:pPr>
        <w:spacing w:line="240" w:lineRule="auto"/>
        <w:jc w:val="both"/>
      </w:pPr>
      <w:r w:rsidRPr="00E2705A">
        <w:t>Meta 4. 64 municipios con Asistencia Técnica a Comités Consultivos Municipales para la prevención de la Violencia sexual y la atención de las VVS.</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Meta 5. Concertar la ruta de atención a víctimas de violencia basada en género en el marco del conflicto armado e incluirla en las macro rutas ya diseñadas en 2013.</w:t>
      </w:r>
    </w:p>
    <w:p w:rsidR="00E2705A" w:rsidRPr="00E2705A" w:rsidRDefault="00E2705A" w:rsidP="00A92D87">
      <w:pPr>
        <w:spacing w:line="240" w:lineRule="auto"/>
        <w:jc w:val="both"/>
      </w:pPr>
      <w:r w:rsidRPr="00E2705A">
        <w:t>Meta 6. Fortalecer el sistema de información de víctimas de violencia sexual y hacer cruce con las bases de datos entre los diferentes sectores con el fin de promover la garantía en la atención integral de los 64 municipios del departamento de Nariño.</w:t>
      </w:r>
    </w:p>
    <w:p w:rsidR="00E2705A" w:rsidRPr="00E2705A" w:rsidRDefault="00E2705A" w:rsidP="00A92D87">
      <w:pPr>
        <w:spacing w:line="240" w:lineRule="auto"/>
        <w:jc w:val="both"/>
      </w:pPr>
      <w:r w:rsidRPr="00E2705A">
        <w:t xml:space="preserve">Dentro de las debilidades, se verifica que  los 64 Municipios que corresponden a la Regional Nariño, solo en 2 Municipios hay Centros de atención para víctimas de abuso sexual CAIVAS (Tumaco y Pasto),  quienes cuentan con los equipos defensorías y coadyuvancia interinstitucional de la Fiscalía General de la Nación  para atender los asuntos derivados de la atención de los niños víctimas de abuso sexual en  proceso administrativo de restablecimiento de derechos, en los municipios restantes donde hay ICBF se atiende en los centros zonales y en los municipios donde no hay ICBF se atiende por competencia subsidiaria  a través de las Comisarias de familia que en su gran numero carecen de equipo completos para actuar. </w:t>
      </w:r>
    </w:p>
    <w:p w:rsidR="00E2705A" w:rsidRPr="00E2705A" w:rsidRDefault="00E2705A" w:rsidP="00A92D87">
      <w:pPr>
        <w:spacing w:line="240" w:lineRule="auto"/>
        <w:jc w:val="both"/>
      </w:pPr>
      <w:r w:rsidRPr="00E2705A">
        <w:t>Fuente local:</w:t>
      </w:r>
    </w:p>
    <w:p w:rsidR="00E2705A" w:rsidRPr="00E2705A" w:rsidRDefault="00E2705A" w:rsidP="00A92D87">
      <w:pPr>
        <w:spacing w:line="240" w:lineRule="auto"/>
        <w:jc w:val="both"/>
      </w:pPr>
      <w:r w:rsidRPr="00E2705A">
        <w:t>No se remiten datos locales que permitan hacer pronunciamiento interpretativo.</w:t>
      </w:r>
    </w:p>
    <w:p w:rsidR="00E2705A" w:rsidRPr="00E2705A" w:rsidRDefault="00E2705A" w:rsidP="00A92D87">
      <w:pPr>
        <w:spacing w:line="240" w:lineRule="auto"/>
        <w:jc w:val="both"/>
      </w:pPr>
      <w:r w:rsidRPr="00E2705A">
        <w:t>i.</w:t>
      </w:r>
      <w:r w:rsidRPr="00E2705A">
        <w:tab/>
        <w:t>Si encuentra diferencia entre la información de la fuente nacional y la información de la fuente local para este indicador que analiza, realice un análisis desde su experiencia, sobre las razones que pueden existir para ello. Si no hay diferencia o la información soporte no permite este análisis indique que no aplica registrando N/A:</w:t>
      </w:r>
    </w:p>
    <w:p w:rsidR="00E2705A" w:rsidRPr="00E2705A" w:rsidRDefault="00E2705A" w:rsidP="00A92D87">
      <w:pPr>
        <w:spacing w:line="240" w:lineRule="auto"/>
        <w:jc w:val="both"/>
      </w:pPr>
      <w:r w:rsidRPr="00E2705A">
        <w:t xml:space="preserve">No se adjuntan datos de fuentes locales que permitan hacer interpretación. </w:t>
      </w:r>
    </w:p>
    <w:p w:rsidR="00E2705A" w:rsidRPr="00E2705A" w:rsidRDefault="00E2705A" w:rsidP="00A92D87">
      <w:pPr>
        <w:spacing w:line="240" w:lineRule="auto"/>
        <w:jc w:val="both"/>
      </w:pPr>
      <w:r w:rsidRPr="00E2705A">
        <w:lastRenderedPageBreak/>
        <w:t>Describa las recomendaciones que como gobierno local o departamental, le deja a la próxima administración para mejorar la situación de la población correspondiente al momento del ciclo de vida analizado:</w:t>
      </w:r>
    </w:p>
    <w:p w:rsidR="00E2705A" w:rsidRPr="00E2705A" w:rsidRDefault="00E2705A" w:rsidP="00A92D87">
      <w:pPr>
        <w:spacing w:line="240" w:lineRule="auto"/>
        <w:jc w:val="both"/>
      </w:pPr>
      <w:r w:rsidRPr="00E2705A">
        <w:t xml:space="preserve">Actualización del </w:t>
      </w:r>
      <w:r w:rsidR="00E977C6" w:rsidRPr="00E2705A">
        <w:t>diagnóstico</w:t>
      </w:r>
      <w:r w:rsidRPr="00E2705A">
        <w:t xml:space="preserve"> poblacional y la </w:t>
      </w:r>
      <w:r w:rsidR="00E977C6" w:rsidRPr="00E2705A">
        <w:t>adecuación</w:t>
      </w:r>
      <w:r w:rsidRPr="00E2705A">
        <w:t xml:space="preserve"> de acciones pertinentes.</w:t>
      </w:r>
    </w:p>
    <w:p w:rsidR="00E2705A" w:rsidRPr="00E2705A" w:rsidRDefault="00E2705A" w:rsidP="00A92D87">
      <w:pPr>
        <w:spacing w:line="240" w:lineRule="auto"/>
        <w:jc w:val="both"/>
      </w:pPr>
      <w:r w:rsidRPr="00E2705A">
        <w:t xml:space="preserve">Reforzar las acciones y programas preventivos. </w:t>
      </w:r>
    </w:p>
    <w:p w:rsidR="00E2705A" w:rsidRPr="00E2705A" w:rsidRDefault="00E2705A" w:rsidP="00A92D87">
      <w:pPr>
        <w:spacing w:line="240" w:lineRule="auto"/>
        <w:jc w:val="both"/>
      </w:pPr>
      <w:r w:rsidRPr="00E2705A">
        <w:t xml:space="preserve">Garantizar equipos técnicos interdisciplinarios cualificados en las comisarías de familias, con la respectiva asignación de recursos para </w:t>
      </w:r>
      <w:r w:rsidR="00E977C6" w:rsidRPr="00E2705A">
        <w:t>contratación</w:t>
      </w:r>
      <w:r w:rsidRPr="00E2705A">
        <w:t xml:space="preserve"> </w:t>
      </w:r>
      <w:r w:rsidR="00E977C6" w:rsidRPr="00E2705A">
        <w:t>terapéutica</w:t>
      </w:r>
      <w:r w:rsidRPr="00E2705A">
        <w:t xml:space="preserve"> en los municipios con mayor incidencia de violencia sexual. </w:t>
      </w:r>
    </w:p>
    <w:p w:rsidR="00E2705A" w:rsidRPr="00E2705A" w:rsidRDefault="00E2705A" w:rsidP="00A92D87">
      <w:pPr>
        <w:spacing w:line="240" w:lineRule="auto"/>
        <w:jc w:val="both"/>
      </w:pPr>
      <w:r w:rsidRPr="00E2705A">
        <w:t xml:space="preserve">Asignación de recursos para el fortalecimiento de entornos protectores en el plan de desarrollo. </w:t>
      </w:r>
    </w:p>
    <w:p w:rsidR="00E2705A" w:rsidRPr="00E2705A" w:rsidRDefault="00E2705A" w:rsidP="00A92D87">
      <w:pPr>
        <w:spacing w:line="240" w:lineRule="auto"/>
        <w:jc w:val="both"/>
      </w:pPr>
      <w:r w:rsidRPr="00E2705A">
        <w:t>Asignación de recursos para la financiación de hogares de paso y cofinanciación de cupos en hogares sustitutos e instituciones</w:t>
      </w:r>
    </w:p>
    <w:p w:rsidR="00E2705A" w:rsidRPr="00E2705A" w:rsidRDefault="00E2705A" w:rsidP="00A92D87">
      <w:pPr>
        <w:spacing w:line="240" w:lineRule="auto"/>
        <w:jc w:val="both"/>
      </w:pPr>
      <w:r w:rsidRPr="00E2705A">
        <w:t xml:space="preserve">Adelantar convenios con las universidades y demás instituciones del estado que contribuyan al restablecimiento de los derechos.  De igual manera la vinculación a programas de atención especializada para la PREPARACION PARA LA VIDA LABORAL Y PRODUCTIVA y construcción de proyecto de vida de los adolescentes. </w:t>
      </w:r>
    </w:p>
    <w:p w:rsidR="00E2705A" w:rsidRPr="00E2705A" w:rsidRDefault="00E2705A" w:rsidP="00A92D87">
      <w:pPr>
        <w:spacing w:line="240" w:lineRule="auto"/>
        <w:jc w:val="both"/>
      </w:pPr>
      <w:r w:rsidRPr="00E2705A">
        <w:t xml:space="preserve">     Adecuar espacios físicos para brindar atención terapéutica idónea. </w:t>
      </w:r>
    </w:p>
    <w:p w:rsidR="00E2705A" w:rsidRPr="00E2705A" w:rsidRDefault="00E2705A" w:rsidP="00A92D87">
      <w:pPr>
        <w:spacing w:line="240" w:lineRule="auto"/>
        <w:jc w:val="both"/>
      </w:pPr>
    </w:p>
    <w:p w:rsidR="00E2705A" w:rsidRPr="00E2705A" w:rsidRDefault="00E2705A" w:rsidP="00A92D87">
      <w:pPr>
        <w:spacing w:line="240" w:lineRule="auto"/>
        <w:jc w:val="both"/>
        <w:rPr>
          <w:b/>
        </w:rPr>
      </w:pPr>
      <w:r w:rsidRPr="00E2705A">
        <w:rPr>
          <w:b/>
        </w:rPr>
        <w:t>Código del indicador: 71</w:t>
      </w:r>
    </w:p>
    <w:p w:rsidR="00E2705A" w:rsidRPr="00E2705A" w:rsidRDefault="00E2705A" w:rsidP="00A92D87">
      <w:pPr>
        <w:spacing w:line="240" w:lineRule="auto"/>
        <w:jc w:val="both"/>
      </w:pPr>
      <w:r w:rsidRPr="00E2705A">
        <w:t>Nombre del indicador: Número niñas, niños y adolescentes en situación de vida en calle que ingresan al proceso administrativo de restablecimiento de derechos-PARD</w:t>
      </w:r>
    </w:p>
    <w:p w:rsidR="00E2705A" w:rsidRPr="00E2705A" w:rsidRDefault="00E2705A" w:rsidP="00A92D87">
      <w:pPr>
        <w:spacing w:line="240" w:lineRule="auto"/>
        <w:jc w:val="both"/>
      </w:pPr>
      <w:r w:rsidRPr="00E2705A">
        <w:t>c.</w:t>
      </w:r>
      <w:r w:rsidRPr="00E2705A">
        <w:tab/>
        <w:t>Identifique cual es la fuente de información que respalda el análisis que realizará a continuación (nacional o local), identificando sus fortalezas y debilidades:</w:t>
      </w:r>
    </w:p>
    <w:p w:rsidR="00E2705A" w:rsidRPr="00E2705A" w:rsidRDefault="00E977C6" w:rsidP="00A92D87">
      <w:pPr>
        <w:spacing w:line="240" w:lineRule="auto"/>
        <w:jc w:val="both"/>
      </w:pPr>
      <w:r w:rsidRPr="00E2705A">
        <w:t>O</w:t>
      </w:r>
      <w:r w:rsidR="00E2705A" w:rsidRPr="00E2705A">
        <w:tab/>
        <w:t>Fuente nacional X</w:t>
      </w:r>
    </w:p>
    <w:p w:rsidR="00E2705A" w:rsidRPr="00E2705A" w:rsidRDefault="00E977C6" w:rsidP="00A92D87">
      <w:pPr>
        <w:spacing w:line="240" w:lineRule="auto"/>
        <w:jc w:val="both"/>
      </w:pPr>
      <w:r w:rsidRPr="00E2705A">
        <w:t>O</w:t>
      </w:r>
      <w:r w:rsidR="00E2705A" w:rsidRPr="00E2705A">
        <w:tab/>
        <w:t>Fuente local</w:t>
      </w:r>
    </w:p>
    <w:p w:rsidR="00E2705A" w:rsidRPr="00E2705A" w:rsidRDefault="00E2705A" w:rsidP="00A92D87">
      <w:pPr>
        <w:spacing w:line="240" w:lineRule="auto"/>
        <w:jc w:val="both"/>
      </w:pPr>
      <w:r w:rsidRPr="00E2705A">
        <w:t xml:space="preserve"> Fortalezas:</w:t>
      </w:r>
    </w:p>
    <w:p w:rsidR="00E2705A" w:rsidRPr="00E2705A" w:rsidRDefault="00E2705A" w:rsidP="00A92D87">
      <w:pPr>
        <w:spacing w:line="240" w:lineRule="auto"/>
        <w:jc w:val="both"/>
      </w:pPr>
      <w:r w:rsidRPr="00E2705A">
        <w:t xml:space="preserve">Se cuenta con un sistema de información misional SIM desde el ICBF que permite identificar el </w:t>
      </w:r>
      <w:r w:rsidR="00E977C6" w:rsidRPr="00E2705A">
        <w:t>número</w:t>
      </w:r>
      <w:r w:rsidRPr="00E2705A">
        <w:t xml:space="preserve"> de niños, niñas y adolescentes en proceso administrativo – PARD, en situación de vida en calle y las medidas adoptadas por las respectivas </w:t>
      </w:r>
      <w:r w:rsidR="00E977C6" w:rsidRPr="00E2705A">
        <w:t>Defensorías</w:t>
      </w:r>
      <w:r w:rsidRPr="00E2705A">
        <w:t xml:space="preserve"> de Familia para el restablecimiento de derechos.</w:t>
      </w:r>
    </w:p>
    <w:p w:rsidR="00E2705A" w:rsidRPr="00E2705A" w:rsidRDefault="00E2705A" w:rsidP="00A92D87">
      <w:pPr>
        <w:spacing w:line="240" w:lineRule="auto"/>
        <w:jc w:val="both"/>
      </w:pPr>
      <w:r w:rsidRPr="00E2705A">
        <w:t xml:space="preserve">Esta </w:t>
      </w:r>
      <w:r w:rsidR="00E977C6" w:rsidRPr="00E2705A">
        <w:t>información</w:t>
      </w:r>
      <w:r w:rsidRPr="00E2705A">
        <w:t xml:space="preserve"> sirve para alimentar el Sistema Único de </w:t>
      </w:r>
      <w:r w:rsidR="00E977C6" w:rsidRPr="00E2705A">
        <w:t>Información</w:t>
      </w:r>
      <w:r w:rsidRPr="00E2705A">
        <w:t xml:space="preserve"> para la niñez SUIN, el que permite consolidar la </w:t>
      </w:r>
      <w:r w:rsidR="00E977C6" w:rsidRPr="00E2705A">
        <w:t>estadística</w:t>
      </w:r>
      <w:r w:rsidRPr="00E2705A">
        <w:t xml:space="preserve"> nacional, departamental y municipal de niños, niñas y adolescentes en proceso administrativo de restablecimiento de derechos, reportados en situación de vida en calle.</w:t>
      </w:r>
    </w:p>
    <w:p w:rsidR="00E2705A" w:rsidRPr="00E2705A" w:rsidRDefault="00E2705A" w:rsidP="00A92D87">
      <w:pPr>
        <w:spacing w:line="240" w:lineRule="auto"/>
        <w:jc w:val="both"/>
      </w:pPr>
      <w:r w:rsidRPr="00E2705A">
        <w:t>Debilidades:</w:t>
      </w:r>
    </w:p>
    <w:p w:rsidR="00E2705A" w:rsidRPr="00E2705A" w:rsidRDefault="00E2705A" w:rsidP="00A92D87">
      <w:pPr>
        <w:spacing w:line="240" w:lineRule="auto"/>
        <w:jc w:val="both"/>
      </w:pPr>
      <w:r w:rsidRPr="00E2705A">
        <w:lastRenderedPageBreak/>
        <w:t>Al Sistema de Información Misional - SIM, solo tiene acceso el ICBF y no los Comisarios de Familia quienes en el territorio por competencia subsidiaria, adelantan procesos administrativos de restablecimiento de derechos a  niños, niñas y adolescentes en situación de vida en calle.</w:t>
      </w:r>
    </w:p>
    <w:p w:rsidR="00E2705A" w:rsidRPr="00E2705A" w:rsidRDefault="00E2705A" w:rsidP="00A92D87">
      <w:pPr>
        <w:spacing w:line="240" w:lineRule="auto"/>
        <w:jc w:val="both"/>
      </w:pPr>
      <w:r w:rsidRPr="00E2705A">
        <w:t>Durante el periodo a analizar, desde las comisarías de familia se envió la información de los Procesos Administrativos de Restablecimiento de Derechos- PARD de niños, niñas y adolescentes en la situación de vida en calle, en un instrumento diseñado para tal fin, por cuanto, la comisaria de Familia, no cuentan con un sistema de información propio.</w:t>
      </w:r>
    </w:p>
    <w:p w:rsidR="00E2705A" w:rsidRPr="00E2705A" w:rsidRDefault="00E2705A" w:rsidP="00A92D87">
      <w:pPr>
        <w:spacing w:line="240" w:lineRule="auto"/>
        <w:jc w:val="both"/>
      </w:pPr>
      <w:r w:rsidRPr="00E2705A">
        <w:t xml:space="preserve"> Indique, según los siguientes criterios de valoración, cual es el que mejor interpreta el comportamiento del indicador analizado, para  el periodo comprendido entre los años 2011 y 2014. </w:t>
      </w:r>
    </w:p>
    <w:p w:rsidR="00E2705A" w:rsidRPr="00E2705A" w:rsidRDefault="00E2705A" w:rsidP="00A92D87">
      <w:pPr>
        <w:spacing w:line="240" w:lineRule="auto"/>
        <w:jc w:val="both"/>
      </w:pPr>
      <w:r w:rsidRPr="00E2705A">
        <w:t>Tenga en cuenta que debe analizar el periodo completo (2011 al 2014), si no cuenta con información para todos los años, la categoría a señalar es "sin serie Temporal":</w:t>
      </w:r>
    </w:p>
    <w:p w:rsidR="00E2705A" w:rsidRPr="00E2705A" w:rsidRDefault="00E2705A" w:rsidP="00A92D87">
      <w:pPr>
        <w:spacing w:line="240" w:lineRule="auto"/>
        <w:jc w:val="both"/>
      </w:pPr>
      <w:r w:rsidRPr="00E2705A">
        <w:t>o</w:t>
      </w:r>
      <w:r w:rsidRPr="00E2705A">
        <w:tab/>
        <w:t xml:space="preserve">Mejoró  </w:t>
      </w:r>
    </w:p>
    <w:p w:rsidR="00E2705A" w:rsidRPr="00E2705A" w:rsidRDefault="00E2705A" w:rsidP="00A92D87">
      <w:pPr>
        <w:spacing w:line="240" w:lineRule="auto"/>
        <w:jc w:val="both"/>
      </w:pPr>
      <w:r w:rsidRPr="00E2705A">
        <w:t>o</w:t>
      </w:r>
      <w:r w:rsidRPr="00E2705A">
        <w:tab/>
        <w:t>Desmejoró</w:t>
      </w:r>
    </w:p>
    <w:p w:rsidR="00E2705A" w:rsidRPr="00E2705A" w:rsidRDefault="00E2705A" w:rsidP="00A92D87">
      <w:pPr>
        <w:spacing w:line="240" w:lineRule="auto"/>
        <w:jc w:val="both"/>
      </w:pPr>
      <w:r w:rsidRPr="00E2705A">
        <w:t>o</w:t>
      </w:r>
      <w:r w:rsidRPr="00E2705A">
        <w:tab/>
        <w:t>Estable</w:t>
      </w:r>
    </w:p>
    <w:p w:rsidR="00E2705A" w:rsidRPr="00E2705A" w:rsidRDefault="00E2705A" w:rsidP="00A92D87">
      <w:pPr>
        <w:spacing w:line="240" w:lineRule="auto"/>
        <w:jc w:val="both"/>
      </w:pPr>
      <w:r w:rsidRPr="00E2705A">
        <w:t xml:space="preserve">X   Sin serie temporal </w:t>
      </w:r>
    </w:p>
    <w:p w:rsidR="00E2705A" w:rsidRPr="00E2705A" w:rsidRDefault="00E2705A" w:rsidP="00A92D87">
      <w:pPr>
        <w:spacing w:line="240" w:lineRule="auto"/>
        <w:jc w:val="both"/>
      </w:pPr>
      <w:r w:rsidRPr="00E2705A">
        <w:t>o</w:t>
      </w:r>
      <w:r w:rsidRPr="00E2705A">
        <w:tab/>
        <w:t xml:space="preserve">Sin datos  </w:t>
      </w:r>
    </w:p>
    <w:p w:rsidR="00E2705A" w:rsidRPr="00E2705A" w:rsidRDefault="00E2705A" w:rsidP="00A92D87">
      <w:pPr>
        <w:spacing w:line="240" w:lineRule="auto"/>
        <w:jc w:val="both"/>
      </w:pPr>
    </w:p>
    <w:p w:rsidR="00E2705A" w:rsidRPr="00E2705A" w:rsidRDefault="00E2705A" w:rsidP="00A92D87">
      <w:pPr>
        <w:spacing w:line="240" w:lineRule="auto"/>
        <w:jc w:val="both"/>
      </w:pPr>
      <w:r w:rsidRPr="00E2705A">
        <w:t>Impactos positivos:</w:t>
      </w:r>
    </w:p>
    <w:p w:rsidR="00E2705A" w:rsidRPr="00E2705A" w:rsidRDefault="00E2705A" w:rsidP="00A92D87">
      <w:pPr>
        <w:spacing w:line="240" w:lineRule="auto"/>
        <w:jc w:val="both"/>
      </w:pPr>
      <w:r w:rsidRPr="00E2705A">
        <w:t>Niños, niñas y adolescentes con medidas de protección garantizadas  y ubicados en una modalidades de atención por la autoridad competente ( Comisaria de Familia) y  con proceso administrativo de restablecimiento de derechos en tiempos establecidos.</w:t>
      </w:r>
    </w:p>
    <w:p w:rsidR="00E2705A" w:rsidRPr="00E2705A" w:rsidRDefault="00E2705A" w:rsidP="00A92D87">
      <w:pPr>
        <w:spacing w:line="240" w:lineRule="auto"/>
        <w:jc w:val="both"/>
      </w:pPr>
      <w:r w:rsidRPr="00E2705A">
        <w:t>Niños, niñas y adolescentes en situación de vida en calle  y a quienes se les aperturó proceso administrativo  accedieron a servicios sociales, espacios y realidades que ofrece  el territorio, garantizando que se supere su situación de exclusión y marginalidad.</w:t>
      </w:r>
    </w:p>
    <w:p w:rsidR="00E2705A" w:rsidRPr="00E2705A" w:rsidRDefault="00E2705A" w:rsidP="00A92D87">
      <w:pPr>
        <w:spacing w:line="240" w:lineRule="auto"/>
        <w:jc w:val="both"/>
      </w:pPr>
      <w:r w:rsidRPr="00E2705A">
        <w:t xml:space="preserve">Niños, niñas adolescentes con oportunidades para definir un proyecto de vida alternativo. </w:t>
      </w:r>
    </w:p>
    <w:p w:rsidR="00E2705A" w:rsidRPr="00E2705A" w:rsidRDefault="00E2705A" w:rsidP="00A92D87">
      <w:pPr>
        <w:spacing w:line="240" w:lineRule="auto"/>
        <w:jc w:val="both"/>
      </w:pPr>
      <w:r w:rsidRPr="00E2705A">
        <w:t xml:space="preserve">Articulación del Sistema Nacional de </w:t>
      </w:r>
      <w:r w:rsidR="00E977C6" w:rsidRPr="00E2705A">
        <w:t>Bienestar</w:t>
      </w:r>
      <w:r w:rsidRPr="00E2705A">
        <w:t xml:space="preserve"> </w:t>
      </w:r>
      <w:r w:rsidR="00E977C6" w:rsidRPr="00E2705A">
        <w:t>Familiar para</w:t>
      </w:r>
      <w:r w:rsidRPr="00E2705A">
        <w:t xml:space="preserve"> la atención en salud, educación, recreación, cultura y formación para la vida.</w:t>
      </w:r>
    </w:p>
    <w:p w:rsidR="00E2705A" w:rsidRPr="00E2705A" w:rsidRDefault="00E2705A" w:rsidP="00A92D87">
      <w:pPr>
        <w:spacing w:line="240" w:lineRule="auto"/>
        <w:jc w:val="both"/>
      </w:pPr>
      <w:r w:rsidRPr="00E2705A">
        <w:t xml:space="preserve">Niños, niñas y adolescentes en situación de vida en calle  con valoración del estado de salud mental y coordinación red de servicios. </w:t>
      </w:r>
    </w:p>
    <w:p w:rsidR="00E2705A" w:rsidRPr="00E2705A" w:rsidRDefault="00E2705A" w:rsidP="00A92D87">
      <w:pPr>
        <w:spacing w:line="240" w:lineRule="auto"/>
        <w:jc w:val="both"/>
      </w:pPr>
      <w:r w:rsidRPr="00E2705A">
        <w:t xml:space="preserve">Niños, niñas y adolescentes en situación de vida en calle con </w:t>
      </w:r>
      <w:r w:rsidR="00E977C6" w:rsidRPr="00E2705A">
        <w:t>garantía</w:t>
      </w:r>
      <w:r w:rsidRPr="00E2705A">
        <w:t xml:space="preserve"> del derecho a la identidad.</w:t>
      </w:r>
    </w:p>
    <w:p w:rsidR="00E2705A" w:rsidRPr="00E2705A" w:rsidRDefault="00E2705A" w:rsidP="00A92D87">
      <w:pPr>
        <w:spacing w:line="240" w:lineRule="auto"/>
        <w:jc w:val="both"/>
      </w:pPr>
      <w:r w:rsidRPr="00E2705A">
        <w:t>Niños, niñas y adolescentes en situación de vida en calle con procesos formativos en jornadas alternas de educación.</w:t>
      </w:r>
    </w:p>
    <w:p w:rsidR="00E2705A" w:rsidRPr="00E2705A" w:rsidRDefault="00E2705A" w:rsidP="00A92D87">
      <w:pPr>
        <w:spacing w:line="240" w:lineRule="auto"/>
        <w:jc w:val="both"/>
      </w:pPr>
      <w:r w:rsidRPr="00E2705A">
        <w:lastRenderedPageBreak/>
        <w:t>Niños, niñas y adolescentes en situación de vida en calle orientados y vinculados en programas de salud sexual y reproductiva.</w:t>
      </w:r>
    </w:p>
    <w:p w:rsidR="00E2705A" w:rsidRPr="00E2705A" w:rsidRDefault="00E2705A" w:rsidP="00A92D87">
      <w:pPr>
        <w:spacing w:line="240" w:lineRule="auto"/>
        <w:jc w:val="both"/>
      </w:pPr>
      <w:r w:rsidRPr="00E2705A">
        <w:t xml:space="preserve">Niños, niñas y adolescentes en situación de vida en calle </w:t>
      </w:r>
      <w:r w:rsidR="00AA0FE8" w:rsidRPr="00E2705A">
        <w:t>con talleres</w:t>
      </w:r>
      <w:r w:rsidRPr="00E2705A">
        <w:t xml:space="preserve"> para prevenir y detectar el maltrato, abuso sexual, explotación sexual y comercial y </w:t>
      </w:r>
      <w:r w:rsidR="00AA0FE8" w:rsidRPr="00E2705A">
        <w:t>otras</w:t>
      </w:r>
      <w:r w:rsidRPr="00E2705A">
        <w:t xml:space="preserve"> </w:t>
      </w:r>
      <w:r w:rsidR="00AA0FE8" w:rsidRPr="00E2705A">
        <w:t>vulneraciones</w:t>
      </w:r>
      <w:r w:rsidRPr="00E2705A">
        <w:t xml:space="preserve"> a sus derechos.</w:t>
      </w:r>
    </w:p>
    <w:p w:rsidR="00E2705A" w:rsidRPr="00E2705A" w:rsidRDefault="00E2705A" w:rsidP="00A92D87">
      <w:pPr>
        <w:spacing w:line="240" w:lineRule="auto"/>
        <w:jc w:val="both"/>
      </w:pPr>
      <w:r w:rsidRPr="00E2705A">
        <w:t>Impactos negativos:</w:t>
      </w:r>
    </w:p>
    <w:p w:rsidR="00E2705A" w:rsidRPr="00E2705A" w:rsidRDefault="00E2705A" w:rsidP="00A92D87">
      <w:pPr>
        <w:spacing w:line="240" w:lineRule="auto"/>
        <w:jc w:val="both"/>
      </w:pPr>
      <w:r w:rsidRPr="00E2705A">
        <w:t xml:space="preserve">Niños, niñas y adolescentes sin tratamiento adecuado a su problemática por negligencia de la familia, familias sin oportunidades laborales, débil red de apoyo para la atención de los casos presentados. </w:t>
      </w:r>
    </w:p>
    <w:p w:rsidR="00E2705A" w:rsidRPr="00E2705A" w:rsidRDefault="00E2705A" w:rsidP="00A92D87">
      <w:pPr>
        <w:spacing w:line="240" w:lineRule="auto"/>
        <w:jc w:val="both"/>
      </w:pPr>
      <w:r w:rsidRPr="00E2705A">
        <w:t>No existe un centro de emergencia y/o un espacio de permanencia  para la atención.</w:t>
      </w:r>
    </w:p>
    <w:p w:rsidR="00E2705A" w:rsidRPr="00E2705A" w:rsidRDefault="00E2705A" w:rsidP="00A92D87">
      <w:pPr>
        <w:spacing w:line="240" w:lineRule="auto"/>
        <w:jc w:val="both"/>
      </w:pPr>
      <w:r w:rsidRPr="00E2705A">
        <w:t xml:space="preserve">Deficiencia </w:t>
      </w:r>
      <w:r w:rsidR="00AA0FE8" w:rsidRPr="00E2705A">
        <w:t>de espacios artísticos</w:t>
      </w:r>
      <w:r w:rsidRPr="00E2705A">
        <w:t xml:space="preserve">, deportivos, </w:t>
      </w:r>
      <w:r w:rsidR="00AA0FE8" w:rsidRPr="00E2705A">
        <w:t>lúdicos destinados</w:t>
      </w:r>
      <w:r w:rsidRPr="00E2705A">
        <w:t xml:space="preserve"> para la atención de los niños, niñas y adolescentes en situación de vida en calle.</w:t>
      </w:r>
    </w:p>
    <w:p w:rsidR="00E2705A" w:rsidRPr="00E2705A" w:rsidRDefault="00E2705A" w:rsidP="00A92D87">
      <w:pPr>
        <w:spacing w:line="240" w:lineRule="auto"/>
        <w:jc w:val="both"/>
      </w:pPr>
      <w:r w:rsidRPr="00E2705A">
        <w:t xml:space="preserve">Débil oferta institucional para la atención </w:t>
      </w:r>
      <w:r w:rsidR="00AA0FE8" w:rsidRPr="00E2705A">
        <w:t>especializada</w:t>
      </w:r>
      <w:r w:rsidRPr="00E2705A">
        <w:t xml:space="preserve"> frente al consumo de sustancias sicoactivas.</w:t>
      </w:r>
    </w:p>
    <w:p w:rsidR="00E2705A" w:rsidRPr="00E2705A" w:rsidRDefault="00AA0FE8" w:rsidP="00A92D87">
      <w:pPr>
        <w:spacing w:line="240" w:lineRule="auto"/>
        <w:jc w:val="both"/>
      </w:pPr>
      <w:r w:rsidRPr="00E2705A">
        <w:t>Débil</w:t>
      </w:r>
      <w:r w:rsidR="00E2705A" w:rsidRPr="00E2705A">
        <w:t xml:space="preserve"> </w:t>
      </w:r>
      <w:r w:rsidRPr="00E2705A">
        <w:t>oferta de</w:t>
      </w:r>
      <w:r w:rsidR="00E2705A" w:rsidRPr="00E2705A">
        <w:t xml:space="preserve"> formación certificada en oficios o carrera tecnológicas y capacitación prelaboral con el SENA para adolescentes en situación de vida en calle.</w:t>
      </w:r>
    </w:p>
    <w:p w:rsidR="00E2705A" w:rsidRPr="00E2705A" w:rsidRDefault="00AA0FE8" w:rsidP="00A92D87">
      <w:pPr>
        <w:spacing w:line="240" w:lineRule="auto"/>
        <w:jc w:val="both"/>
      </w:pPr>
      <w:r w:rsidRPr="00E2705A">
        <w:t>Deficiente trabajo</w:t>
      </w:r>
      <w:r w:rsidR="00E2705A" w:rsidRPr="00E2705A">
        <w:t xml:space="preserve"> de </w:t>
      </w:r>
      <w:r w:rsidRPr="00E2705A">
        <w:t>intervención</w:t>
      </w:r>
      <w:r w:rsidR="00E2705A" w:rsidRPr="00E2705A">
        <w:t xml:space="preserve"> con familias.</w:t>
      </w:r>
    </w:p>
    <w:p w:rsidR="00E2705A" w:rsidRPr="00E2705A" w:rsidRDefault="00E2705A" w:rsidP="00A92D87">
      <w:pPr>
        <w:spacing w:line="240" w:lineRule="auto"/>
        <w:jc w:val="both"/>
      </w:pPr>
      <w:r w:rsidRPr="00E2705A">
        <w:t xml:space="preserve">Realice un análisis de las razones del comportamiento del indicador (según serie temporal) teniendo en cuenta la fuente que está utilizando (nacional o local). Si la fuente de información ofrece niveles de desagregación (sexo, área, etnia, discapacidad, </w:t>
      </w:r>
      <w:r w:rsidR="0063125D" w:rsidRPr="00E2705A">
        <w:t>etc.</w:t>
      </w:r>
      <w:r w:rsidRPr="00E2705A">
        <w:t xml:space="preserve">,), inclúyalos en el análisis. </w:t>
      </w:r>
    </w:p>
    <w:p w:rsidR="00E2705A" w:rsidRPr="00E2705A" w:rsidRDefault="00E2705A" w:rsidP="00A92D87">
      <w:pPr>
        <w:spacing w:line="240" w:lineRule="auto"/>
        <w:jc w:val="both"/>
      </w:pPr>
      <w:r w:rsidRPr="00E2705A">
        <w:t>Si puede argumentar el comportamiento del indicador según la fuente alterna puede hacerlo en el campo correspondiente:</w:t>
      </w:r>
    </w:p>
    <w:p w:rsidR="00E2705A" w:rsidRPr="00E2705A" w:rsidRDefault="00E2705A" w:rsidP="00A92D87">
      <w:pPr>
        <w:spacing w:line="240" w:lineRule="auto"/>
        <w:jc w:val="both"/>
      </w:pPr>
      <w:r w:rsidRPr="00E2705A">
        <w:t>Fuente nacional:</w:t>
      </w:r>
    </w:p>
    <w:p w:rsidR="00E2705A" w:rsidRPr="00E2705A" w:rsidRDefault="00E2705A" w:rsidP="00A92D87">
      <w:pPr>
        <w:spacing w:line="240" w:lineRule="auto"/>
        <w:jc w:val="both"/>
      </w:pPr>
      <w:r w:rsidRPr="00E2705A">
        <w:t xml:space="preserve">Revisada la fuente de información Nacional,  se verifica un ascenso cuantitativo de la situación de un año a otro para  el departamento de Nariño. </w:t>
      </w:r>
    </w:p>
    <w:p w:rsidR="00E2705A" w:rsidRPr="00E2705A" w:rsidRDefault="00E2705A" w:rsidP="00A92D87">
      <w:pPr>
        <w:spacing w:line="240" w:lineRule="auto"/>
        <w:jc w:val="both"/>
      </w:pPr>
      <w:r w:rsidRPr="00E2705A">
        <w:t xml:space="preserve">Como fortalezas se encuentra la motivación  a la denuncia de los flagelos como la vida en calle y la  sensibilización de las familias para vincular a los niños, niñas y adolescentes a programas de atención y a  jornadas alternas de formación.  </w:t>
      </w:r>
    </w:p>
    <w:p w:rsidR="00E2705A" w:rsidRPr="00E2705A" w:rsidRDefault="00E2705A" w:rsidP="00A92D87">
      <w:pPr>
        <w:spacing w:line="240" w:lineRule="auto"/>
        <w:jc w:val="both"/>
      </w:pPr>
      <w:r w:rsidRPr="00E2705A">
        <w:t xml:space="preserve">Dentro de las debilidades, se verifica que de los 64 Municipios que corresponden al departamento de Nariño, solo en 9 de ellos, se atiende por las defensorías de familia con  equipos interdisciplinarios,  los asuntos derivados de la atención de los adolescentes en  proceso administrativo de restablecimiento de derechos con situación de la vida en calle, en los municipios restantes se atiende por competencia subsidiaria  a través de las Comisarias de familia que en su gran numero carecen de equipo completos para actuar. </w:t>
      </w:r>
    </w:p>
    <w:p w:rsidR="00E2705A" w:rsidRPr="00E2705A" w:rsidRDefault="00E2705A" w:rsidP="00A92D87">
      <w:pPr>
        <w:spacing w:line="240" w:lineRule="auto"/>
        <w:jc w:val="both"/>
      </w:pPr>
      <w:r w:rsidRPr="00E2705A">
        <w:t xml:space="preserve"> Fuente local:</w:t>
      </w:r>
    </w:p>
    <w:p w:rsidR="00E2705A" w:rsidRPr="00E2705A" w:rsidRDefault="00E2705A" w:rsidP="00A92D87">
      <w:pPr>
        <w:spacing w:line="240" w:lineRule="auto"/>
        <w:jc w:val="both"/>
      </w:pPr>
      <w:r w:rsidRPr="00E2705A">
        <w:t>No se remiten datos locales que permitan hacer pronunciamiento interpretativo.</w:t>
      </w:r>
    </w:p>
    <w:p w:rsidR="00E2705A" w:rsidRPr="00E2705A" w:rsidRDefault="00E2705A" w:rsidP="00A92D87">
      <w:pPr>
        <w:spacing w:line="240" w:lineRule="auto"/>
        <w:jc w:val="both"/>
      </w:pPr>
      <w:r w:rsidRPr="00E2705A">
        <w:lastRenderedPageBreak/>
        <w:t>j.</w:t>
      </w:r>
      <w:r w:rsidRPr="00E2705A">
        <w:tab/>
        <w:t>Si encuentra diferencia entre la información de la fuente nacional y la información de la fuente local para este indicador que analiza, realice un análisis desde su experiencia, sobre las razones que pueden existir para ello. Si no hay diferencia o la información soporte no permite este análisis indique que no aplica registrando N/A:</w:t>
      </w:r>
    </w:p>
    <w:p w:rsidR="00E2705A" w:rsidRPr="00E2705A" w:rsidRDefault="00E2705A" w:rsidP="00A92D87">
      <w:pPr>
        <w:spacing w:line="240" w:lineRule="auto"/>
        <w:jc w:val="both"/>
      </w:pPr>
      <w:r w:rsidRPr="00E2705A">
        <w:t xml:space="preserve">No se adjuntan datos de fuentes locales que permitan hacer interpretación. </w:t>
      </w:r>
    </w:p>
    <w:p w:rsidR="00E2705A" w:rsidRPr="00E2705A" w:rsidRDefault="00E2705A" w:rsidP="00A92D87">
      <w:pPr>
        <w:spacing w:line="240" w:lineRule="auto"/>
        <w:jc w:val="both"/>
      </w:pPr>
      <w:r w:rsidRPr="00E2705A">
        <w:t>Describa las recomendaciones que como gobierno local o departamental, le deja a la próxima administración para mejorar la situación de la población correspondiente al momento del ciclo de vida analizado:</w:t>
      </w:r>
    </w:p>
    <w:p w:rsidR="00E2705A" w:rsidRPr="00E2705A" w:rsidRDefault="00E2705A" w:rsidP="00A92D87">
      <w:pPr>
        <w:spacing w:line="240" w:lineRule="auto"/>
        <w:jc w:val="both"/>
      </w:pPr>
      <w:r w:rsidRPr="00E2705A">
        <w:t xml:space="preserve">Actualización del </w:t>
      </w:r>
      <w:r w:rsidR="0063125D" w:rsidRPr="00E2705A">
        <w:t>diagnóstico</w:t>
      </w:r>
      <w:r w:rsidRPr="00E2705A">
        <w:t xml:space="preserve"> poblacional y la </w:t>
      </w:r>
      <w:r w:rsidR="0063125D" w:rsidRPr="00E2705A">
        <w:t>adecuación</w:t>
      </w:r>
      <w:r w:rsidRPr="00E2705A">
        <w:t xml:space="preserve"> de acciones pertinentes.</w:t>
      </w:r>
    </w:p>
    <w:p w:rsidR="00E2705A" w:rsidRPr="00E2705A" w:rsidRDefault="00E2705A" w:rsidP="00A92D87">
      <w:pPr>
        <w:spacing w:line="240" w:lineRule="auto"/>
        <w:jc w:val="both"/>
      </w:pPr>
      <w:r w:rsidRPr="00E2705A">
        <w:t>Reforzar las acciones y programas preventivos para la atención de esta problemática.</w:t>
      </w:r>
    </w:p>
    <w:p w:rsidR="00E2705A" w:rsidRPr="00E2705A" w:rsidRDefault="00E2705A" w:rsidP="00A92D87">
      <w:pPr>
        <w:spacing w:line="240" w:lineRule="auto"/>
        <w:jc w:val="both"/>
      </w:pPr>
      <w:r w:rsidRPr="00E2705A">
        <w:t xml:space="preserve">Garantizar </w:t>
      </w:r>
      <w:r w:rsidR="0063125D" w:rsidRPr="00E2705A">
        <w:t>equipos interdisciplinarios</w:t>
      </w:r>
      <w:r w:rsidRPr="00E2705A">
        <w:t xml:space="preserve"> cualificados en las comisarías de familias, con la respectiva asignación de recursos para </w:t>
      </w:r>
      <w:r w:rsidR="0063125D" w:rsidRPr="00E2705A">
        <w:t>contratación</w:t>
      </w:r>
      <w:r w:rsidRPr="00E2705A">
        <w:t xml:space="preserve"> </w:t>
      </w:r>
      <w:r w:rsidR="0063125D" w:rsidRPr="00E2705A">
        <w:t>terapéutica</w:t>
      </w:r>
      <w:r w:rsidRPr="00E2705A">
        <w:t xml:space="preserve"> en los municipios con mayor incidencia de niños, niñas y adolescentes en situación de vida en calle. </w:t>
      </w:r>
    </w:p>
    <w:p w:rsidR="00E2705A" w:rsidRPr="00E2705A" w:rsidRDefault="00E2705A" w:rsidP="00A92D87">
      <w:pPr>
        <w:spacing w:line="240" w:lineRule="auto"/>
        <w:jc w:val="both"/>
      </w:pPr>
      <w:r w:rsidRPr="00E2705A">
        <w:t xml:space="preserve">Asignación de recursos para el fortalecimiento de entornos protectores en el plan de desarrollo. </w:t>
      </w:r>
    </w:p>
    <w:p w:rsidR="00E2705A" w:rsidRPr="00E2705A" w:rsidRDefault="00E2705A" w:rsidP="00A92D87">
      <w:pPr>
        <w:spacing w:line="240" w:lineRule="auto"/>
        <w:jc w:val="both"/>
      </w:pPr>
      <w:r w:rsidRPr="00E2705A">
        <w:t>Asignación de recursos para la financiación de hogares de paso y cofinanciación de cupos en otras modalidades de atención.</w:t>
      </w:r>
    </w:p>
    <w:p w:rsidR="00E2705A" w:rsidRPr="00E2705A" w:rsidRDefault="00E2705A" w:rsidP="00A92D87">
      <w:pPr>
        <w:spacing w:line="240" w:lineRule="auto"/>
        <w:jc w:val="both"/>
      </w:pPr>
      <w:r w:rsidRPr="00E2705A">
        <w:t xml:space="preserve">Adelantar convenios con las universidades y demás instituciones del estado que contribuyan al restablecimiento de los derechos.  De igual manera la vinculación a programas de atención especializada para la PREPARACION PARA LA VIDA LABORAL Y PRODUCTIVA y construcción de proyecto de vida de los adolescentes. </w:t>
      </w:r>
    </w:p>
    <w:p w:rsidR="00E2705A" w:rsidRPr="00E2705A" w:rsidRDefault="00E2705A" w:rsidP="00A92D87">
      <w:pPr>
        <w:spacing w:line="240" w:lineRule="auto"/>
        <w:jc w:val="both"/>
      </w:pPr>
      <w:r w:rsidRPr="00E2705A">
        <w:t xml:space="preserve"> Crear alternativas de formacion en jornadas alternas  para los niños, niñas y   adolescentes en situación de vida en calle.</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E2705A">
        <w:rPr>
          <w:rFonts w:eastAsia="Calibri" w:cs="Times New Roman"/>
          <w:b/>
          <w:i/>
          <w:iCs/>
        </w:rPr>
        <w:t>DESCRIPCIÓN DEL INDICADOR No. 78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trHeight w:val="361"/>
          <w:jc w:val="center"/>
        </w:trPr>
        <w:tc>
          <w:tcPr>
            <w:tcW w:w="8828" w:type="dxa"/>
            <w:shd w:val="clear" w:color="auto" w:fill="FFFFFF"/>
          </w:tcPr>
          <w:p w:rsidR="00E2705A" w:rsidRPr="00E2705A" w:rsidRDefault="00E2705A" w:rsidP="00A92D87">
            <w:pPr>
              <w:spacing w:after="0" w:line="240" w:lineRule="auto"/>
              <w:rPr>
                <w:rFonts w:eastAsia="Calibri" w:cs="Times New Roman"/>
                <w:b/>
                <w:bCs/>
              </w:rPr>
            </w:pPr>
            <w:r w:rsidRPr="00E2705A">
              <w:rPr>
                <w:rFonts w:eastAsia="Calibri" w:cs="Times New Roman"/>
                <w:b/>
                <w:bCs/>
              </w:rPr>
              <w:t>MUNICIPIO:  PASTO</w:t>
            </w:r>
          </w:p>
        </w:tc>
      </w:tr>
      <w:tr w:rsidR="00E2705A" w:rsidRPr="00E2705A" w:rsidTr="00000F81">
        <w:trPr>
          <w:trHeight w:val="409"/>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t>Nombre del indicador: Tasa de violencia contra niños, niñas  y adolescentes</w:t>
            </w:r>
          </w:p>
        </w:tc>
      </w:tr>
      <w:tr w:rsidR="00E2705A" w:rsidRPr="00E2705A" w:rsidTr="00000F81">
        <w:trPr>
          <w:trHeight w:val="332"/>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 xml:space="preserve">Fuente Nacional: </w:t>
            </w:r>
          </w:p>
          <w:p w:rsidR="00E2705A" w:rsidRPr="00E2705A" w:rsidRDefault="00E2705A" w:rsidP="00A92D87">
            <w:pPr>
              <w:spacing w:after="0" w:line="240" w:lineRule="auto"/>
              <w:rPr>
                <w:rFonts w:eastAsia="Calibri" w:cs="Times New Roman"/>
                <w:b/>
                <w:bCs/>
              </w:rPr>
            </w:pPr>
            <w:r w:rsidRPr="00E2705A">
              <w:rPr>
                <w:rFonts w:eastAsia="Calibri" w:cs="Times New Roman"/>
                <w:b/>
                <w:bCs/>
              </w:rPr>
              <w:t>Otra Fuente: OBSERVATORIO DEL DELITO MUNICIPIO DE PASTO</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Cs/>
              </w:rPr>
            </w:pPr>
            <w:r w:rsidRPr="00E2705A">
              <w:rPr>
                <w:rFonts w:eastAsia="Calibri" w:cs="Times New Roman"/>
                <w:b/>
                <w:bCs/>
              </w:rPr>
              <w:t xml:space="preserve">Categoría de derechos: </w:t>
            </w:r>
          </w:p>
        </w:tc>
      </w:tr>
      <w:tr w:rsidR="00E2705A" w:rsidRPr="00E2705A" w:rsidTr="00000F81">
        <w:trPr>
          <w:trHeight w:val="458"/>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Metodología: Análisis de la información a partir de la cadena de resultados</w:t>
            </w:r>
          </w:p>
        </w:tc>
      </w:tr>
    </w:tbl>
    <w:p w:rsidR="00E2705A" w:rsidRPr="00E2705A" w:rsidRDefault="00E2705A" w:rsidP="00A92D87">
      <w:pPr>
        <w:suppressAutoHyphens/>
        <w:spacing w:after="0" w:line="240" w:lineRule="auto"/>
        <w:ind w:left="720"/>
        <w:contextualSpacing/>
        <w:rPr>
          <w:rFonts w:eastAsia="Times New Roman" w:cs="Times New Roman"/>
          <w:b/>
          <w:lang w:val="es-ES" w:eastAsia="ar-SA"/>
        </w:rPr>
      </w:pPr>
    </w:p>
    <w:p w:rsidR="00E2705A" w:rsidRPr="00E2705A" w:rsidRDefault="00E2705A" w:rsidP="00A92D87">
      <w:pPr>
        <w:numPr>
          <w:ilvl w:val="0"/>
          <w:numId w:val="47"/>
        </w:numPr>
        <w:spacing w:after="0" w:line="240" w:lineRule="auto"/>
        <w:contextualSpacing/>
        <w:rPr>
          <w:rFonts w:eastAsia="Times New Roman" w:cs="Times New Roman"/>
          <w:b/>
          <w:lang w:val="es-ES" w:eastAsia="ar-SA"/>
        </w:rPr>
      </w:pPr>
      <w:r w:rsidRPr="00E2705A">
        <w:rPr>
          <w:rFonts w:eastAsia="Times New Roman" w:cs="Times New Roman"/>
          <w:b/>
          <w:lang w:val="es-ES" w:eastAsia="ar-SA"/>
        </w:rPr>
        <w:t>Información estadística</w:t>
      </w:r>
    </w:p>
    <w:p w:rsidR="00E2705A" w:rsidRPr="00E2705A" w:rsidRDefault="00E2705A"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E2705A" w:rsidRPr="00E2705A" w:rsidTr="00000F81">
        <w:tc>
          <w:tcPr>
            <w:tcW w:w="219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Indicador</w:t>
            </w:r>
          </w:p>
        </w:tc>
        <w:tc>
          <w:tcPr>
            <w:tcW w:w="1765"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2011</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2012</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2013</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2014</w:t>
            </w:r>
          </w:p>
        </w:tc>
      </w:tr>
      <w:tr w:rsidR="00E2705A" w:rsidRPr="00E2705A" w:rsidTr="00000F81">
        <w:tc>
          <w:tcPr>
            <w:tcW w:w="2196" w:type="dxa"/>
            <w:shd w:val="clear" w:color="auto" w:fill="auto"/>
          </w:tcPr>
          <w:p w:rsidR="00E2705A" w:rsidRPr="00E2705A" w:rsidRDefault="00E2705A" w:rsidP="00A92D87">
            <w:pPr>
              <w:spacing w:after="0" w:line="240" w:lineRule="auto"/>
              <w:rPr>
                <w:rFonts w:eastAsia="Calibri" w:cs="Times New Roman"/>
                <w:lang w:eastAsia="es-CO"/>
              </w:rPr>
            </w:pPr>
            <w:r w:rsidRPr="00E2705A">
              <w:rPr>
                <w:rFonts w:eastAsia="Calibri" w:cs="Times New Roman"/>
                <w:lang w:eastAsia="es-CO"/>
              </w:rPr>
              <w:t>Tasa de violencia contra niños, niñas  y adolescentes</w:t>
            </w:r>
          </w:p>
        </w:tc>
        <w:tc>
          <w:tcPr>
            <w:tcW w:w="1765"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1632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1869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1784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1317 x 100000 Hbts</w:t>
            </w:r>
          </w:p>
        </w:tc>
      </w:tr>
      <w:tr w:rsidR="00E2705A" w:rsidRPr="00E2705A" w:rsidTr="00000F81">
        <w:tc>
          <w:tcPr>
            <w:tcW w:w="9259" w:type="dxa"/>
            <w:gridSpan w:val="5"/>
            <w:shd w:val="clear" w:color="auto" w:fill="auto"/>
          </w:tcPr>
          <w:p w:rsidR="00E2705A" w:rsidRPr="00E2705A" w:rsidRDefault="00E2705A" w:rsidP="00A92D87">
            <w:pPr>
              <w:spacing w:after="0" w:line="240" w:lineRule="auto"/>
              <w:rPr>
                <w:rFonts w:eastAsia="Calibri" w:cs="Times New Roman"/>
                <w:b/>
                <w:lang w:eastAsia="es-CO"/>
              </w:rPr>
            </w:pPr>
            <w:r w:rsidRPr="00E2705A">
              <w:rPr>
                <w:rFonts w:eastAsia="Calibri" w:cs="Times New Roman"/>
                <w:b/>
                <w:lang w:eastAsia="es-CO"/>
              </w:rPr>
              <w:t>Fuente y año:  OBSERVATORIO DEL DELITO</w:t>
            </w:r>
          </w:p>
        </w:tc>
      </w:tr>
    </w:tbl>
    <w:p w:rsidR="00E2705A" w:rsidRPr="00E2705A" w:rsidRDefault="00E2705A" w:rsidP="00A92D87">
      <w:pPr>
        <w:spacing w:after="200" w:line="240" w:lineRule="auto"/>
        <w:rPr>
          <w:rFonts w:eastAsia="Calibri" w:cs="Times New Roman"/>
        </w:rPr>
      </w:pPr>
    </w:p>
    <w:p w:rsidR="00E2705A" w:rsidRPr="00E2705A" w:rsidRDefault="00E2705A" w:rsidP="00A92D87">
      <w:pPr>
        <w:spacing w:after="200" w:line="240" w:lineRule="auto"/>
        <w:rPr>
          <w:rFonts w:eastAsia="Calibri" w:cs="Times New Roman"/>
          <w:b/>
        </w:rPr>
      </w:pPr>
      <w:r w:rsidRPr="00E2705A">
        <w:rPr>
          <w:rFonts w:eastAsia="Calibri" w:cs="Times New Roman"/>
          <w:b/>
        </w:rPr>
        <w:t xml:space="preserve">Gráfico: </w:t>
      </w:r>
    </w:p>
    <w:p w:rsidR="00E2705A" w:rsidRPr="00E2705A" w:rsidRDefault="00E2705A" w:rsidP="00A92D87">
      <w:pPr>
        <w:spacing w:after="200" w:line="240" w:lineRule="auto"/>
        <w:rPr>
          <w:rFonts w:eastAsia="Calibri" w:cs="Times New Roman"/>
          <w:b/>
        </w:rPr>
      </w:pPr>
      <w:r w:rsidRPr="00E2705A">
        <w:rPr>
          <w:rFonts w:eastAsia="Calibri" w:cs="Times New Roman"/>
          <w:noProof/>
          <w:lang w:val="es-ES" w:eastAsia="es-ES"/>
        </w:rPr>
        <w:drawing>
          <wp:inline distT="0" distB="0" distL="0" distR="0">
            <wp:extent cx="5629275" cy="2475865"/>
            <wp:effectExtent l="0" t="0" r="9525" b="635"/>
            <wp:docPr id="59" name="Gráfico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2705A" w:rsidRPr="00E2705A" w:rsidRDefault="00E2705A" w:rsidP="00A92D87">
      <w:pPr>
        <w:numPr>
          <w:ilvl w:val="0"/>
          <w:numId w:val="4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 xml:space="preserve">Situación detectada </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 xml:space="preserve">Para este indicador se tuvo en cuenta la sumatoria de los casos de violencia interpersonal y violencia intrafamiliar, para el año 2014 se presenta una reducción de 467 puntos sobre la tasa con respecto al año 2013. </w:t>
      </w:r>
    </w:p>
    <w:p w:rsidR="00E2705A" w:rsidRPr="00E2705A" w:rsidRDefault="00E2705A" w:rsidP="00A92D87">
      <w:pPr>
        <w:numPr>
          <w:ilvl w:val="0"/>
          <w:numId w:val="4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Insumos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E2705A" w:rsidRPr="00E2705A" w:rsidRDefault="00E2705A" w:rsidP="00A92D87">
      <w:pPr>
        <w:suppressAutoHyphens/>
        <w:spacing w:after="0" w:line="240" w:lineRule="auto"/>
        <w:ind w:left="1080"/>
        <w:contextualSpacing/>
        <w:rPr>
          <w:rFonts w:eastAsia="Times New Roman" w:cs="Times New Roman"/>
          <w:lang w:val="es-ES" w:eastAsia="ar-SA"/>
        </w:rPr>
      </w:pPr>
    </w:p>
    <w:p w:rsidR="00E2705A" w:rsidRPr="00E2705A" w:rsidRDefault="00E2705A" w:rsidP="00A92D87">
      <w:pPr>
        <w:numPr>
          <w:ilvl w:val="0"/>
          <w:numId w:val="4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Programas, Proyectos y Acciones para mejorar la situación del indicador (2012 -2015)</w:t>
      </w:r>
    </w:p>
    <w:p w:rsidR="00E2705A" w:rsidRPr="00E2705A" w:rsidRDefault="00E2705A" w:rsidP="00A92D87">
      <w:pPr>
        <w:spacing w:after="200" w:line="240" w:lineRule="auto"/>
        <w:ind w:left="360"/>
        <w:jc w:val="both"/>
        <w:rPr>
          <w:rFonts w:eastAsia="Calibri" w:cs="Times New Roman"/>
          <w:b/>
        </w:rPr>
      </w:pPr>
      <w:r w:rsidRPr="00E2705A">
        <w:rPr>
          <w:rFonts w:eastAsia="Calibri" w:cs="Times New Roman"/>
        </w:rPr>
        <w:t>El Observatorio del Delito, hace parte de la Red de atención al buen trato, donde hacen parte instituciones a nivel local y nacional que tienen que ver con las problemáticas de violencia intrafamiliar, sexual, contra la mujer y maltrato infantil.</w:t>
      </w:r>
    </w:p>
    <w:p w:rsidR="00E2705A" w:rsidRPr="00E2705A" w:rsidRDefault="00E2705A" w:rsidP="00A92D87">
      <w:pPr>
        <w:numPr>
          <w:ilvl w:val="0"/>
          <w:numId w:val="4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Productos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lastRenderedPageBreak/>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4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 xml:space="preserve">Resultados al término de la gestión  (2012 -2014) </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 xml:space="preserve">El maltrato infantil en la familia lo podemos distinguir así: los adultos ejercen sobre los niños, negligencias que se expresan en desprotección y/o abandono, el maltrato físico que es toda forma de castigo corporal, se refiere a cualquier lesión, fracturas, quemaduras y daño físico ocasionado por algún adulto y el maltrato psicológico. Puede ser el resultado o incidentes aislados o una situación crónica  de abuso. Los signos de abuso fiscos de un niño puede presentar secuelas y trastornos psicológicos, ya sean pasajeros o  permanentes. </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4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Impacto</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El sistema de vigilancia de violencia interpersonal en familia, violencia sexual y maltrato infantil, se viene observando desde el año 2005, pero la línea base comienza realmente en el año 2007, donde todas las instituciones se vinculan al sistema; para este análisis el promedio se lo toma para los diez años monitoreados entre el año 2005 hasta el año 2014.</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Permite una descripción más exacta del problema.</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Nos obliga a ser claros y exactos en materia de priorizar acciones preventivas y correctivas.</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Permite identificar factores de riesgo.</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Nos permite tomar decisiones en base a la evidencia.</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4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Prioridades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Investigaciones sobre criminalidad indican que gran parte de la violencia existente en la sociedad, tiene su origen en la violencia intrafamiliar y de más violencias que se gestan en el seno de la familia (violencia de género, maltrato infantil), las cuales influyen de forma directa o indirecta en la vinculación de los niños, niñas y adolescentes al delito, entendiendo que es allí donde se adquieren los primeros esquemas y modelos en los cuales se estructura las relaciones sociales de una persona.</w:t>
      </w:r>
    </w:p>
    <w:p w:rsidR="00E2705A" w:rsidRPr="00E2705A" w:rsidRDefault="00E2705A" w:rsidP="00A92D87">
      <w:pPr>
        <w:suppressAutoHyphens/>
        <w:spacing w:after="0" w:line="240" w:lineRule="auto"/>
        <w:ind w:left="360"/>
        <w:contextualSpacing/>
        <w:jc w:val="both"/>
        <w:rPr>
          <w:rFonts w:eastAsia="Times New Roman" w:cs="Times New Roman"/>
          <w:b/>
          <w:lang w:val="es-ES" w:eastAsia="ar-SA"/>
        </w:rPr>
      </w:pPr>
    </w:p>
    <w:p w:rsidR="00E2705A" w:rsidRPr="00E2705A" w:rsidRDefault="00E2705A" w:rsidP="00A92D87">
      <w:pPr>
        <w:numPr>
          <w:ilvl w:val="0"/>
          <w:numId w:val="47"/>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Recomendaciones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Tomar la información de Observatorio del Delito como herramienta fundamental al momento de implementar planes y/o acciones dentro del Municipio.</w:t>
      </w:r>
    </w:p>
    <w:p w:rsidR="00E2705A" w:rsidRPr="00E2705A" w:rsidRDefault="00E2705A"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E2705A">
        <w:rPr>
          <w:rFonts w:eastAsia="Calibri" w:cs="Times New Roman"/>
          <w:b/>
          <w:i/>
          <w:iCs/>
        </w:rPr>
        <w:t>DESCRIPCIÓN DEL INDICADOR No. 79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trHeight w:val="579"/>
          <w:jc w:val="center"/>
        </w:trPr>
        <w:tc>
          <w:tcPr>
            <w:tcW w:w="8828" w:type="dxa"/>
            <w:shd w:val="clear" w:color="auto" w:fill="FFFFFF"/>
          </w:tcPr>
          <w:p w:rsidR="00E2705A" w:rsidRPr="00E2705A" w:rsidRDefault="00E2705A" w:rsidP="00A92D87">
            <w:pPr>
              <w:spacing w:after="0" w:line="240" w:lineRule="auto"/>
              <w:rPr>
                <w:rFonts w:eastAsia="Calibri" w:cs="Times New Roman"/>
                <w:b/>
                <w:bCs/>
              </w:rPr>
            </w:pPr>
            <w:r w:rsidRPr="00E2705A">
              <w:rPr>
                <w:rFonts w:eastAsia="Calibri" w:cs="Times New Roman"/>
                <w:b/>
                <w:bCs/>
              </w:rPr>
              <w:t>MUNICIPIO:  PASTO</w:t>
            </w:r>
          </w:p>
        </w:tc>
      </w:tr>
      <w:tr w:rsidR="00E2705A" w:rsidRPr="00E2705A" w:rsidTr="00000F81">
        <w:trPr>
          <w:trHeight w:val="579"/>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lastRenderedPageBreak/>
              <w:t>Nombre del indicador: Tasa de violencia de pareja cuando la víctima es menor de 18 años</w:t>
            </w:r>
          </w:p>
        </w:tc>
      </w:tr>
      <w:tr w:rsidR="00E2705A" w:rsidRPr="00E2705A" w:rsidTr="00000F81">
        <w:trPr>
          <w:trHeight w:val="332"/>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 xml:space="preserve">Fuente Nacional: </w:t>
            </w:r>
          </w:p>
          <w:p w:rsidR="00E2705A" w:rsidRPr="00E2705A" w:rsidRDefault="00E2705A" w:rsidP="00A92D87">
            <w:pPr>
              <w:spacing w:after="0" w:line="240" w:lineRule="auto"/>
              <w:rPr>
                <w:rFonts w:eastAsia="Calibri" w:cs="Times New Roman"/>
                <w:b/>
                <w:bCs/>
              </w:rPr>
            </w:pPr>
            <w:r w:rsidRPr="00E2705A">
              <w:rPr>
                <w:rFonts w:eastAsia="Calibri" w:cs="Times New Roman"/>
                <w:b/>
                <w:bCs/>
              </w:rPr>
              <w:t>Otra Fuente: OBSERVATORIO DEL DELITO MUNICIPIO DE PASTO</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Cs/>
              </w:rPr>
            </w:pPr>
            <w:r w:rsidRPr="00E2705A">
              <w:rPr>
                <w:rFonts w:eastAsia="Calibri" w:cs="Times New Roman"/>
                <w:b/>
                <w:bCs/>
              </w:rPr>
              <w:t xml:space="preserve">Categoría de derechos: </w:t>
            </w:r>
          </w:p>
        </w:tc>
      </w:tr>
      <w:tr w:rsidR="00E2705A" w:rsidRPr="00E2705A" w:rsidTr="00000F81">
        <w:trPr>
          <w:trHeight w:val="458"/>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Metodología: Análisis de la información a partir de la cadena de resultados</w:t>
            </w:r>
          </w:p>
        </w:tc>
      </w:tr>
    </w:tbl>
    <w:p w:rsidR="00E2705A" w:rsidRPr="00E2705A" w:rsidRDefault="00E2705A" w:rsidP="00A92D87">
      <w:pPr>
        <w:suppressAutoHyphens/>
        <w:spacing w:after="0" w:line="240" w:lineRule="auto"/>
        <w:ind w:left="720"/>
        <w:contextualSpacing/>
        <w:rPr>
          <w:rFonts w:eastAsia="Times New Roman" w:cs="Times New Roman"/>
          <w:b/>
          <w:lang w:val="es-ES" w:eastAsia="ar-SA"/>
        </w:rPr>
      </w:pPr>
    </w:p>
    <w:p w:rsidR="00E2705A" w:rsidRPr="00E2705A" w:rsidRDefault="00E2705A" w:rsidP="00A92D87">
      <w:pPr>
        <w:numPr>
          <w:ilvl w:val="0"/>
          <w:numId w:val="52"/>
        </w:numPr>
        <w:spacing w:after="0" w:line="240" w:lineRule="auto"/>
        <w:contextualSpacing/>
        <w:rPr>
          <w:rFonts w:eastAsia="Times New Roman" w:cs="Times New Roman"/>
          <w:b/>
          <w:lang w:val="es-ES" w:eastAsia="ar-SA"/>
        </w:rPr>
      </w:pPr>
      <w:r w:rsidRPr="00E2705A">
        <w:rPr>
          <w:rFonts w:eastAsia="Times New Roman" w:cs="Times New Roman"/>
          <w:b/>
          <w:lang w:val="es-ES" w:eastAsia="ar-SA"/>
        </w:rPr>
        <w:t>Información estadística</w:t>
      </w:r>
    </w:p>
    <w:p w:rsidR="00E2705A" w:rsidRPr="00E2705A" w:rsidRDefault="00E2705A"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E2705A" w:rsidRPr="00E2705A" w:rsidTr="00000F81">
        <w:tc>
          <w:tcPr>
            <w:tcW w:w="219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Indicador</w:t>
            </w:r>
          </w:p>
        </w:tc>
        <w:tc>
          <w:tcPr>
            <w:tcW w:w="1765"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2011</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2012</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2013</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2014</w:t>
            </w:r>
          </w:p>
        </w:tc>
      </w:tr>
      <w:tr w:rsidR="00E2705A" w:rsidRPr="00E2705A" w:rsidTr="00000F81">
        <w:tc>
          <w:tcPr>
            <w:tcW w:w="2196" w:type="dxa"/>
            <w:shd w:val="clear" w:color="auto" w:fill="auto"/>
          </w:tcPr>
          <w:p w:rsidR="00E2705A" w:rsidRPr="00E2705A" w:rsidRDefault="00E2705A" w:rsidP="00A92D87">
            <w:pPr>
              <w:spacing w:after="0" w:line="240" w:lineRule="auto"/>
              <w:rPr>
                <w:rFonts w:eastAsia="Calibri" w:cs="Times New Roman"/>
                <w:lang w:eastAsia="es-CO"/>
              </w:rPr>
            </w:pPr>
            <w:r w:rsidRPr="00E2705A">
              <w:rPr>
                <w:rFonts w:eastAsia="Calibri" w:cs="Times New Roman"/>
                <w:lang w:eastAsia="es-CO"/>
              </w:rPr>
              <w:t>Tasa de violencia de pareja cuando la víctima es menor de 18 años</w:t>
            </w:r>
          </w:p>
        </w:tc>
        <w:tc>
          <w:tcPr>
            <w:tcW w:w="1765"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20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34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141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23 x 100000 Hbts</w:t>
            </w:r>
          </w:p>
        </w:tc>
      </w:tr>
      <w:tr w:rsidR="00E2705A" w:rsidRPr="00E2705A" w:rsidTr="00000F81">
        <w:tc>
          <w:tcPr>
            <w:tcW w:w="9259" w:type="dxa"/>
            <w:gridSpan w:val="5"/>
            <w:shd w:val="clear" w:color="auto" w:fill="auto"/>
          </w:tcPr>
          <w:p w:rsidR="00E2705A" w:rsidRPr="00E2705A" w:rsidRDefault="00E2705A" w:rsidP="00A92D87">
            <w:pPr>
              <w:spacing w:after="0" w:line="240" w:lineRule="auto"/>
              <w:rPr>
                <w:rFonts w:eastAsia="Calibri" w:cs="Times New Roman"/>
                <w:b/>
                <w:lang w:eastAsia="es-CO"/>
              </w:rPr>
            </w:pPr>
            <w:r w:rsidRPr="00E2705A">
              <w:rPr>
                <w:rFonts w:eastAsia="Calibri" w:cs="Times New Roman"/>
                <w:b/>
                <w:lang w:eastAsia="es-CO"/>
              </w:rPr>
              <w:t>Fuente y año:  OBSERVATORIO DEL DELITO</w:t>
            </w:r>
          </w:p>
        </w:tc>
      </w:tr>
    </w:tbl>
    <w:p w:rsidR="00E2705A" w:rsidRPr="00E2705A" w:rsidRDefault="00E2705A" w:rsidP="00A92D87">
      <w:pPr>
        <w:spacing w:after="200" w:line="240" w:lineRule="auto"/>
        <w:rPr>
          <w:rFonts w:eastAsia="Calibri" w:cs="Times New Roman"/>
        </w:rPr>
      </w:pPr>
    </w:p>
    <w:p w:rsidR="00E2705A" w:rsidRPr="00E2705A" w:rsidRDefault="00E2705A" w:rsidP="00A92D87">
      <w:pPr>
        <w:spacing w:after="200" w:line="240" w:lineRule="auto"/>
        <w:rPr>
          <w:rFonts w:eastAsia="Calibri" w:cs="Times New Roman"/>
          <w:b/>
        </w:rPr>
      </w:pPr>
      <w:r w:rsidRPr="00E2705A">
        <w:rPr>
          <w:rFonts w:eastAsia="Calibri" w:cs="Times New Roman"/>
          <w:b/>
        </w:rPr>
        <w:t xml:space="preserve">Gráfico: </w:t>
      </w:r>
    </w:p>
    <w:p w:rsidR="00E2705A" w:rsidRPr="00E2705A" w:rsidRDefault="00E2705A" w:rsidP="00A92D87">
      <w:pPr>
        <w:spacing w:after="200" w:line="240" w:lineRule="auto"/>
        <w:rPr>
          <w:rFonts w:eastAsia="Calibri" w:cs="Times New Roman"/>
          <w:b/>
        </w:rPr>
      </w:pPr>
      <w:r w:rsidRPr="00E2705A">
        <w:rPr>
          <w:rFonts w:eastAsia="Calibri" w:cs="Times New Roman"/>
          <w:noProof/>
          <w:lang w:val="es-ES" w:eastAsia="es-ES"/>
        </w:rPr>
        <w:drawing>
          <wp:inline distT="0" distB="0" distL="0" distR="0">
            <wp:extent cx="5542280" cy="2366645"/>
            <wp:effectExtent l="0" t="0" r="1270" b="14605"/>
            <wp:docPr id="60" name="Gráfico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2705A" w:rsidRPr="00E2705A" w:rsidRDefault="00E2705A" w:rsidP="00A92D87">
      <w:pPr>
        <w:spacing w:after="200" w:line="240" w:lineRule="auto"/>
        <w:rPr>
          <w:rFonts w:eastAsia="Calibri" w:cs="Times New Roman"/>
          <w:b/>
        </w:rPr>
      </w:pPr>
    </w:p>
    <w:p w:rsidR="00E2705A" w:rsidRPr="00E2705A" w:rsidRDefault="00E2705A" w:rsidP="00A92D87">
      <w:pPr>
        <w:spacing w:after="200" w:line="240" w:lineRule="auto"/>
        <w:rPr>
          <w:rFonts w:eastAsia="Calibri" w:cs="Times New Roman"/>
          <w:b/>
        </w:rPr>
      </w:pPr>
    </w:p>
    <w:p w:rsidR="00E2705A" w:rsidRPr="00E2705A" w:rsidRDefault="00E2705A" w:rsidP="00A92D87">
      <w:pPr>
        <w:numPr>
          <w:ilvl w:val="0"/>
          <w:numId w:val="52"/>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Situación detectada</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Para este indicador se tuvo en cuenta cuando el tipo de agresor es el conyugue o compañero permanente, donde se observa claramente que el año 2013 presenta una tasa muy elevada de 141 por 100.000 habitantes y el comportamiento de los otros años es similar en cuanto a casos y tasa.</w:t>
      </w:r>
    </w:p>
    <w:p w:rsidR="00E2705A" w:rsidRPr="00E2705A" w:rsidRDefault="00E2705A" w:rsidP="00A92D87">
      <w:pPr>
        <w:numPr>
          <w:ilvl w:val="0"/>
          <w:numId w:val="52"/>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lastRenderedPageBreak/>
        <w:t>Insumos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E2705A" w:rsidRPr="00E2705A" w:rsidRDefault="00E2705A" w:rsidP="00A92D87">
      <w:pPr>
        <w:suppressAutoHyphens/>
        <w:spacing w:after="0" w:line="240" w:lineRule="auto"/>
        <w:ind w:left="1080"/>
        <w:contextualSpacing/>
        <w:rPr>
          <w:rFonts w:eastAsia="Times New Roman" w:cs="Times New Roman"/>
          <w:lang w:val="es-ES" w:eastAsia="ar-SA"/>
        </w:rPr>
      </w:pPr>
    </w:p>
    <w:p w:rsidR="00E2705A" w:rsidRPr="00E2705A" w:rsidRDefault="00E2705A" w:rsidP="00A92D87">
      <w:pPr>
        <w:numPr>
          <w:ilvl w:val="0"/>
          <w:numId w:val="52"/>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Programas, Proyectos y Acciones para mejorar la situación del indicador (2012 -2015)</w:t>
      </w:r>
    </w:p>
    <w:p w:rsidR="00E2705A" w:rsidRPr="00E2705A" w:rsidRDefault="00E2705A" w:rsidP="00A92D87">
      <w:pPr>
        <w:spacing w:after="200" w:line="240" w:lineRule="auto"/>
        <w:ind w:left="360"/>
        <w:jc w:val="both"/>
        <w:rPr>
          <w:rFonts w:eastAsia="Calibri" w:cs="Times New Roman"/>
          <w:b/>
        </w:rPr>
      </w:pPr>
      <w:r w:rsidRPr="00E2705A">
        <w:rPr>
          <w:rFonts w:eastAsia="Calibri" w:cs="Times New Roman"/>
        </w:rPr>
        <w:t>El Observatorio del Delito, hace parte de la Red de atención al buen trato, donde hacen parte instituciones a nivel local y nacional que tienen que ver con las problemáticas de violencia intrafamiliar, sexual, contra la mujer y maltrato infantil.  Además envía la información a la dirección de género para que ellos puedan realizar sus planes de acción.</w:t>
      </w:r>
    </w:p>
    <w:p w:rsidR="00E2705A" w:rsidRPr="00E2705A" w:rsidRDefault="00E2705A" w:rsidP="00A92D87">
      <w:pPr>
        <w:numPr>
          <w:ilvl w:val="0"/>
          <w:numId w:val="52"/>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Productos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52"/>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Resultados al término de la gestión  (2012 -2014)</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 xml:space="preserve">La violencia en la pareja suele manifestarse de forma gradual a medida que aumenta el compromiso, pero, sorprendentemente, muchas situaciones de maltrato se gestan ya desde el noviazgo, en los informes de observatorio el novio presenta un alto número de casos en estas edades los cuales se recrudecen posteriormente. La violencia que puede afectar a los jóvenes en sus primeras relaciones. Se exponen los antecedentes que pueden conducir a las relaciones a una situación de riesgo y las vías por las que puede hacerse una labor de prevención en el ámbito educativo. </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52"/>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Impacto</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El sistema de vigilancia de violencia interpersonal en familia, violencia sexual y maltrato infantil, se viene observando desde el año 2005, pero la línea base comienza realmente en el año 2007, donde todas las instituciones se vinculan al sistema; para este análisis el promedio se lo toma para los diez años monitoreados entre el año 2005 hasta el año 2014.</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Permite una descripción más exacta del problema.</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Nos obliga a ser claros y exactos en materia de priorizar acciones preventivas y correctivas.</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Permite identificar factores de riesgo.</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Nos permite tomar decisiones en base a la evidencia.</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52"/>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Prioridades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 xml:space="preserve">Si bien es cierto por parte de la Administración se viene realizando un trabajo importante en el tema de género, todavía existe la desigualdad histórica de las relaciones de poder entre el </w:t>
      </w:r>
      <w:r w:rsidRPr="00E2705A">
        <w:rPr>
          <w:rFonts w:eastAsia="Times New Roman" w:cs="Times New Roman"/>
          <w:lang w:val="es-ES" w:eastAsia="ar-SA"/>
        </w:rPr>
        <w:lastRenderedPageBreak/>
        <w:t>hombre y la mujer y la discriminación generalizada contra la mujer en los sectores tanto público como privado. Esta violencia contra la mujer es uno de los principales medios que permiten al hombre mantener el control sobre la capacidad de acción y la sexualidad de la mujer, con  el uso de la fuerza para resolver conflictos, las doctrinas sobre la intimidad, los patrones de conducta personales y familiares, incluidos los antecedentes de malos tratos, se han relacionado también con un aumento del riesgo de violencia.</w:t>
      </w:r>
    </w:p>
    <w:p w:rsidR="00E2705A" w:rsidRPr="00E2705A" w:rsidRDefault="00E2705A" w:rsidP="00A92D87">
      <w:pPr>
        <w:suppressAutoHyphens/>
        <w:spacing w:after="0" w:line="240" w:lineRule="auto"/>
        <w:ind w:left="360"/>
        <w:contextualSpacing/>
        <w:jc w:val="both"/>
        <w:rPr>
          <w:rFonts w:eastAsia="Times New Roman" w:cs="Times New Roman"/>
          <w:b/>
          <w:lang w:val="es-ES" w:eastAsia="ar-SA"/>
        </w:rPr>
      </w:pPr>
    </w:p>
    <w:p w:rsidR="00E2705A" w:rsidRPr="00E2705A" w:rsidRDefault="00E2705A" w:rsidP="00A92D87">
      <w:pPr>
        <w:numPr>
          <w:ilvl w:val="0"/>
          <w:numId w:val="52"/>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Recomendaciones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Tomar la información de Observatorio del Delito como herramienta fundamental al momento de implementar planes y/o acciones dentro del Municipio.</w:t>
      </w:r>
    </w:p>
    <w:p w:rsidR="00E2705A" w:rsidRPr="00E2705A" w:rsidRDefault="00E2705A" w:rsidP="00A92D87">
      <w:pPr>
        <w:spacing w:line="240" w:lineRule="auto"/>
        <w:jc w:val="both"/>
      </w:pPr>
    </w:p>
    <w:p w:rsidR="00E2705A" w:rsidRPr="00E2705A" w:rsidRDefault="00E2705A" w:rsidP="00A92D87">
      <w:pPr>
        <w:pBdr>
          <w:top w:val="single" w:sz="4" w:space="10" w:color="4F81BD"/>
          <w:bottom w:val="single" w:sz="4" w:space="10" w:color="4F81BD"/>
        </w:pBdr>
        <w:spacing w:before="360" w:after="0" w:line="240" w:lineRule="auto"/>
        <w:ind w:left="864" w:right="864"/>
        <w:jc w:val="center"/>
        <w:rPr>
          <w:rFonts w:eastAsia="Calibri" w:cs="Times New Roman"/>
          <w:b/>
          <w:iCs/>
        </w:rPr>
      </w:pPr>
      <w:r w:rsidRPr="00E2705A">
        <w:rPr>
          <w:rFonts w:eastAsia="Calibri" w:cs="Times New Roman"/>
          <w:b/>
          <w:i/>
          <w:iCs/>
        </w:rPr>
        <w:t>DESCRIPCIÓN DEL INDICADOR No. 80</w:t>
      </w:r>
      <w:r w:rsidRPr="00E2705A">
        <w:rPr>
          <w:rFonts w:eastAsia="Calibri" w:cs="Times New Roman"/>
          <w:b/>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trHeight w:val="294"/>
          <w:jc w:val="center"/>
        </w:trPr>
        <w:tc>
          <w:tcPr>
            <w:tcW w:w="8828" w:type="dxa"/>
            <w:shd w:val="clear" w:color="auto" w:fill="FFFFFF"/>
          </w:tcPr>
          <w:p w:rsidR="00E2705A" w:rsidRPr="00E2705A" w:rsidRDefault="00E2705A" w:rsidP="00A92D87">
            <w:pPr>
              <w:spacing w:after="0" w:line="240" w:lineRule="auto"/>
              <w:rPr>
                <w:rFonts w:eastAsia="Calibri" w:cs="Times New Roman"/>
                <w:b/>
                <w:bCs/>
              </w:rPr>
            </w:pPr>
            <w:r w:rsidRPr="00E2705A">
              <w:rPr>
                <w:rFonts w:eastAsia="Calibri" w:cs="Times New Roman"/>
                <w:b/>
                <w:bCs/>
              </w:rPr>
              <w:t>MUNICIPIO:  PASTO</w:t>
            </w:r>
          </w:p>
        </w:tc>
      </w:tr>
      <w:tr w:rsidR="00E2705A" w:rsidRPr="00E2705A" w:rsidTr="00000F81">
        <w:trPr>
          <w:trHeight w:val="579"/>
          <w:jc w:val="center"/>
        </w:trPr>
        <w:tc>
          <w:tcPr>
            <w:tcW w:w="8828" w:type="dxa"/>
            <w:shd w:val="clear" w:color="auto" w:fill="DAEEF3"/>
          </w:tcPr>
          <w:p w:rsidR="00E2705A" w:rsidRPr="00E2705A" w:rsidRDefault="00E2705A" w:rsidP="00A92D87">
            <w:pPr>
              <w:spacing w:after="0" w:line="240" w:lineRule="auto"/>
              <w:rPr>
                <w:rFonts w:eastAsia="Calibri" w:cs="Times New Roman"/>
                <w:b/>
                <w:bCs/>
              </w:rPr>
            </w:pPr>
            <w:r w:rsidRPr="00E2705A">
              <w:rPr>
                <w:rFonts w:eastAsia="Calibri" w:cs="Times New Roman"/>
                <w:b/>
                <w:bCs/>
              </w:rPr>
              <w:t>Nombre del indicador: Tasa de violencia interpersonal contra niños, niñas  y adolescentes</w:t>
            </w:r>
          </w:p>
        </w:tc>
      </w:tr>
      <w:tr w:rsidR="00E2705A" w:rsidRPr="00E2705A" w:rsidTr="00000F81">
        <w:trPr>
          <w:trHeight w:val="332"/>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 xml:space="preserve">Fuente Nacional: </w:t>
            </w:r>
          </w:p>
          <w:p w:rsidR="00E2705A" w:rsidRPr="00E2705A" w:rsidRDefault="00E2705A" w:rsidP="00A92D87">
            <w:pPr>
              <w:spacing w:after="0" w:line="240" w:lineRule="auto"/>
              <w:rPr>
                <w:rFonts w:eastAsia="Calibri" w:cs="Times New Roman"/>
                <w:b/>
                <w:bCs/>
              </w:rPr>
            </w:pPr>
            <w:r w:rsidRPr="00E2705A">
              <w:rPr>
                <w:rFonts w:eastAsia="Calibri" w:cs="Times New Roman"/>
                <w:b/>
                <w:bCs/>
              </w:rPr>
              <w:t>Otra Fuente: OBSERVATORIO DEL DELITO MUNICIPIO DE PASTO</w:t>
            </w:r>
          </w:p>
        </w:tc>
      </w:tr>
      <w:tr w:rsidR="00E2705A" w:rsidRPr="00E2705A" w:rsidTr="00000F81">
        <w:trPr>
          <w:trHeight w:val="458"/>
          <w:jc w:val="center"/>
        </w:trPr>
        <w:tc>
          <w:tcPr>
            <w:tcW w:w="8828" w:type="dxa"/>
            <w:shd w:val="clear" w:color="auto" w:fill="DAEEF3"/>
          </w:tcPr>
          <w:p w:rsidR="00E2705A" w:rsidRPr="00E2705A" w:rsidRDefault="00E2705A" w:rsidP="00A92D87">
            <w:pPr>
              <w:spacing w:after="0" w:line="240" w:lineRule="auto"/>
              <w:rPr>
                <w:rFonts w:eastAsia="Calibri" w:cs="Times New Roman"/>
                <w:bCs/>
              </w:rPr>
            </w:pPr>
            <w:r w:rsidRPr="00E2705A">
              <w:rPr>
                <w:rFonts w:eastAsia="Calibri" w:cs="Times New Roman"/>
                <w:b/>
                <w:bCs/>
              </w:rPr>
              <w:t xml:space="preserve">Categoría de derechos: </w:t>
            </w:r>
          </w:p>
        </w:tc>
      </w:tr>
      <w:tr w:rsidR="00E2705A" w:rsidRPr="00E2705A" w:rsidTr="00000F81">
        <w:trPr>
          <w:trHeight w:val="458"/>
          <w:jc w:val="center"/>
        </w:trPr>
        <w:tc>
          <w:tcPr>
            <w:tcW w:w="8828" w:type="dxa"/>
            <w:shd w:val="clear" w:color="auto" w:fill="auto"/>
          </w:tcPr>
          <w:p w:rsidR="00E2705A" w:rsidRPr="00E2705A" w:rsidRDefault="00E2705A" w:rsidP="00A92D87">
            <w:pPr>
              <w:spacing w:after="0" w:line="240" w:lineRule="auto"/>
              <w:rPr>
                <w:rFonts w:eastAsia="Calibri" w:cs="Times New Roman"/>
                <w:b/>
                <w:bCs/>
              </w:rPr>
            </w:pPr>
            <w:r w:rsidRPr="00E2705A">
              <w:rPr>
                <w:rFonts w:eastAsia="Calibri" w:cs="Times New Roman"/>
                <w:b/>
                <w:bCs/>
              </w:rPr>
              <w:t>Metodología: Análisis de la información a partir de la cadena de resultados</w:t>
            </w:r>
          </w:p>
        </w:tc>
      </w:tr>
    </w:tbl>
    <w:p w:rsidR="00E2705A" w:rsidRPr="00E2705A" w:rsidRDefault="00E2705A" w:rsidP="00A92D87">
      <w:pPr>
        <w:suppressAutoHyphens/>
        <w:spacing w:after="0" w:line="240" w:lineRule="auto"/>
        <w:ind w:left="720"/>
        <w:contextualSpacing/>
        <w:rPr>
          <w:rFonts w:eastAsia="Times New Roman" w:cs="Times New Roman"/>
          <w:b/>
          <w:lang w:val="es-ES" w:eastAsia="ar-SA"/>
        </w:rPr>
      </w:pPr>
    </w:p>
    <w:p w:rsidR="00E2705A" w:rsidRPr="00E2705A" w:rsidRDefault="00E2705A" w:rsidP="00A92D87">
      <w:pPr>
        <w:numPr>
          <w:ilvl w:val="0"/>
          <w:numId w:val="48"/>
        </w:numPr>
        <w:spacing w:after="0" w:line="240" w:lineRule="auto"/>
        <w:contextualSpacing/>
        <w:rPr>
          <w:rFonts w:eastAsia="Times New Roman" w:cs="Times New Roman"/>
          <w:b/>
          <w:lang w:val="es-ES" w:eastAsia="ar-SA"/>
        </w:rPr>
      </w:pPr>
      <w:r w:rsidRPr="00E2705A">
        <w:rPr>
          <w:rFonts w:eastAsia="Times New Roman" w:cs="Times New Roman"/>
          <w:b/>
          <w:lang w:val="es-ES" w:eastAsia="ar-SA"/>
        </w:rPr>
        <w:t>Información estadística</w:t>
      </w:r>
    </w:p>
    <w:p w:rsidR="00E2705A" w:rsidRPr="00E2705A" w:rsidRDefault="00E2705A" w:rsidP="00A92D87">
      <w:pPr>
        <w:suppressAutoHyphens/>
        <w:spacing w:after="0" w:line="240" w:lineRule="auto"/>
        <w:ind w:left="1080"/>
        <w:contextualSpacing/>
        <w:rPr>
          <w:rFonts w:eastAsia="Times New Roman" w:cs="Times New Roman"/>
          <w:b/>
          <w:lang w:val="es-ES" w:eastAsia="ar-S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1724"/>
        <w:gridCol w:w="1725"/>
        <w:gridCol w:w="1725"/>
        <w:gridCol w:w="1725"/>
      </w:tblGrid>
      <w:tr w:rsidR="00E2705A" w:rsidRPr="00E2705A" w:rsidTr="00000F81">
        <w:tc>
          <w:tcPr>
            <w:tcW w:w="219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Indicador</w:t>
            </w:r>
          </w:p>
        </w:tc>
        <w:tc>
          <w:tcPr>
            <w:tcW w:w="1765"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2011</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2012</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2013</w:t>
            </w:r>
          </w:p>
        </w:tc>
        <w:tc>
          <w:tcPr>
            <w:tcW w:w="1766" w:type="dxa"/>
            <w:shd w:val="clear" w:color="auto" w:fill="auto"/>
          </w:tcPr>
          <w:p w:rsidR="00E2705A" w:rsidRPr="00E2705A" w:rsidRDefault="00E2705A" w:rsidP="00A92D87">
            <w:pPr>
              <w:spacing w:after="0" w:line="240" w:lineRule="auto"/>
              <w:jc w:val="center"/>
              <w:rPr>
                <w:rFonts w:eastAsia="Calibri" w:cs="Times New Roman"/>
                <w:b/>
                <w:lang w:eastAsia="es-CO"/>
              </w:rPr>
            </w:pPr>
            <w:r w:rsidRPr="00E2705A">
              <w:rPr>
                <w:rFonts w:eastAsia="Calibri" w:cs="Times New Roman"/>
                <w:b/>
                <w:lang w:eastAsia="es-CO"/>
              </w:rPr>
              <w:t>2014</w:t>
            </w:r>
          </w:p>
        </w:tc>
      </w:tr>
      <w:tr w:rsidR="00E2705A" w:rsidRPr="00E2705A" w:rsidTr="00000F81">
        <w:tc>
          <w:tcPr>
            <w:tcW w:w="2196" w:type="dxa"/>
            <w:shd w:val="clear" w:color="auto" w:fill="auto"/>
          </w:tcPr>
          <w:p w:rsidR="00E2705A" w:rsidRPr="00E2705A" w:rsidRDefault="00E2705A" w:rsidP="00A92D87">
            <w:pPr>
              <w:spacing w:after="0" w:line="240" w:lineRule="auto"/>
              <w:rPr>
                <w:rFonts w:eastAsia="Calibri" w:cs="Times New Roman"/>
                <w:lang w:eastAsia="es-CO"/>
              </w:rPr>
            </w:pPr>
            <w:r w:rsidRPr="00E2705A">
              <w:rPr>
                <w:rFonts w:eastAsia="Calibri" w:cs="Times New Roman"/>
                <w:lang w:eastAsia="es-CO"/>
              </w:rPr>
              <w:t>Tasa de violencia interpersonal contra niños, niñas  y adolescentes</w:t>
            </w:r>
          </w:p>
        </w:tc>
        <w:tc>
          <w:tcPr>
            <w:tcW w:w="1765"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748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251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320 x 100000 Hbts</w:t>
            </w:r>
          </w:p>
        </w:tc>
        <w:tc>
          <w:tcPr>
            <w:tcW w:w="1766" w:type="dxa"/>
            <w:shd w:val="clear" w:color="auto" w:fill="auto"/>
          </w:tcPr>
          <w:p w:rsidR="00E2705A" w:rsidRPr="00E2705A" w:rsidRDefault="00E2705A" w:rsidP="00A92D87">
            <w:pPr>
              <w:spacing w:after="0" w:line="240" w:lineRule="auto"/>
              <w:jc w:val="center"/>
              <w:rPr>
                <w:rFonts w:eastAsia="Calibri" w:cs="Times New Roman"/>
                <w:lang w:eastAsia="es-CO"/>
              </w:rPr>
            </w:pPr>
          </w:p>
          <w:p w:rsidR="00E2705A" w:rsidRPr="00E2705A" w:rsidRDefault="00E2705A" w:rsidP="00A92D87">
            <w:pPr>
              <w:spacing w:after="0" w:line="240" w:lineRule="auto"/>
              <w:jc w:val="center"/>
              <w:rPr>
                <w:rFonts w:eastAsia="Calibri" w:cs="Times New Roman"/>
                <w:lang w:eastAsia="es-CO"/>
              </w:rPr>
            </w:pPr>
            <w:r w:rsidRPr="00E2705A">
              <w:rPr>
                <w:rFonts w:eastAsia="Calibri" w:cs="Times New Roman"/>
                <w:lang w:eastAsia="es-CO"/>
              </w:rPr>
              <w:t>227 x 100000 Hbts</w:t>
            </w:r>
          </w:p>
        </w:tc>
      </w:tr>
      <w:tr w:rsidR="00E2705A" w:rsidRPr="00E2705A" w:rsidTr="00000F81">
        <w:tc>
          <w:tcPr>
            <w:tcW w:w="9259" w:type="dxa"/>
            <w:gridSpan w:val="5"/>
            <w:shd w:val="clear" w:color="auto" w:fill="auto"/>
          </w:tcPr>
          <w:p w:rsidR="00E2705A" w:rsidRPr="00E2705A" w:rsidRDefault="00E2705A" w:rsidP="00A92D87">
            <w:pPr>
              <w:spacing w:after="0" w:line="240" w:lineRule="auto"/>
              <w:rPr>
                <w:rFonts w:eastAsia="Calibri" w:cs="Times New Roman"/>
                <w:b/>
                <w:lang w:eastAsia="es-CO"/>
              </w:rPr>
            </w:pPr>
            <w:r w:rsidRPr="00E2705A">
              <w:rPr>
                <w:rFonts w:eastAsia="Calibri" w:cs="Times New Roman"/>
                <w:b/>
                <w:lang w:eastAsia="es-CO"/>
              </w:rPr>
              <w:t>Fuente y año:  OBSERVATORIO DEL DELITO</w:t>
            </w:r>
          </w:p>
        </w:tc>
      </w:tr>
    </w:tbl>
    <w:p w:rsidR="00E2705A" w:rsidRPr="00E2705A" w:rsidRDefault="00E2705A" w:rsidP="00A92D87">
      <w:pPr>
        <w:spacing w:after="200" w:line="240" w:lineRule="auto"/>
        <w:rPr>
          <w:rFonts w:eastAsia="Calibri" w:cs="Times New Roman"/>
        </w:rPr>
      </w:pPr>
    </w:p>
    <w:p w:rsidR="00E2705A" w:rsidRPr="00E2705A" w:rsidRDefault="00E2705A" w:rsidP="00A92D87">
      <w:pPr>
        <w:spacing w:after="200" w:line="240" w:lineRule="auto"/>
        <w:rPr>
          <w:rFonts w:eastAsia="Calibri" w:cs="Times New Roman"/>
          <w:b/>
        </w:rPr>
      </w:pPr>
      <w:r w:rsidRPr="00E2705A">
        <w:rPr>
          <w:rFonts w:eastAsia="Calibri" w:cs="Times New Roman"/>
          <w:b/>
        </w:rPr>
        <w:t xml:space="preserve">Gráfico: </w:t>
      </w:r>
    </w:p>
    <w:p w:rsidR="00E2705A" w:rsidRPr="00E2705A" w:rsidRDefault="00E2705A" w:rsidP="00A92D87">
      <w:pPr>
        <w:spacing w:after="200" w:line="240" w:lineRule="auto"/>
        <w:rPr>
          <w:rFonts w:eastAsia="Calibri" w:cs="Times New Roman"/>
          <w:b/>
        </w:rPr>
      </w:pPr>
      <w:r w:rsidRPr="00E2705A">
        <w:rPr>
          <w:rFonts w:eastAsia="Calibri" w:cs="Times New Roman"/>
          <w:noProof/>
          <w:lang w:val="es-ES" w:eastAsia="es-ES"/>
        </w:rPr>
        <w:lastRenderedPageBreak/>
        <w:drawing>
          <wp:inline distT="0" distB="0" distL="0" distR="0">
            <wp:extent cx="5523865" cy="2455545"/>
            <wp:effectExtent l="0" t="0" r="635" b="1905"/>
            <wp:docPr id="61" name="Gráfico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2705A" w:rsidRPr="00E2705A" w:rsidRDefault="00E2705A" w:rsidP="00A92D87">
      <w:pPr>
        <w:spacing w:after="200" w:line="240" w:lineRule="auto"/>
        <w:rPr>
          <w:rFonts w:eastAsia="Calibri" w:cs="Times New Roman"/>
          <w:b/>
        </w:rPr>
      </w:pPr>
    </w:p>
    <w:p w:rsidR="00E2705A" w:rsidRPr="00E2705A" w:rsidRDefault="00E2705A" w:rsidP="00A92D87">
      <w:pPr>
        <w:numPr>
          <w:ilvl w:val="0"/>
          <w:numId w:val="4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Situación detectada</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La violencia interpersonal es un fenómeno que se presenta con mayor frecuencia en la zona urbana, especialmente el espacio o vía publica los fines de semana en horas de la noche  y madrugada. De igual manera, se evidencia el fenómeno en actividades de tomando licor y en actividades deportivas y/o relacionadas con el disfrute del tiempo libre.</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El contexto del hecho las lesiones en su mayoría se presentan por riñas y robos; las cuales han sido provocadas en su mayoría por cortes y golpes; donde los lesionados estaban bajo efectos del alcohol. La violencia interpersonal es un fenómeno de la juventud, ocurre principalmente en hombres. En relación al presunto agresor la variable Desconocido y Amigo y/o conocido.</w:t>
      </w:r>
    </w:p>
    <w:p w:rsidR="00E2705A" w:rsidRPr="00E2705A" w:rsidRDefault="00E2705A" w:rsidP="00A92D87">
      <w:pPr>
        <w:numPr>
          <w:ilvl w:val="0"/>
          <w:numId w:val="4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Insumos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E2705A" w:rsidRPr="00E2705A" w:rsidRDefault="00E2705A" w:rsidP="00A92D87">
      <w:pPr>
        <w:suppressAutoHyphens/>
        <w:spacing w:after="0" w:line="240" w:lineRule="auto"/>
        <w:ind w:left="1080"/>
        <w:contextualSpacing/>
        <w:rPr>
          <w:rFonts w:eastAsia="Times New Roman" w:cs="Times New Roman"/>
          <w:lang w:val="es-ES" w:eastAsia="ar-SA"/>
        </w:rPr>
      </w:pPr>
    </w:p>
    <w:p w:rsidR="00E2705A" w:rsidRPr="00E2705A" w:rsidRDefault="00E2705A" w:rsidP="00A92D87">
      <w:pPr>
        <w:numPr>
          <w:ilvl w:val="0"/>
          <w:numId w:val="4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Programas, Proyectos y Acciones para mejorar la situación del indicador (2012 -2015)</w:t>
      </w:r>
    </w:p>
    <w:p w:rsidR="00E2705A" w:rsidRPr="00E2705A" w:rsidRDefault="00E2705A" w:rsidP="00A92D87">
      <w:pPr>
        <w:spacing w:after="200" w:line="240" w:lineRule="auto"/>
        <w:ind w:left="360"/>
        <w:jc w:val="both"/>
        <w:rPr>
          <w:rFonts w:eastAsia="Calibri" w:cs="Times New Roman"/>
          <w:b/>
          <w:u w:val="words"/>
        </w:rPr>
      </w:pPr>
      <w:r w:rsidRPr="00E2705A">
        <w:rPr>
          <w:rFonts w:eastAsia="Calibri" w:cs="Times New Roman"/>
        </w:rPr>
        <w:t>El Observatorio del Delito, realiza mesas temáticas de seguridad con las instituciones que tienen que ver con este tema como Policía Nacional, el grupo operativo de Pasto</w:t>
      </w:r>
      <w:r w:rsidRPr="00E2705A">
        <w:rPr>
          <w:rFonts w:eastAsia="Calibri" w:cs="Times New Roman"/>
          <w:u w:val="words"/>
        </w:rPr>
        <w:t xml:space="preserve"> </w:t>
      </w:r>
      <w:r w:rsidRPr="00E2705A">
        <w:rPr>
          <w:rFonts w:eastAsia="Calibri" w:cs="Times New Roman"/>
        </w:rPr>
        <w:t>Seguro, subsecretaria de convivencia, con el fin de realizar un análisis de la situación en el Municipio y dirigir los operativos conjuntos de prevención y control.  La Policía metropolitana con su estrategia de cuadrantes ha logrado disminuir los indicies de violencia, todo este trabajo acompañado de la intervención por parte de la Administración Municipal.</w:t>
      </w:r>
    </w:p>
    <w:p w:rsidR="00E2705A" w:rsidRPr="00E2705A" w:rsidRDefault="00E2705A" w:rsidP="00A92D87">
      <w:pPr>
        <w:numPr>
          <w:ilvl w:val="0"/>
          <w:numId w:val="4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Productos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lastRenderedPageBreak/>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4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 xml:space="preserve">Resultados al término de la gestión  (2012 -2014): </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Gran parte de las lesiones se presentaron en las extremidades superiores y en el cráneo, con cortes y laceraciones. Las comunas más afectadas por este tipo de violencia son la comuna uno, la comuna cinco y las comunas diez. En cuanto a la zona rural los corregimientos involucrados en este tipo de violencia son los corregimientos de Catambuco, Buesaquillo y Obonuco.  Este tipo de lesiones por violencia involucran lesiones que pueden requerir atención hospitalaria, daños a la salud mental, discapacidad y muerte.</w:t>
      </w:r>
    </w:p>
    <w:p w:rsidR="00E2705A" w:rsidRPr="00E2705A" w:rsidRDefault="00E2705A" w:rsidP="00A92D87">
      <w:pPr>
        <w:suppressAutoHyphens/>
        <w:spacing w:after="0" w:line="240" w:lineRule="auto"/>
        <w:contextualSpacing/>
        <w:jc w:val="both"/>
        <w:rPr>
          <w:rFonts w:eastAsia="Times New Roman" w:cs="Times New Roman"/>
          <w:lang w:val="es-ES" w:eastAsia="ar-SA"/>
        </w:rPr>
      </w:pPr>
    </w:p>
    <w:p w:rsidR="00E2705A" w:rsidRPr="00E2705A" w:rsidRDefault="00E2705A" w:rsidP="00A92D87">
      <w:pPr>
        <w:numPr>
          <w:ilvl w:val="0"/>
          <w:numId w:val="4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 xml:space="preserve">Impacto </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El sistema de vigilancia de lesiones de causa externa no fatal, al cual hace parte las lesiones por violencia interpersonal e, se viene observando desde el año 2005, involucrando a todas las instituciones de salud públicas y privadas con servicio de urgencias, donde el reporte es permanente y la mayoría de las instituciones tienen incluida la ficha de notificación en la historia clínica sistematizada, lo cual garantiza la permanencia del sistema.</w:t>
      </w:r>
    </w:p>
    <w:p w:rsidR="00E2705A" w:rsidRPr="00E2705A" w:rsidRDefault="00E2705A" w:rsidP="00A92D87">
      <w:pPr>
        <w:spacing w:after="200" w:line="240" w:lineRule="auto"/>
        <w:ind w:left="360"/>
        <w:jc w:val="both"/>
        <w:rPr>
          <w:rFonts w:eastAsia="Calibri" w:cs="Times New Roman"/>
        </w:rPr>
      </w:pPr>
      <w:r w:rsidRPr="00E2705A">
        <w:rPr>
          <w:rFonts w:eastAsia="Calibri" w:cs="Times New Roman"/>
        </w:rPr>
        <w:t>Permite una descripción más exacta del problema.</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Nos obliga a ser claros y exactos en materia de priorizar acciones preventivas y correctivas.</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Permite identificar factores de riesgo.</w:t>
      </w:r>
    </w:p>
    <w:p w:rsidR="00E2705A" w:rsidRPr="00E2705A" w:rsidRDefault="00E2705A" w:rsidP="00A92D87">
      <w:pPr>
        <w:numPr>
          <w:ilvl w:val="0"/>
          <w:numId w:val="16"/>
        </w:numPr>
        <w:spacing w:after="0" w:line="240" w:lineRule="auto"/>
        <w:contextualSpacing/>
        <w:rPr>
          <w:rFonts w:eastAsia="Times New Roman" w:cs="Times New Roman"/>
          <w:lang w:val="es-ES" w:eastAsia="ar-SA"/>
        </w:rPr>
      </w:pPr>
      <w:r w:rsidRPr="00E2705A">
        <w:rPr>
          <w:rFonts w:eastAsia="Times New Roman" w:cs="Times New Roman"/>
          <w:lang w:val="es-ES" w:eastAsia="ar-SA"/>
        </w:rPr>
        <w:t>Nos permite tomar decisiones en base a la evidencia.</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p>
    <w:p w:rsidR="00E2705A" w:rsidRPr="00E2705A" w:rsidRDefault="00E2705A" w:rsidP="00A92D87">
      <w:pPr>
        <w:numPr>
          <w:ilvl w:val="0"/>
          <w:numId w:val="4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Prioridades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 xml:space="preserve">Generar impacto en las estrategias para la prevención del consumo de alcohol, sobre todo en menores de edad, ya que este factor es el desencadenante o generador de riñas por las cuales son atendidos la mayoría de los lesionados. </w:t>
      </w:r>
    </w:p>
    <w:p w:rsidR="00E2705A" w:rsidRPr="00E2705A" w:rsidRDefault="00E2705A" w:rsidP="00A92D87">
      <w:pPr>
        <w:suppressAutoHyphens/>
        <w:spacing w:after="0" w:line="240" w:lineRule="auto"/>
        <w:ind w:left="360"/>
        <w:contextualSpacing/>
        <w:jc w:val="both"/>
        <w:rPr>
          <w:rFonts w:eastAsia="Times New Roman" w:cs="Times New Roman"/>
          <w:b/>
          <w:lang w:val="es-ES" w:eastAsia="ar-SA"/>
        </w:rPr>
      </w:pPr>
    </w:p>
    <w:p w:rsidR="00E2705A" w:rsidRPr="00E2705A" w:rsidRDefault="00E2705A" w:rsidP="00A92D87">
      <w:pPr>
        <w:numPr>
          <w:ilvl w:val="0"/>
          <w:numId w:val="48"/>
        </w:numPr>
        <w:spacing w:after="0" w:line="240" w:lineRule="auto"/>
        <w:contextualSpacing/>
        <w:jc w:val="both"/>
        <w:rPr>
          <w:rFonts w:eastAsia="Times New Roman" w:cs="Times New Roman"/>
          <w:b/>
          <w:lang w:val="es-ES" w:eastAsia="ar-SA"/>
        </w:rPr>
      </w:pPr>
      <w:r w:rsidRPr="00E2705A">
        <w:rPr>
          <w:rFonts w:eastAsia="Times New Roman" w:cs="Times New Roman"/>
          <w:b/>
          <w:lang w:val="es-ES" w:eastAsia="ar-SA"/>
        </w:rPr>
        <w:t>Recomendaciones</w:t>
      </w:r>
    </w:p>
    <w:p w:rsidR="00E2705A" w:rsidRPr="00E2705A" w:rsidRDefault="00E2705A" w:rsidP="00A92D87">
      <w:pPr>
        <w:suppressAutoHyphens/>
        <w:spacing w:after="0" w:line="240" w:lineRule="auto"/>
        <w:ind w:left="360"/>
        <w:contextualSpacing/>
        <w:jc w:val="both"/>
        <w:rPr>
          <w:rFonts w:eastAsia="Times New Roman" w:cs="Times New Roman"/>
          <w:lang w:val="es-ES" w:eastAsia="ar-SA"/>
        </w:rPr>
      </w:pPr>
      <w:r w:rsidRPr="00E2705A">
        <w:rPr>
          <w:rFonts w:eastAsia="Times New Roman" w:cs="Times New Roman"/>
          <w:lang w:val="es-ES" w:eastAsia="ar-SA"/>
        </w:rPr>
        <w:t>Tomar la información de Observatorio del Delito como herramienta fundamental al momento de implementar planes y/o acciones dentro del Municipio.</w:t>
      </w:r>
    </w:p>
    <w:p w:rsidR="00E2705A" w:rsidRPr="00E2705A" w:rsidRDefault="00E2705A" w:rsidP="00A92D87">
      <w:pPr>
        <w:spacing w:line="240" w:lineRule="auto"/>
        <w:jc w:val="both"/>
      </w:pP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E2705A">
        <w:rPr>
          <w:b/>
          <w:i/>
          <w:iCs/>
        </w:rPr>
        <w:t>DESCRIPCIÓN DEL INDICADOR No. 82</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lastRenderedPageBreak/>
              <w:t>Nombre del indicador: Porcentaje de niñas, niños y adolescentes víctimas del conflicto armado</w:t>
            </w:r>
          </w:p>
        </w:tc>
      </w:tr>
      <w:tr w:rsidR="00E2705A" w:rsidRPr="00E2705A" w:rsidTr="00000F81">
        <w:trPr>
          <w:trHeight w:val="332"/>
          <w:jc w:val="center"/>
        </w:trPr>
        <w:tc>
          <w:tcPr>
            <w:cnfStyle w:val="001000000000"/>
            <w:tcW w:w="8828" w:type="dxa"/>
          </w:tcPr>
          <w:p w:rsidR="00E2705A" w:rsidRPr="00E2705A" w:rsidRDefault="00E2705A" w:rsidP="00A92D87">
            <w:r w:rsidRPr="00E2705A">
              <w:t xml:space="preserve">Fuente Nacional: </w:t>
            </w:r>
          </w:p>
          <w:p w:rsidR="00E2705A" w:rsidRPr="00E2705A" w:rsidRDefault="00E2705A" w:rsidP="00A92D87">
            <w:r w:rsidRPr="00E2705A">
              <w:t>Otra Fuente: UNIDAD DE VICTIMAS Y RED NACIONAL DE INFORMACION</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Categoría de derechos: DERECHO A LA PROTECCION</w:t>
            </w:r>
          </w:p>
        </w:tc>
      </w:tr>
      <w:tr w:rsidR="00E2705A" w:rsidRPr="00E2705A" w:rsidTr="00000F81">
        <w:trPr>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DF63E8">
      <w:pPr>
        <w:numPr>
          <w:ilvl w:val="0"/>
          <w:numId w:val="41"/>
        </w:numPr>
        <w:spacing w:after="0" w:line="240" w:lineRule="auto"/>
        <w:ind w:left="644"/>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E2705A" w:rsidRPr="00E2705A" w:rsidTr="00000F81">
        <w:tc>
          <w:tcPr>
            <w:tcW w:w="2196" w:type="dxa"/>
          </w:tcPr>
          <w:p w:rsidR="00E2705A" w:rsidRPr="00E2705A" w:rsidRDefault="00E2705A" w:rsidP="00A92D87">
            <w:pPr>
              <w:jc w:val="center"/>
              <w:rPr>
                <w:b/>
              </w:rPr>
            </w:pPr>
            <w:r w:rsidRPr="00E2705A">
              <w:rPr>
                <w:b/>
              </w:rPr>
              <w:t>Indicador</w:t>
            </w:r>
          </w:p>
        </w:tc>
        <w:tc>
          <w:tcPr>
            <w:tcW w:w="1765" w:type="dxa"/>
          </w:tcPr>
          <w:p w:rsidR="00E2705A" w:rsidRPr="00E2705A" w:rsidRDefault="00E2705A" w:rsidP="00A92D87">
            <w:pPr>
              <w:jc w:val="center"/>
              <w:rPr>
                <w:b/>
              </w:rPr>
            </w:pPr>
            <w:r w:rsidRPr="00E2705A">
              <w:rPr>
                <w:b/>
              </w:rPr>
              <w:t>2011</w:t>
            </w:r>
          </w:p>
        </w:tc>
        <w:tc>
          <w:tcPr>
            <w:tcW w:w="1766" w:type="dxa"/>
          </w:tcPr>
          <w:p w:rsidR="00E2705A" w:rsidRPr="00E2705A" w:rsidRDefault="00E2705A" w:rsidP="00A92D87">
            <w:pPr>
              <w:jc w:val="center"/>
              <w:rPr>
                <w:b/>
              </w:rPr>
            </w:pPr>
            <w:r w:rsidRPr="00E2705A">
              <w:rPr>
                <w:b/>
              </w:rPr>
              <w:t>2012</w:t>
            </w:r>
          </w:p>
        </w:tc>
        <w:tc>
          <w:tcPr>
            <w:tcW w:w="1766" w:type="dxa"/>
          </w:tcPr>
          <w:p w:rsidR="00E2705A" w:rsidRPr="00E2705A" w:rsidRDefault="00E2705A" w:rsidP="00A92D87">
            <w:pPr>
              <w:jc w:val="center"/>
              <w:rPr>
                <w:b/>
              </w:rPr>
            </w:pPr>
            <w:r w:rsidRPr="00E2705A">
              <w:rPr>
                <w:b/>
              </w:rPr>
              <w:t>2013</w:t>
            </w:r>
          </w:p>
        </w:tc>
        <w:tc>
          <w:tcPr>
            <w:tcW w:w="1766" w:type="dxa"/>
          </w:tcPr>
          <w:p w:rsidR="00E2705A" w:rsidRPr="00E2705A" w:rsidRDefault="00E2705A" w:rsidP="00A92D87">
            <w:pPr>
              <w:jc w:val="center"/>
              <w:rPr>
                <w:b/>
              </w:rPr>
            </w:pPr>
            <w:r w:rsidRPr="00E2705A">
              <w:rPr>
                <w:b/>
              </w:rPr>
              <w:t>2014</w:t>
            </w:r>
          </w:p>
        </w:tc>
      </w:tr>
      <w:tr w:rsidR="00E2705A" w:rsidRPr="00E2705A" w:rsidTr="00000F81">
        <w:tc>
          <w:tcPr>
            <w:tcW w:w="2196" w:type="dxa"/>
          </w:tcPr>
          <w:p w:rsidR="00E2705A" w:rsidRPr="00E2705A" w:rsidRDefault="00E2705A" w:rsidP="00A92D87">
            <w:r w:rsidRPr="00E2705A">
              <w:t>Porcentaje de niñas, niños y adolescentes víctimas del conflicto armado</w:t>
            </w:r>
          </w:p>
        </w:tc>
        <w:tc>
          <w:tcPr>
            <w:tcW w:w="1765" w:type="dxa"/>
          </w:tcPr>
          <w:p w:rsidR="00E2705A" w:rsidRPr="00E2705A" w:rsidRDefault="00E2705A" w:rsidP="00A92D87">
            <w:pPr>
              <w:jc w:val="center"/>
            </w:pPr>
          </w:p>
        </w:tc>
        <w:tc>
          <w:tcPr>
            <w:tcW w:w="1766" w:type="dxa"/>
          </w:tcPr>
          <w:p w:rsidR="00E2705A" w:rsidRPr="00E2705A" w:rsidRDefault="00E2705A" w:rsidP="00A92D87">
            <w:pPr>
              <w:jc w:val="center"/>
            </w:pPr>
          </w:p>
          <w:p w:rsidR="00E2705A" w:rsidRPr="00E2705A" w:rsidRDefault="00E2705A" w:rsidP="00A92D87">
            <w:pPr>
              <w:jc w:val="center"/>
            </w:pPr>
            <w:r w:rsidRPr="00E2705A">
              <w:t>0.18</w:t>
            </w:r>
          </w:p>
        </w:tc>
        <w:tc>
          <w:tcPr>
            <w:tcW w:w="1766" w:type="dxa"/>
          </w:tcPr>
          <w:p w:rsidR="00E2705A" w:rsidRPr="00E2705A" w:rsidRDefault="00E2705A" w:rsidP="00A92D87">
            <w:pPr>
              <w:jc w:val="center"/>
            </w:pPr>
          </w:p>
          <w:p w:rsidR="00E2705A" w:rsidRPr="00E2705A" w:rsidRDefault="00E2705A" w:rsidP="00A92D87">
            <w:pPr>
              <w:jc w:val="center"/>
            </w:pPr>
            <w:r w:rsidRPr="00E2705A">
              <w:t>0.133</w:t>
            </w:r>
          </w:p>
        </w:tc>
        <w:tc>
          <w:tcPr>
            <w:tcW w:w="1766" w:type="dxa"/>
          </w:tcPr>
          <w:p w:rsidR="00E2705A" w:rsidRPr="00E2705A" w:rsidRDefault="00E2705A" w:rsidP="00A92D87">
            <w:pPr>
              <w:jc w:val="center"/>
            </w:pPr>
          </w:p>
          <w:p w:rsidR="00E2705A" w:rsidRPr="00E2705A" w:rsidRDefault="00E2705A" w:rsidP="00A92D87">
            <w:pPr>
              <w:jc w:val="center"/>
            </w:pPr>
            <w:r w:rsidRPr="00E2705A">
              <w:t>0.09</w:t>
            </w:r>
          </w:p>
        </w:tc>
      </w:tr>
      <w:tr w:rsidR="00E2705A" w:rsidRPr="00E2705A" w:rsidTr="00000F81">
        <w:tc>
          <w:tcPr>
            <w:tcW w:w="9259" w:type="dxa"/>
            <w:gridSpan w:val="5"/>
          </w:tcPr>
          <w:p w:rsidR="00E2705A" w:rsidRPr="00E2705A" w:rsidRDefault="00E2705A" w:rsidP="00A92D87">
            <w:pPr>
              <w:rPr>
                <w:b/>
              </w:rPr>
            </w:pPr>
            <w:r w:rsidRPr="00E2705A">
              <w:rPr>
                <w:b/>
              </w:rPr>
              <w:t>Fuente y año:  UNIDAD DE VICTIMAS</w:t>
            </w:r>
          </w:p>
        </w:tc>
      </w:tr>
    </w:tbl>
    <w:p w:rsidR="00E2705A" w:rsidRPr="00E2705A" w:rsidRDefault="00E2705A" w:rsidP="00A92D87">
      <w:pPr>
        <w:spacing w:line="240" w:lineRule="auto"/>
      </w:pPr>
    </w:p>
    <w:p w:rsidR="00E2705A" w:rsidRPr="00E2705A" w:rsidRDefault="00E2705A" w:rsidP="00A92D87">
      <w:pPr>
        <w:spacing w:line="240" w:lineRule="auto"/>
        <w:rPr>
          <w:b/>
        </w:rPr>
      </w:pPr>
      <w:r w:rsidRPr="00E2705A">
        <w:rPr>
          <w:b/>
        </w:rPr>
        <w:t xml:space="preserve">Gráfico: </w:t>
      </w:r>
    </w:p>
    <w:tbl>
      <w:tblPr>
        <w:tblW w:w="9617" w:type="dxa"/>
        <w:tblInd w:w="-639" w:type="dxa"/>
        <w:tblCellMar>
          <w:left w:w="70" w:type="dxa"/>
          <w:right w:w="70" w:type="dxa"/>
        </w:tblCellMar>
        <w:tblLook w:val="04A0"/>
      </w:tblPr>
      <w:tblGrid>
        <w:gridCol w:w="1578"/>
        <w:gridCol w:w="823"/>
        <w:gridCol w:w="1591"/>
        <w:gridCol w:w="1823"/>
        <w:gridCol w:w="1506"/>
        <w:gridCol w:w="1148"/>
        <w:gridCol w:w="1148"/>
      </w:tblGrid>
      <w:tr w:rsidR="00E2705A" w:rsidRPr="00E2705A" w:rsidTr="00000F81">
        <w:trPr>
          <w:trHeight w:val="615"/>
        </w:trPr>
        <w:tc>
          <w:tcPr>
            <w:tcW w:w="1578"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PERIODO</w:t>
            </w:r>
          </w:p>
        </w:tc>
        <w:tc>
          <w:tcPr>
            <w:tcW w:w="823"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CICLO VITAL</w:t>
            </w:r>
          </w:p>
        </w:tc>
        <w:tc>
          <w:tcPr>
            <w:tcW w:w="1591"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NUMERADOR</w:t>
            </w:r>
          </w:p>
        </w:tc>
        <w:tc>
          <w:tcPr>
            <w:tcW w:w="1823"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DENOMINADOR</w:t>
            </w:r>
          </w:p>
        </w:tc>
        <w:tc>
          <w:tcPr>
            <w:tcW w:w="1506"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RESULTADO</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578"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2012</w:t>
            </w:r>
          </w:p>
        </w:tc>
        <w:tc>
          <w:tcPr>
            <w:tcW w:w="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591"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80</w:t>
            </w:r>
          </w:p>
        </w:tc>
        <w:tc>
          <w:tcPr>
            <w:tcW w:w="1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38.306</w:t>
            </w:r>
          </w:p>
        </w:tc>
        <w:tc>
          <w:tcPr>
            <w:tcW w:w="1506"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0,21</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591"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82</w:t>
            </w:r>
          </w:p>
        </w:tc>
        <w:tc>
          <w:tcPr>
            <w:tcW w:w="1823"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41.853</w:t>
            </w:r>
          </w:p>
        </w:tc>
        <w:tc>
          <w:tcPr>
            <w:tcW w:w="1506"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0,2</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jc w:val="right"/>
              <w:rPr>
                <w:rFonts w:eastAsia="Times New Roman" w:cs="Times New Roman"/>
                <w:color w:val="000000"/>
                <w:lang w:eastAsia="es-CO"/>
              </w:rPr>
            </w:pPr>
            <w:r w:rsidRPr="00E2705A">
              <w:rPr>
                <w:rFonts w:eastAsia="Times New Roman" w:cs="Times New Roman"/>
                <w:color w:val="000000"/>
                <w:lang w:eastAsia="es-CO"/>
              </w:rPr>
              <w:t>0,18</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591"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59</w:t>
            </w:r>
          </w:p>
        </w:tc>
        <w:tc>
          <w:tcPr>
            <w:tcW w:w="1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45.576</w:t>
            </w:r>
          </w:p>
        </w:tc>
        <w:tc>
          <w:tcPr>
            <w:tcW w:w="1506"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0,13</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578" w:type="dxa"/>
            <w:vMerge w:val="restart"/>
            <w:tcBorders>
              <w:top w:val="nil"/>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2013</w:t>
            </w:r>
          </w:p>
        </w:tc>
        <w:tc>
          <w:tcPr>
            <w:tcW w:w="823"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591"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67</w:t>
            </w:r>
          </w:p>
        </w:tc>
        <w:tc>
          <w:tcPr>
            <w:tcW w:w="1823"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38.027</w:t>
            </w:r>
          </w:p>
        </w:tc>
        <w:tc>
          <w:tcPr>
            <w:tcW w:w="1506"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0,18</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591"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40</w:t>
            </w:r>
          </w:p>
        </w:tc>
        <w:tc>
          <w:tcPr>
            <w:tcW w:w="1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41.390</w:t>
            </w:r>
          </w:p>
        </w:tc>
        <w:tc>
          <w:tcPr>
            <w:tcW w:w="1506"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0,1</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jc w:val="right"/>
              <w:rPr>
                <w:rFonts w:eastAsia="Times New Roman" w:cs="Times New Roman"/>
                <w:color w:val="000000"/>
                <w:lang w:eastAsia="es-CO"/>
              </w:rPr>
            </w:pPr>
            <w:r w:rsidRPr="00E2705A">
              <w:rPr>
                <w:rFonts w:eastAsia="Times New Roman" w:cs="Times New Roman"/>
                <w:color w:val="000000"/>
                <w:lang w:eastAsia="es-CO"/>
              </w:rPr>
              <w:t>0,133</w:t>
            </w:r>
          </w:p>
        </w:tc>
        <w:tc>
          <w:tcPr>
            <w:tcW w:w="1148" w:type="dxa"/>
            <w:tcBorders>
              <w:top w:val="nil"/>
              <w:left w:val="nil"/>
              <w:bottom w:val="nil"/>
              <w:right w:val="nil"/>
            </w:tcBorders>
            <w:shd w:val="clear" w:color="000000" w:fill="FFFF00"/>
            <w:noWrap/>
            <w:vAlign w:val="bottom"/>
            <w:hideMark/>
          </w:tcPr>
          <w:p w:rsidR="00E2705A" w:rsidRPr="00E2705A" w:rsidRDefault="00E2705A" w:rsidP="00A92D87">
            <w:pPr>
              <w:spacing w:after="0" w:line="240" w:lineRule="auto"/>
              <w:jc w:val="right"/>
              <w:rPr>
                <w:rFonts w:eastAsia="Times New Roman" w:cs="Times New Roman"/>
                <w:color w:val="000000"/>
                <w:lang w:eastAsia="es-CO"/>
              </w:rPr>
            </w:pPr>
            <w:r w:rsidRPr="00E2705A">
              <w:rPr>
                <w:rFonts w:eastAsia="Times New Roman" w:cs="Times New Roman"/>
                <w:color w:val="000000"/>
                <w:lang w:eastAsia="es-CO"/>
              </w:rPr>
              <w:t>0,134</w:t>
            </w:r>
          </w:p>
        </w:tc>
      </w:tr>
      <w:tr w:rsidR="00E2705A" w:rsidRPr="00E2705A"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591"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54</w:t>
            </w:r>
          </w:p>
        </w:tc>
        <w:tc>
          <w:tcPr>
            <w:tcW w:w="1823"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45.462</w:t>
            </w:r>
          </w:p>
        </w:tc>
        <w:tc>
          <w:tcPr>
            <w:tcW w:w="1506"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0,12</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578"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2014</w:t>
            </w:r>
          </w:p>
        </w:tc>
        <w:tc>
          <w:tcPr>
            <w:tcW w:w="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591"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39</w:t>
            </w:r>
          </w:p>
        </w:tc>
        <w:tc>
          <w:tcPr>
            <w:tcW w:w="1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37.793</w:t>
            </w:r>
          </w:p>
        </w:tc>
        <w:tc>
          <w:tcPr>
            <w:tcW w:w="1506"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0,1</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591"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36</w:t>
            </w:r>
          </w:p>
        </w:tc>
        <w:tc>
          <w:tcPr>
            <w:tcW w:w="1823"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40.935</w:t>
            </w:r>
          </w:p>
        </w:tc>
        <w:tc>
          <w:tcPr>
            <w:tcW w:w="1506"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0,09</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jc w:val="right"/>
              <w:rPr>
                <w:rFonts w:eastAsia="Times New Roman" w:cs="Times New Roman"/>
                <w:color w:val="000000"/>
                <w:lang w:eastAsia="es-CO"/>
              </w:rPr>
            </w:pPr>
            <w:r w:rsidRPr="00E2705A">
              <w:rPr>
                <w:rFonts w:eastAsia="Times New Roman" w:cs="Times New Roman"/>
                <w:color w:val="000000"/>
                <w:lang w:eastAsia="es-CO"/>
              </w:rPr>
              <w:t>0,09</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578"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591"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35</w:t>
            </w:r>
          </w:p>
        </w:tc>
        <w:tc>
          <w:tcPr>
            <w:tcW w:w="1823"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45.218</w:t>
            </w:r>
          </w:p>
        </w:tc>
        <w:tc>
          <w:tcPr>
            <w:tcW w:w="1506"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0,08</w:t>
            </w: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c>
          <w:tcPr>
            <w:tcW w:w="1148"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bl>
    <w:p w:rsidR="00E2705A" w:rsidRPr="00E2705A" w:rsidRDefault="00E2705A" w:rsidP="00A92D87">
      <w:pPr>
        <w:spacing w:line="240" w:lineRule="auto"/>
        <w:rPr>
          <w:b/>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Situación detectada: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Dentro del conflicto armado Colombiano, el 0.134% de los casos que se presentan afectan a niñas, niños y adolescentes.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 xml:space="preserve">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w:t>
      </w:r>
      <w:r w:rsidRPr="00E2705A">
        <w:rPr>
          <w:rFonts w:eastAsia="Times New Roman" w:cs="Arial"/>
          <w:lang w:eastAsia="es-CO"/>
        </w:rPr>
        <w:lastRenderedPageBreak/>
        <w:t>en su lugar, propender por brindar una atención privilegiada, eficiente e integral a quienes lo padecen.</w:t>
      </w:r>
    </w:p>
    <w:p w:rsidR="00E2705A" w:rsidRPr="00E2705A" w:rsidRDefault="00E2705A" w:rsidP="00A92D87">
      <w:pPr>
        <w:spacing w:after="0" w:line="240" w:lineRule="auto"/>
        <w:jc w:val="both"/>
        <w:rPr>
          <w:rFonts w:eastAsia="Times New Roman" w:cs="Arial"/>
          <w:lang w:eastAsia="es-CO"/>
        </w:rPr>
      </w:pPr>
    </w:p>
    <w:p w:rsidR="00E2705A" w:rsidRPr="00E2705A" w:rsidRDefault="00E2705A" w:rsidP="00A92D87">
      <w:pPr>
        <w:spacing w:after="0" w:line="240" w:lineRule="auto"/>
        <w:jc w:val="both"/>
        <w:rPr>
          <w:rFonts w:cs="Arial"/>
          <w:bCs/>
        </w:rPr>
      </w:pPr>
      <w:r w:rsidRPr="00E2705A">
        <w:rPr>
          <w:rFonts w:cs="Arial"/>
        </w:rPr>
        <w:t xml:space="preserve">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w:t>
      </w:r>
      <w:r w:rsidRPr="00E2705A">
        <w:rPr>
          <w:rFonts w:cs="Arial"/>
          <w:bCs/>
        </w:rPr>
        <w:t>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E2705A" w:rsidRPr="00E2705A" w:rsidRDefault="00E2705A" w:rsidP="00A92D87">
      <w:pPr>
        <w:spacing w:after="0" w:line="240" w:lineRule="auto"/>
        <w:jc w:val="both"/>
        <w:rPr>
          <w:rFonts w:cs="Arial"/>
        </w:rPr>
      </w:pPr>
    </w:p>
    <w:p w:rsidR="00E2705A" w:rsidRPr="00E2705A" w:rsidRDefault="00E2705A" w:rsidP="00A92D87">
      <w:pPr>
        <w:spacing w:after="0" w:line="240" w:lineRule="auto"/>
        <w:jc w:val="both"/>
        <w:rPr>
          <w:rFonts w:eastAsia="Calibri" w:cs="Arial"/>
        </w:rPr>
      </w:pPr>
      <w:r w:rsidRPr="00E2705A">
        <w:rPr>
          <w:rFonts w:cs="Arial"/>
        </w:rPr>
        <w:t xml:space="preserve">Es por ello que  </w:t>
      </w:r>
      <w:r w:rsidRPr="00E2705A">
        <w:rPr>
          <w:rFonts w:eastAsia="Calibri" w:cs="Arial"/>
        </w:rPr>
        <w:t xml:space="preserve">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Los datos aportados fueron suministrados por la Unidad para la Atención y Reparación Integral a las Victimas y la Red Nacional de Información.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E2705A" w:rsidRPr="00E2705A" w:rsidRDefault="00E2705A" w:rsidP="00A92D87">
      <w:pPr>
        <w:spacing w:after="0" w:line="240" w:lineRule="auto"/>
        <w:contextualSpacing/>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spacing w:line="240" w:lineRule="auto"/>
        <w:jc w:val="both"/>
        <w:rPr>
          <w:b/>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rPr>
          <w:rFonts w:eastAsia="Times New Roman" w:cs="Times New Roman"/>
          <w:lang w:eastAsia="es-CO"/>
        </w:rPr>
      </w:pPr>
      <w:r w:rsidRPr="00E2705A">
        <w:t>Programa</w:t>
      </w:r>
      <w:r w:rsidRPr="00E2705A">
        <w:rPr>
          <w:b/>
        </w:rPr>
        <w:t xml:space="preserve">: </w:t>
      </w:r>
      <w:r w:rsidRPr="00E2705A">
        <w:t>Articulo 74; Programa Atención a Víctimas de la Violencia del Conflicto Armado</w:t>
      </w:r>
      <w:r w:rsidRPr="00E2705A">
        <w:rPr>
          <w:rFonts w:eastAsia="Times New Roman" w:cs="Times New Roman"/>
          <w:b/>
          <w:lang w:eastAsia="es-CO"/>
        </w:rPr>
        <w:t xml:space="preserve"> </w:t>
      </w:r>
      <w:r w:rsidRPr="00E2705A">
        <w:rPr>
          <w:rFonts w:eastAsia="Times New Roman" w:cs="Times New Roman"/>
          <w:lang w:eastAsia="es-CO"/>
        </w:rPr>
        <w:t xml:space="preserve">del Plan de Desarrollo Municipal de Pasto.   </w:t>
      </w:r>
    </w:p>
    <w:p w:rsidR="00E2705A" w:rsidRPr="00E2705A" w:rsidRDefault="00E2705A" w:rsidP="00A92D87">
      <w:pPr>
        <w:spacing w:after="0" w:line="240" w:lineRule="auto"/>
        <w:rPr>
          <w:rFonts w:eastAsia="Times New Roman" w:cs="Times New Roman"/>
          <w:lang w:eastAsia="es-CO"/>
        </w:rPr>
      </w:pPr>
    </w:p>
    <w:p w:rsidR="00E2705A" w:rsidRPr="00E2705A" w:rsidRDefault="00E2705A" w:rsidP="00A92D87">
      <w:pPr>
        <w:spacing w:after="0" w:line="240" w:lineRule="auto"/>
        <w:rPr>
          <w:rFonts w:eastAsia="Times New Roman" w:cs="Times New Roman"/>
          <w:lang w:eastAsia="es-CO"/>
        </w:rPr>
      </w:pPr>
      <w:r w:rsidRPr="00E2705A">
        <w:rPr>
          <w:rFonts w:eastAsia="Times New Roman" w:cs="Times New Roman"/>
          <w:lang w:eastAsia="es-CO"/>
        </w:rPr>
        <w:t>Proyecto: Atención y Orientación a Población Victima de la Violencia del Conflicto Armado- Municipio de Pasto radicado 20145200110163 de diciembre de 2014.</w:t>
      </w:r>
    </w:p>
    <w:p w:rsidR="00E2705A" w:rsidRPr="00E2705A" w:rsidRDefault="00E2705A" w:rsidP="00A92D87">
      <w:pPr>
        <w:spacing w:after="0" w:line="240" w:lineRule="auto"/>
        <w:jc w:val="both"/>
        <w:rPr>
          <w:rFonts w:eastAsia="Times New Roman" w:cs="Times New Roman"/>
          <w:lang w:eastAsia="es-CO"/>
        </w:rPr>
      </w:pPr>
    </w:p>
    <w:p w:rsidR="00E2705A" w:rsidRPr="00E2705A" w:rsidRDefault="00E2705A" w:rsidP="00A92D87">
      <w:pPr>
        <w:spacing w:after="0" w:line="240" w:lineRule="auto"/>
        <w:jc w:val="both"/>
        <w:rPr>
          <w:rFonts w:cs="Arial"/>
        </w:rPr>
      </w:pPr>
      <w:r w:rsidRPr="00E2705A">
        <w:rPr>
          <w:rFonts w:eastAsia="Times New Roman" w:cs="Times New Roman"/>
          <w:lang w:eastAsia="es-CO"/>
        </w:rPr>
        <w:t xml:space="preserve">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w:t>
      </w:r>
      <w:r w:rsidRPr="00E2705A">
        <w:rPr>
          <w:rFonts w:cs="Arial"/>
        </w:rPr>
        <w:t xml:space="preserve">cuando una persona acude a este Municipio por primera vez, es atendida por una funcionaria profesional en el área de psicología, la cual orienta  a la población en una primera fase denominada </w:t>
      </w:r>
      <w:r w:rsidRPr="00E2705A">
        <w:rPr>
          <w:rFonts w:cs="Arial"/>
          <w:i/>
        </w:rPr>
        <w:t>“etapa de crisis”</w:t>
      </w:r>
      <w:r w:rsidRPr="00E2705A">
        <w:rPr>
          <w:rFonts w:cs="Arial"/>
        </w:rPr>
        <w:t>,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E2705A" w:rsidRPr="00E2705A" w:rsidRDefault="00E2705A" w:rsidP="00A92D87">
      <w:pPr>
        <w:spacing w:after="0" w:line="240" w:lineRule="auto"/>
        <w:jc w:val="both"/>
        <w:rPr>
          <w:rFonts w:cs="Arial"/>
        </w:rPr>
      </w:pPr>
    </w:p>
    <w:p w:rsidR="00E2705A" w:rsidRPr="00E2705A" w:rsidRDefault="00E2705A" w:rsidP="00A92D87">
      <w:pPr>
        <w:spacing w:after="0" w:line="240" w:lineRule="auto"/>
        <w:jc w:val="both"/>
        <w:rPr>
          <w:rFonts w:eastAsia="Arial Unicode MS" w:cs="Arial"/>
        </w:rPr>
      </w:pPr>
      <w:r w:rsidRPr="00E2705A">
        <w:rPr>
          <w:rFonts w:cs="Arial"/>
        </w:rPr>
        <w:t xml:space="preserve">La Alcaldía de Pasto interviene brindando una </w:t>
      </w:r>
      <w:r w:rsidRPr="00E2705A">
        <w:rPr>
          <w:rFonts w:cs="Arial"/>
          <w:b/>
        </w:rPr>
        <w:t>AYUDA HUMANITARIA INMEDIATA</w:t>
      </w:r>
      <w:r w:rsidRPr="00E2705A">
        <w:rPr>
          <w:rFonts w:cs="Arial"/>
        </w:rPr>
        <w:t>, la cual es entregada al núcleo familiar, en los términos preceptuados en el</w:t>
      </w:r>
      <w:r w:rsidRPr="00E2705A">
        <w:rPr>
          <w:rFonts w:eastAsia="Arial Unicode MS" w:cs="Arial"/>
        </w:rPr>
        <w:t xml:space="preserve"> artículo 108 del </w:t>
      </w:r>
      <w:r w:rsidRPr="00E2705A">
        <w:rPr>
          <w:rFonts w:cs="Arial"/>
        </w:rPr>
        <w:t>D</w:t>
      </w:r>
      <w:r w:rsidRPr="00E2705A">
        <w:rPr>
          <w:rFonts w:eastAsia="Arial Unicode MS" w:cs="Arial"/>
        </w:rPr>
        <w:t xml:space="preserve">ecreto 4800 de 2011, el cual textualmente  preceptúa: </w:t>
      </w:r>
    </w:p>
    <w:p w:rsidR="00E2705A" w:rsidRPr="00E2705A" w:rsidRDefault="00E2705A" w:rsidP="00A92D87">
      <w:pPr>
        <w:numPr>
          <w:ilvl w:val="0"/>
          <w:numId w:val="31"/>
        </w:numPr>
        <w:autoSpaceDE w:val="0"/>
        <w:autoSpaceDN w:val="0"/>
        <w:adjustRightInd w:val="0"/>
        <w:spacing w:after="0" w:line="240" w:lineRule="auto"/>
        <w:rPr>
          <w:rFonts w:cs="Arial"/>
          <w:color w:val="000000"/>
        </w:rPr>
      </w:pPr>
    </w:p>
    <w:p w:rsidR="00E2705A" w:rsidRPr="00E2705A" w:rsidRDefault="00E2705A" w:rsidP="00A92D87">
      <w:pPr>
        <w:autoSpaceDE w:val="0"/>
        <w:autoSpaceDN w:val="0"/>
        <w:adjustRightInd w:val="0"/>
        <w:spacing w:after="0" w:line="240" w:lineRule="auto"/>
        <w:jc w:val="both"/>
        <w:rPr>
          <w:rFonts w:cs="Arial"/>
          <w:u w:val="single"/>
        </w:rPr>
      </w:pPr>
      <w:r w:rsidRPr="00E2705A">
        <w:rPr>
          <w:rFonts w:cs="Arial"/>
        </w:rPr>
        <w:t>“</w:t>
      </w:r>
      <w:r w:rsidRPr="00E2705A">
        <w:rPr>
          <w:rFonts w:cs="Arial"/>
          <w:u w:val="single"/>
        </w:rPr>
        <w:t>La entidad territorial receptora</w:t>
      </w:r>
      <w:r w:rsidRPr="00E2705A">
        <w:rPr>
          <w:rFonts w:cs="Arial"/>
        </w:rPr>
        <w:t xml:space="preserve"> de la población víctima de desplazamiento, debe garantizar los componentes de alimentación, artículos de aseo, manejo de abastecimientos, utensilios de cocina y alojamiento transitorio, </w:t>
      </w:r>
      <w:r w:rsidRPr="00E2705A">
        <w:rPr>
          <w:rFonts w:cs="Arial"/>
          <w:u w:val="single"/>
        </w:rPr>
        <w:t xml:space="preserve">mientras se realiza el trámite de inscripción en el Registro Único de Víctimas. </w:t>
      </w:r>
    </w:p>
    <w:p w:rsidR="00E2705A" w:rsidRPr="00E2705A" w:rsidRDefault="00E2705A" w:rsidP="00A92D87">
      <w:pPr>
        <w:numPr>
          <w:ilvl w:val="0"/>
          <w:numId w:val="31"/>
        </w:numPr>
        <w:autoSpaceDE w:val="0"/>
        <w:autoSpaceDN w:val="0"/>
        <w:adjustRightInd w:val="0"/>
        <w:spacing w:after="0" w:line="240" w:lineRule="auto"/>
        <w:rPr>
          <w:rFonts w:cs="Arial"/>
          <w:color w:val="000000"/>
        </w:rPr>
      </w:pPr>
    </w:p>
    <w:p w:rsidR="00E2705A" w:rsidRPr="00E2705A" w:rsidRDefault="00E2705A" w:rsidP="00A92D87">
      <w:pPr>
        <w:autoSpaceDE w:val="0"/>
        <w:autoSpaceDN w:val="0"/>
        <w:adjustRightInd w:val="0"/>
        <w:spacing w:after="0" w:line="240" w:lineRule="auto"/>
        <w:jc w:val="both"/>
        <w:rPr>
          <w:rFonts w:cs="Arial"/>
        </w:rPr>
      </w:pPr>
      <w:r w:rsidRPr="00E2705A">
        <w:rPr>
          <w:rFonts w:cs="Arial"/>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E2705A" w:rsidRPr="00E2705A" w:rsidRDefault="00E2705A" w:rsidP="00A92D87">
      <w:pPr>
        <w:numPr>
          <w:ilvl w:val="0"/>
          <w:numId w:val="31"/>
        </w:numPr>
        <w:autoSpaceDE w:val="0"/>
        <w:autoSpaceDN w:val="0"/>
        <w:adjustRightInd w:val="0"/>
        <w:spacing w:after="0" w:line="240" w:lineRule="auto"/>
        <w:rPr>
          <w:rFonts w:cs="Arial"/>
          <w:color w:val="000000"/>
        </w:rPr>
      </w:pPr>
    </w:p>
    <w:p w:rsidR="00E2705A" w:rsidRPr="00E2705A" w:rsidRDefault="00E2705A" w:rsidP="00A92D87">
      <w:pPr>
        <w:numPr>
          <w:ilvl w:val="0"/>
          <w:numId w:val="33"/>
        </w:numPr>
        <w:autoSpaceDE w:val="0"/>
        <w:autoSpaceDN w:val="0"/>
        <w:adjustRightInd w:val="0"/>
        <w:spacing w:after="0" w:line="240" w:lineRule="auto"/>
        <w:ind w:left="360"/>
        <w:jc w:val="both"/>
        <w:rPr>
          <w:rFonts w:cs="Arial"/>
        </w:rPr>
      </w:pPr>
      <w:r w:rsidRPr="00E2705A">
        <w:rPr>
          <w:rFonts w:cs="Arial"/>
        </w:rPr>
        <w:t xml:space="preserve">Asistencia Alimentaria: alimentación en especie, auxilios monetarios, medios canjeables restringidos o estrategias de comida servida garantizando los mínimos nutricionales de la totalidad de los miembros del hogar. </w:t>
      </w:r>
    </w:p>
    <w:p w:rsidR="00E2705A" w:rsidRPr="00E2705A" w:rsidRDefault="00E2705A" w:rsidP="00A92D87">
      <w:pPr>
        <w:numPr>
          <w:ilvl w:val="0"/>
          <w:numId w:val="31"/>
        </w:numPr>
        <w:autoSpaceDE w:val="0"/>
        <w:autoSpaceDN w:val="0"/>
        <w:adjustRightInd w:val="0"/>
        <w:spacing w:after="0" w:line="240" w:lineRule="auto"/>
        <w:jc w:val="both"/>
        <w:rPr>
          <w:rFonts w:cs="Arial"/>
        </w:rPr>
      </w:pPr>
    </w:p>
    <w:p w:rsidR="00E2705A" w:rsidRPr="00E2705A" w:rsidRDefault="00E2705A" w:rsidP="00A92D87">
      <w:pPr>
        <w:numPr>
          <w:ilvl w:val="0"/>
          <w:numId w:val="33"/>
        </w:numPr>
        <w:autoSpaceDE w:val="0"/>
        <w:autoSpaceDN w:val="0"/>
        <w:adjustRightInd w:val="0"/>
        <w:spacing w:after="0" w:line="240" w:lineRule="auto"/>
        <w:ind w:left="360"/>
        <w:jc w:val="both"/>
        <w:rPr>
          <w:rFonts w:cs="Arial"/>
        </w:rPr>
      </w:pPr>
      <w:r w:rsidRPr="00E2705A">
        <w:rPr>
          <w:rFonts w:cs="Arial"/>
        </w:rPr>
        <w:t xml:space="preserve">Alojamiento Digno: auxilios monetarios, convenios de alojamiento con particulares o construcción de modalidades de </w:t>
      </w:r>
      <w:r w:rsidRPr="00E2705A">
        <w:rPr>
          <w:rFonts w:cs="Arial"/>
          <w:u w:val="single"/>
        </w:rPr>
        <w:t>alojamiento temporal con los mínimos de habitabilidad</w:t>
      </w:r>
      <w:r w:rsidRPr="00E2705A">
        <w:rPr>
          <w:rFonts w:cs="Arial"/>
        </w:rPr>
        <w:t xml:space="preserve"> y seguridad integral requeridos”. </w:t>
      </w:r>
    </w:p>
    <w:p w:rsidR="00E2705A" w:rsidRPr="00E2705A" w:rsidRDefault="00E2705A" w:rsidP="00A92D87">
      <w:pPr>
        <w:numPr>
          <w:ilvl w:val="0"/>
          <w:numId w:val="31"/>
        </w:numPr>
        <w:autoSpaceDE w:val="0"/>
        <w:autoSpaceDN w:val="0"/>
        <w:adjustRightInd w:val="0"/>
        <w:spacing w:after="0" w:line="240" w:lineRule="auto"/>
        <w:jc w:val="both"/>
        <w:rPr>
          <w:rFonts w:cs="Arial"/>
        </w:rPr>
      </w:pPr>
    </w:p>
    <w:p w:rsidR="00E2705A" w:rsidRPr="00E2705A" w:rsidRDefault="00E2705A" w:rsidP="00A92D87">
      <w:pPr>
        <w:spacing w:after="0" w:line="240" w:lineRule="auto"/>
        <w:jc w:val="both"/>
        <w:rPr>
          <w:rFonts w:eastAsia="Arial Unicode MS" w:cs="Arial"/>
          <w:b/>
          <w:u w:val="single"/>
        </w:rPr>
      </w:pPr>
      <w:r w:rsidRPr="00E2705A">
        <w:rPr>
          <w:rFonts w:eastAsia="Arial Unicode MS" w:cs="Arial"/>
        </w:rPr>
        <w:lastRenderedPageBreak/>
        <w:t xml:space="preserve">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w:t>
      </w:r>
      <w:r w:rsidRPr="00E2705A">
        <w:rPr>
          <w:rFonts w:eastAsia="Arial Unicode MS" w:cs="Arial"/>
          <w:b/>
        </w:rPr>
        <w:t xml:space="preserve">AYUDA HUMANITARIA INMEDIATA E INTEGRAL, </w:t>
      </w:r>
      <w:r w:rsidRPr="00E2705A">
        <w:rPr>
          <w:rFonts w:eastAsia="Arial Unicode MS" w:cs="Arial"/>
          <w:b/>
          <w:u w:val="single"/>
        </w:rPr>
        <w:t>hasta tanto se decida sobre la inscripción de la persona en el Registro Único de Victimas.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Productos: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 atención humanitaria a Victimas NNA del conflicto armado de Colombia se realiza por demanda y de acuerdo a la dinámica del conflicto armado.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line="240" w:lineRule="auto"/>
        <w:jc w:val="both"/>
      </w:pPr>
      <w:r w:rsidRPr="00E2705A">
        <w:t xml:space="preserve">Se atendieron a la totalidad de población de NNA víctimas del conflicto armado que requirieron atención y orientación dentro de la etapa inmediata de atención.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Impacto: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Cobertura de las necesidades básicas (pañales, ropa, leche, cobijas) a través de la oficina de Bienestar Social</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Educación garantizada</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Subsidios en libros, textos y útiles escolares desde la Secretaria de Educación Municipal.</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Salud garantizada</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Acceso a una educación superior  de más fácil acceso.</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Espacios para crear y desarrollar un proyecto de vida.</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Actividades en las Instituciones Educativas que permitan disminuir la discriminación, el matoneo o el acoso a NNA por ser víctimas</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Salidas, bibliotecas, sitios turísticos, espacios de socialización donde los niños, niñas y adolescentes adolescentes víctimas pueden interactuar y fortalecerse como grupo, actividad realizada desde Ludoteca ubicada en el Punto de Atención.</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Cursos de aprendizaje en el SENA con más facilidad en su acceso o prioridad.</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Generar espacios deportivos de aprendizaje, en diferentes áreas basadas en las habilidades de los niños, niñas y adolescentes con Secretaria de Cultura.</w:t>
      </w:r>
    </w:p>
    <w:p w:rsidR="00E2705A" w:rsidRPr="00E2705A" w:rsidRDefault="00E2705A" w:rsidP="00A92D87">
      <w:pPr>
        <w:numPr>
          <w:ilvl w:val="0"/>
          <w:numId w:val="32"/>
        </w:numPr>
        <w:spacing w:after="0" w:line="240" w:lineRule="auto"/>
        <w:contextualSpacing/>
        <w:jc w:val="both"/>
        <w:rPr>
          <w:rFonts w:eastAsia="Times New Roman" w:cs="Calibri"/>
          <w:color w:val="000000"/>
          <w:lang w:eastAsia="es-CO"/>
        </w:rPr>
      </w:pPr>
      <w:r w:rsidRPr="00E2705A">
        <w:rPr>
          <w:rFonts w:eastAsia="Times New Roman" w:cs="Calibri"/>
          <w:color w:val="000000"/>
          <w:lang w:eastAsia="es-CO"/>
        </w:rPr>
        <w:t>Subsidio  para  jóvenes víctimas que ingresen a la universidad, en articulación con DPS</w:t>
      </w:r>
    </w:p>
    <w:p w:rsidR="00E2705A" w:rsidRPr="00E2705A" w:rsidRDefault="00E2705A" w:rsidP="00A92D87">
      <w:pPr>
        <w:numPr>
          <w:ilvl w:val="0"/>
          <w:numId w:val="32"/>
        </w:numPr>
        <w:spacing w:after="0" w:line="240" w:lineRule="auto"/>
        <w:contextualSpacing/>
        <w:jc w:val="both"/>
        <w:rPr>
          <w:rFonts w:eastAsia="Times New Roman" w:cs="Times New Roman"/>
          <w:lang w:eastAsia="es-CO"/>
        </w:rPr>
      </w:pPr>
      <w:r w:rsidRPr="00E2705A">
        <w:rPr>
          <w:rFonts w:eastAsia="Times New Roman" w:cs="Calibri"/>
          <w:color w:val="000000"/>
          <w:lang w:eastAsia="es-CO"/>
        </w:rPr>
        <w:t>Cumplimiento en las medidas de atención prioritaria en lugares como Banco Agrario UAO y EPS.</w:t>
      </w:r>
    </w:p>
    <w:p w:rsidR="00E2705A" w:rsidRPr="00E2705A" w:rsidRDefault="00E2705A" w:rsidP="00A92D87">
      <w:pPr>
        <w:spacing w:line="240" w:lineRule="auto"/>
        <w:jc w:val="both"/>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lastRenderedPageBreak/>
        <w:t xml:space="preserve">En el periodo analizado 2012- 2014 se evidencia que las edades de mayor vulneración de Derechos a la Protección de NNA se presentó en las comprendidas de los 0 – 5 años y de los 6 a los 11 años en el periodo comprendido en el año 2012 con un número total de víctimas atendidas de 162 menores entre las edades anteriormente relacionadas.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E2705A" w:rsidRPr="00E2705A" w:rsidRDefault="00E2705A" w:rsidP="00A92D87">
      <w:pPr>
        <w:spacing w:line="240" w:lineRule="auto"/>
        <w:jc w:val="both"/>
      </w:pP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E2705A">
        <w:rPr>
          <w:b/>
          <w:i/>
          <w:iCs/>
        </w:rPr>
        <w:t>DESCRIPCIÓN DEL INDICADOR No. 88</w:t>
      </w:r>
    </w:p>
    <w:tbl>
      <w:tblPr>
        <w:tblStyle w:val="Tabladecuadrcula2-nfasis51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Nombre del indicador: Porcentaje de niñas, niños y adolescentes víctimas del desplazamiento forzado (Especificar si se trata de territorios expulsores)</w:t>
            </w:r>
          </w:p>
        </w:tc>
      </w:tr>
      <w:tr w:rsidR="00E2705A" w:rsidRPr="00E2705A" w:rsidTr="00000F81">
        <w:trPr>
          <w:trHeight w:val="332"/>
          <w:jc w:val="center"/>
        </w:trPr>
        <w:tc>
          <w:tcPr>
            <w:cnfStyle w:val="001000000000"/>
            <w:tcW w:w="8828" w:type="dxa"/>
          </w:tcPr>
          <w:p w:rsidR="00E2705A" w:rsidRPr="00E2705A" w:rsidRDefault="00E2705A" w:rsidP="00A92D87">
            <w:r w:rsidRPr="00E2705A">
              <w:t xml:space="preserve">Fuente Nacional: </w:t>
            </w:r>
          </w:p>
          <w:p w:rsidR="00E2705A" w:rsidRPr="00E2705A" w:rsidRDefault="00E2705A" w:rsidP="00A92D87">
            <w:r w:rsidRPr="00E2705A">
              <w:t>Otra Fuente: UNIDAD DE VICTIMAS Y RED NACIONAL DE INFORMACION</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Categoría de derechos: DERECHO A LA PROTECCION</w:t>
            </w:r>
          </w:p>
        </w:tc>
      </w:tr>
      <w:tr w:rsidR="00E2705A" w:rsidRPr="00E2705A" w:rsidTr="00000F81">
        <w:trPr>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DF63E8">
      <w:pPr>
        <w:numPr>
          <w:ilvl w:val="0"/>
          <w:numId w:val="41"/>
        </w:numPr>
        <w:spacing w:after="0" w:line="240" w:lineRule="auto"/>
        <w:ind w:left="644"/>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contextualSpacing/>
        <w:rPr>
          <w:rFonts w:eastAsia="Times New Roman" w:cs="Times New Roman"/>
          <w:b/>
          <w:lang w:eastAsia="es-CO"/>
        </w:rPr>
      </w:pPr>
    </w:p>
    <w:tbl>
      <w:tblPr>
        <w:tblStyle w:val="Tablaconcuadrcula51"/>
        <w:tblW w:w="0" w:type="auto"/>
        <w:tblInd w:w="-431" w:type="dxa"/>
        <w:tblLook w:val="04A0"/>
      </w:tblPr>
      <w:tblGrid>
        <w:gridCol w:w="2196"/>
        <w:gridCol w:w="1765"/>
        <w:gridCol w:w="1766"/>
        <w:gridCol w:w="1766"/>
        <w:gridCol w:w="1766"/>
      </w:tblGrid>
      <w:tr w:rsidR="00E2705A" w:rsidRPr="00E2705A" w:rsidTr="00000F81">
        <w:tc>
          <w:tcPr>
            <w:tcW w:w="2196" w:type="dxa"/>
          </w:tcPr>
          <w:p w:rsidR="00E2705A" w:rsidRPr="00E2705A" w:rsidRDefault="00E2705A" w:rsidP="00A92D87">
            <w:pPr>
              <w:jc w:val="center"/>
              <w:rPr>
                <w:b/>
              </w:rPr>
            </w:pPr>
            <w:r w:rsidRPr="00E2705A">
              <w:rPr>
                <w:b/>
              </w:rPr>
              <w:t>Indicador</w:t>
            </w:r>
          </w:p>
        </w:tc>
        <w:tc>
          <w:tcPr>
            <w:tcW w:w="1765" w:type="dxa"/>
          </w:tcPr>
          <w:p w:rsidR="00E2705A" w:rsidRPr="00E2705A" w:rsidRDefault="00E2705A" w:rsidP="00A92D87">
            <w:pPr>
              <w:jc w:val="center"/>
              <w:rPr>
                <w:b/>
              </w:rPr>
            </w:pPr>
            <w:r w:rsidRPr="00E2705A">
              <w:rPr>
                <w:b/>
              </w:rPr>
              <w:t>2011</w:t>
            </w:r>
          </w:p>
        </w:tc>
        <w:tc>
          <w:tcPr>
            <w:tcW w:w="1766" w:type="dxa"/>
          </w:tcPr>
          <w:p w:rsidR="00E2705A" w:rsidRPr="00E2705A" w:rsidRDefault="00E2705A" w:rsidP="00A92D87">
            <w:pPr>
              <w:jc w:val="center"/>
              <w:rPr>
                <w:b/>
              </w:rPr>
            </w:pPr>
            <w:r w:rsidRPr="00E2705A">
              <w:rPr>
                <w:b/>
              </w:rPr>
              <w:t>2012</w:t>
            </w:r>
          </w:p>
        </w:tc>
        <w:tc>
          <w:tcPr>
            <w:tcW w:w="1766" w:type="dxa"/>
          </w:tcPr>
          <w:p w:rsidR="00E2705A" w:rsidRPr="00E2705A" w:rsidRDefault="00E2705A" w:rsidP="00A92D87">
            <w:pPr>
              <w:jc w:val="center"/>
              <w:rPr>
                <w:b/>
              </w:rPr>
            </w:pPr>
            <w:r w:rsidRPr="00E2705A">
              <w:rPr>
                <w:b/>
              </w:rPr>
              <w:t>2013</w:t>
            </w:r>
          </w:p>
        </w:tc>
        <w:tc>
          <w:tcPr>
            <w:tcW w:w="1766" w:type="dxa"/>
          </w:tcPr>
          <w:p w:rsidR="00E2705A" w:rsidRPr="00E2705A" w:rsidRDefault="00E2705A" w:rsidP="00A92D87">
            <w:pPr>
              <w:jc w:val="center"/>
              <w:rPr>
                <w:b/>
              </w:rPr>
            </w:pPr>
            <w:r w:rsidRPr="00E2705A">
              <w:rPr>
                <w:b/>
              </w:rPr>
              <w:t>2014</w:t>
            </w:r>
          </w:p>
        </w:tc>
      </w:tr>
      <w:tr w:rsidR="00E2705A" w:rsidRPr="00E2705A" w:rsidTr="00000F81">
        <w:tc>
          <w:tcPr>
            <w:tcW w:w="2196" w:type="dxa"/>
          </w:tcPr>
          <w:p w:rsidR="00E2705A" w:rsidRPr="00E2705A" w:rsidRDefault="00E2705A" w:rsidP="00A92D87">
            <w:r w:rsidRPr="00E2705A">
              <w:t>Porcentaje de niñas, niños y adolescentes víctimas del desplazamiento forzado (Especificar si se trata de territorios expulsores)</w:t>
            </w:r>
          </w:p>
        </w:tc>
        <w:tc>
          <w:tcPr>
            <w:tcW w:w="1765" w:type="dxa"/>
          </w:tcPr>
          <w:p w:rsidR="00E2705A" w:rsidRPr="00E2705A" w:rsidRDefault="00E2705A" w:rsidP="00A92D87">
            <w:pPr>
              <w:jc w:val="center"/>
            </w:pPr>
          </w:p>
        </w:tc>
        <w:tc>
          <w:tcPr>
            <w:tcW w:w="1766" w:type="dxa"/>
          </w:tcPr>
          <w:p w:rsidR="00E2705A" w:rsidRPr="00E2705A" w:rsidRDefault="00E2705A" w:rsidP="00A92D87">
            <w:pPr>
              <w:jc w:val="center"/>
            </w:pPr>
          </w:p>
          <w:p w:rsidR="00E2705A" w:rsidRPr="00E2705A" w:rsidRDefault="00E2705A" w:rsidP="00A92D87">
            <w:pPr>
              <w:jc w:val="center"/>
            </w:pPr>
            <w:r w:rsidRPr="00E2705A">
              <w:t>91.53</w:t>
            </w:r>
          </w:p>
          <w:p w:rsidR="00E2705A" w:rsidRPr="00E2705A" w:rsidRDefault="00E2705A" w:rsidP="00A92D87">
            <w:pPr>
              <w:jc w:val="center"/>
            </w:pPr>
            <w:r w:rsidRPr="00E2705A">
              <w:t>94.03</w:t>
            </w:r>
          </w:p>
          <w:p w:rsidR="00E2705A" w:rsidRPr="00E2705A" w:rsidRDefault="00E2705A" w:rsidP="00A92D87">
            <w:pPr>
              <w:jc w:val="center"/>
            </w:pPr>
            <w:r w:rsidRPr="00E2705A">
              <w:t>90</w:t>
            </w:r>
          </w:p>
        </w:tc>
        <w:tc>
          <w:tcPr>
            <w:tcW w:w="1766" w:type="dxa"/>
          </w:tcPr>
          <w:p w:rsidR="00E2705A" w:rsidRPr="00E2705A" w:rsidRDefault="00E2705A" w:rsidP="00A92D87">
            <w:pPr>
              <w:jc w:val="center"/>
            </w:pPr>
          </w:p>
          <w:p w:rsidR="00E2705A" w:rsidRPr="00E2705A" w:rsidRDefault="00E2705A" w:rsidP="00A92D87">
            <w:pPr>
              <w:jc w:val="center"/>
            </w:pPr>
            <w:r w:rsidRPr="00E2705A">
              <w:t>87,04</w:t>
            </w:r>
          </w:p>
          <w:p w:rsidR="00E2705A" w:rsidRPr="00E2705A" w:rsidRDefault="00E2705A" w:rsidP="00A92D87">
            <w:pPr>
              <w:jc w:val="center"/>
            </w:pPr>
            <w:r w:rsidRPr="00E2705A">
              <w:t>94,87</w:t>
            </w:r>
          </w:p>
          <w:p w:rsidR="00E2705A" w:rsidRPr="00E2705A" w:rsidRDefault="00E2705A" w:rsidP="00A92D87">
            <w:pPr>
              <w:jc w:val="center"/>
            </w:pPr>
            <w:r w:rsidRPr="00E2705A">
              <w:t>91,67</w:t>
            </w:r>
          </w:p>
        </w:tc>
        <w:tc>
          <w:tcPr>
            <w:tcW w:w="1766" w:type="dxa"/>
          </w:tcPr>
          <w:p w:rsidR="00E2705A" w:rsidRPr="00E2705A" w:rsidRDefault="00E2705A" w:rsidP="00A92D87">
            <w:pPr>
              <w:jc w:val="center"/>
            </w:pPr>
          </w:p>
          <w:p w:rsidR="00E2705A" w:rsidRPr="00E2705A" w:rsidRDefault="00E2705A" w:rsidP="00A92D87">
            <w:pPr>
              <w:jc w:val="center"/>
            </w:pPr>
            <w:r w:rsidRPr="00E2705A">
              <w:t>94.29</w:t>
            </w:r>
          </w:p>
        </w:tc>
      </w:tr>
      <w:tr w:rsidR="00E2705A" w:rsidRPr="00E2705A" w:rsidTr="00000F81">
        <w:tc>
          <w:tcPr>
            <w:tcW w:w="9259" w:type="dxa"/>
            <w:gridSpan w:val="5"/>
          </w:tcPr>
          <w:p w:rsidR="00E2705A" w:rsidRPr="00E2705A" w:rsidRDefault="00E2705A" w:rsidP="00A92D87">
            <w:pPr>
              <w:rPr>
                <w:b/>
              </w:rPr>
            </w:pPr>
            <w:r w:rsidRPr="00E2705A">
              <w:rPr>
                <w:b/>
              </w:rPr>
              <w:t>Fuente y año:  UNIDAD DE VICTIMAS</w:t>
            </w:r>
          </w:p>
        </w:tc>
      </w:tr>
    </w:tbl>
    <w:p w:rsidR="00E2705A" w:rsidRPr="00E2705A" w:rsidRDefault="00E2705A" w:rsidP="00A92D87">
      <w:pPr>
        <w:spacing w:line="240" w:lineRule="auto"/>
      </w:pPr>
    </w:p>
    <w:p w:rsidR="00E2705A" w:rsidRPr="00E2705A" w:rsidRDefault="00E2705A" w:rsidP="00A92D87">
      <w:pPr>
        <w:spacing w:line="240" w:lineRule="auto"/>
        <w:rPr>
          <w:b/>
        </w:rPr>
      </w:pPr>
    </w:p>
    <w:p w:rsidR="00E2705A" w:rsidRPr="00E2705A" w:rsidRDefault="00E2705A" w:rsidP="00A92D87">
      <w:pPr>
        <w:spacing w:line="240" w:lineRule="auto"/>
        <w:rPr>
          <w:b/>
        </w:rPr>
      </w:pPr>
      <w:r w:rsidRPr="00E2705A">
        <w:rPr>
          <w:b/>
        </w:rPr>
        <w:t xml:space="preserve">Gráfico: </w:t>
      </w:r>
    </w:p>
    <w:tbl>
      <w:tblPr>
        <w:tblW w:w="9498" w:type="dxa"/>
        <w:tblInd w:w="-497" w:type="dxa"/>
        <w:tblCellMar>
          <w:left w:w="70" w:type="dxa"/>
          <w:right w:w="70" w:type="dxa"/>
        </w:tblCellMar>
        <w:tblLook w:val="04A0"/>
      </w:tblPr>
      <w:tblGrid>
        <w:gridCol w:w="1707"/>
        <w:gridCol w:w="825"/>
        <w:gridCol w:w="1595"/>
        <w:gridCol w:w="1827"/>
        <w:gridCol w:w="1509"/>
        <w:gridCol w:w="2035"/>
      </w:tblGrid>
      <w:tr w:rsidR="00E2705A" w:rsidRPr="00E2705A" w:rsidTr="00000F81">
        <w:trPr>
          <w:trHeight w:val="615"/>
        </w:trPr>
        <w:tc>
          <w:tcPr>
            <w:tcW w:w="1707"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PERIODO</w:t>
            </w:r>
          </w:p>
        </w:tc>
        <w:tc>
          <w:tcPr>
            <w:tcW w:w="825"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CICLO VITAL</w:t>
            </w:r>
          </w:p>
        </w:tc>
        <w:tc>
          <w:tcPr>
            <w:tcW w:w="1595"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NUMERADOR</w:t>
            </w:r>
          </w:p>
        </w:tc>
        <w:tc>
          <w:tcPr>
            <w:tcW w:w="1827"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DENOMINADOR</w:t>
            </w:r>
          </w:p>
        </w:tc>
        <w:tc>
          <w:tcPr>
            <w:tcW w:w="1509"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RESULTADO</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lastRenderedPageBreak/>
              <w:t>2010</w:t>
            </w:r>
          </w:p>
        </w:tc>
        <w:tc>
          <w:tcPr>
            <w:tcW w:w="82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15</w:t>
            </w:r>
          </w:p>
        </w:tc>
        <w:tc>
          <w:tcPr>
            <w:tcW w:w="182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20</w:t>
            </w:r>
          </w:p>
        </w:tc>
        <w:tc>
          <w:tcPr>
            <w:tcW w:w="150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75</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59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28</w:t>
            </w:r>
          </w:p>
        </w:tc>
        <w:tc>
          <w:tcPr>
            <w:tcW w:w="182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33</w:t>
            </w:r>
          </w:p>
        </w:tc>
        <w:tc>
          <w:tcPr>
            <w:tcW w:w="150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84,85</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17</w:t>
            </w:r>
          </w:p>
        </w:tc>
        <w:tc>
          <w:tcPr>
            <w:tcW w:w="182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23</w:t>
            </w:r>
          </w:p>
        </w:tc>
        <w:tc>
          <w:tcPr>
            <w:tcW w:w="150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73,91</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2011</w:t>
            </w:r>
          </w:p>
        </w:tc>
        <w:tc>
          <w:tcPr>
            <w:tcW w:w="82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59</w:t>
            </w:r>
          </w:p>
        </w:tc>
        <w:tc>
          <w:tcPr>
            <w:tcW w:w="182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65</w:t>
            </w:r>
          </w:p>
        </w:tc>
        <w:tc>
          <w:tcPr>
            <w:tcW w:w="150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90,77</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59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46</w:t>
            </w:r>
          </w:p>
        </w:tc>
        <w:tc>
          <w:tcPr>
            <w:tcW w:w="182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49</w:t>
            </w:r>
          </w:p>
        </w:tc>
        <w:tc>
          <w:tcPr>
            <w:tcW w:w="150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93,88</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52</w:t>
            </w:r>
          </w:p>
        </w:tc>
        <w:tc>
          <w:tcPr>
            <w:tcW w:w="182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54</w:t>
            </w:r>
          </w:p>
        </w:tc>
        <w:tc>
          <w:tcPr>
            <w:tcW w:w="150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96,3</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2012</w:t>
            </w:r>
          </w:p>
        </w:tc>
        <w:tc>
          <w:tcPr>
            <w:tcW w:w="82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76</w:t>
            </w:r>
          </w:p>
        </w:tc>
        <w:tc>
          <w:tcPr>
            <w:tcW w:w="182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80</w:t>
            </w:r>
          </w:p>
        </w:tc>
        <w:tc>
          <w:tcPr>
            <w:tcW w:w="150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95</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06-11</w:t>
            </w:r>
          </w:p>
        </w:tc>
        <w:tc>
          <w:tcPr>
            <w:tcW w:w="159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74</w:t>
            </w:r>
          </w:p>
        </w:tc>
        <w:tc>
          <w:tcPr>
            <w:tcW w:w="182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82</w:t>
            </w:r>
          </w:p>
        </w:tc>
        <w:tc>
          <w:tcPr>
            <w:tcW w:w="150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90,24</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12-17</w:t>
            </w:r>
          </w:p>
        </w:tc>
        <w:tc>
          <w:tcPr>
            <w:tcW w:w="159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54</w:t>
            </w:r>
          </w:p>
        </w:tc>
        <w:tc>
          <w:tcPr>
            <w:tcW w:w="182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59</w:t>
            </w:r>
          </w:p>
        </w:tc>
        <w:tc>
          <w:tcPr>
            <w:tcW w:w="150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91,53</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2013</w:t>
            </w:r>
          </w:p>
        </w:tc>
        <w:tc>
          <w:tcPr>
            <w:tcW w:w="82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63</w:t>
            </w:r>
          </w:p>
        </w:tc>
        <w:tc>
          <w:tcPr>
            <w:tcW w:w="182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67</w:t>
            </w:r>
          </w:p>
        </w:tc>
        <w:tc>
          <w:tcPr>
            <w:tcW w:w="150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94,03</w:t>
            </w:r>
          </w:p>
        </w:tc>
        <w:tc>
          <w:tcPr>
            <w:tcW w:w="2035" w:type="dxa"/>
            <w:tcBorders>
              <w:top w:val="nil"/>
              <w:left w:val="nil"/>
              <w:bottom w:val="nil"/>
              <w:right w:val="nil"/>
            </w:tcBorders>
            <w:shd w:val="clear" w:color="000000" w:fill="FFFF00"/>
            <w:noWrap/>
            <w:vAlign w:val="bottom"/>
            <w:hideMark/>
          </w:tcPr>
          <w:p w:rsidR="00E2705A" w:rsidRPr="00E2705A" w:rsidRDefault="00E2705A" w:rsidP="00A92D87">
            <w:pPr>
              <w:spacing w:after="0" w:line="240" w:lineRule="auto"/>
              <w:jc w:val="right"/>
              <w:rPr>
                <w:rFonts w:eastAsia="Times New Roman" w:cs="Times New Roman"/>
                <w:color w:val="000000"/>
                <w:lang w:eastAsia="es-CO"/>
              </w:rPr>
            </w:pPr>
            <w:r w:rsidRPr="00E2705A">
              <w:rPr>
                <w:rFonts w:eastAsia="Times New Roman" w:cs="Times New Roman"/>
                <w:color w:val="000000"/>
                <w:lang w:eastAsia="es-CO"/>
              </w:rPr>
              <w:t>92,0744444</w:t>
            </w: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06-11</w:t>
            </w:r>
          </w:p>
        </w:tc>
        <w:tc>
          <w:tcPr>
            <w:tcW w:w="159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36</w:t>
            </w:r>
          </w:p>
        </w:tc>
        <w:tc>
          <w:tcPr>
            <w:tcW w:w="182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40</w:t>
            </w:r>
          </w:p>
        </w:tc>
        <w:tc>
          <w:tcPr>
            <w:tcW w:w="150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90</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47</w:t>
            </w:r>
          </w:p>
        </w:tc>
        <w:tc>
          <w:tcPr>
            <w:tcW w:w="182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54</w:t>
            </w:r>
          </w:p>
        </w:tc>
        <w:tc>
          <w:tcPr>
            <w:tcW w:w="150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87,04</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2014</w:t>
            </w:r>
          </w:p>
        </w:tc>
        <w:tc>
          <w:tcPr>
            <w:tcW w:w="82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59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37</w:t>
            </w:r>
          </w:p>
        </w:tc>
        <w:tc>
          <w:tcPr>
            <w:tcW w:w="182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39</w:t>
            </w:r>
          </w:p>
        </w:tc>
        <w:tc>
          <w:tcPr>
            <w:tcW w:w="150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94,87</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59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33</w:t>
            </w:r>
          </w:p>
        </w:tc>
        <w:tc>
          <w:tcPr>
            <w:tcW w:w="182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36</w:t>
            </w:r>
          </w:p>
        </w:tc>
        <w:tc>
          <w:tcPr>
            <w:tcW w:w="150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91,67</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707"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82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59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33</w:t>
            </w:r>
          </w:p>
        </w:tc>
        <w:tc>
          <w:tcPr>
            <w:tcW w:w="182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35</w:t>
            </w:r>
          </w:p>
        </w:tc>
        <w:tc>
          <w:tcPr>
            <w:tcW w:w="150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94,29</w:t>
            </w:r>
          </w:p>
        </w:tc>
        <w:tc>
          <w:tcPr>
            <w:tcW w:w="2035"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bl>
    <w:p w:rsidR="00E2705A" w:rsidRPr="00E2705A" w:rsidRDefault="00E2705A" w:rsidP="00A92D87">
      <w:pPr>
        <w:spacing w:line="240" w:lineRule="auto"/>
        <w:rPr>
          <w:b/>
        </w:rPr>
      </w:pPr>
    </w:p>
    <w:p w:rsidR="00E2705A" w:rsidRPr="00E2705A" w:rsidRDefault="00E2705A" w:rsidP="00A92D87">
      <w:pPr>
        <w:spacing w:line="240" w:lineRule="auto"/>
        <w:rPr>
          <w:b/>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Situación detectada: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A causa del Conflicto Armado Colombiano, se ha evidenciado que se presenta un porcentaje de 92.07% de NNA victimas de desplazamiento forzado.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jc w:val="both"/>
        <w:rPr>
          <w:rFonts w:eastAsia="Times New Roman" w:cs="Arial"/>
          <w:lang w:eastAsia="es-CO"/>
        </w:rPr>
      </w:pPr>
      <w:r w:rsidRPr="00E2705A">
        <w:rPr>
          <w:rFonts w:eastAsia="Times New Roman" w:cs="Arial"/>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E2705A" w:rsidRPr="00E2705A" w:rsidRDefault="00E2705A" w:rsidP="00A92D87">
      <w:pPr>
        <w:spacing w:after="0" w:line="240" w:lineRule="auto"/>
        <w:jc w:val="both"/>
        <w:rPr>
          <w:rFonts w:eastAsia="Times New Roman" w:cs="Arial"/>
          <w:lang w:eastAsia="es-CO"/>
        </w:rPr>
      </w:pPr>
    </w:p>
    <w:p w:rsidR="00E2705A" w:rsidRPr="00E2705A" w:rsidRDefault="00E2705A" w:rsidP="00A92D87">
      <w:pPr>
        <w:spacing w:after="0" w:line="240" w:lineRule="auto"/>
        <w:jc w:val="both"/>
        <w:rPr>
          <w:rFonts w:cs="Arial"/>
          <w:bCs/>
        </w:rPr>
      </w:pPr>
      <w:r w:rsidRPr="00E2705A">
        <w:rPr>
          <w:rFonts w:cs="Arial"/>
        </w:rPr>
        <w:t xml:space="preserve">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w:t>
      </w:r>
      <w:r w:rsidRPr="00E2705A">
        <w:rPr>
          <w:rFonts w:cs="Arial"/>
          <w:bCs/>
        </w:rPr>
        <w:t>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E2705A" w:rsidRPr="00E2705A" w:rsidRDefault="00E2705A" w:rsidP="00A92D87">
      <w:pPr>
        <w:spacing w:after="0" w:line="240" w:lineRule="auto"/>
        <w:jc w:val="both"/>
        <w:rPr>
          <w:rFonts w:cs="Arial"/>
        </w:rPr>
      </w:pPr>
    </w:p>
    <w:p w:rsidR="00E2705A" w:rsidRPr="00E2705A" w:rsidRDefault="00E2705A" w:rsidP="00A92D87">
      <w:pPr>
        <w:spacing w:after="0" w:line="240" w:lineRule="auto"/>
        <w:jc w:val="both"/>
        <w:rPr>
          <w:rFonts w:eastAsia="Calibri" w:cs="Arial"/>
        </w:rPr>
      </w:pPr>
      <w:r w:rsidRPr="00E2705A">
        <w:rPr>
          <w:rFonts w:cs="Arial"/>
        </w:rPr>
        <w:lastRenderedPageBreak/>
        <w:t xml:space="preserve">Es por ello que  </w:t>
      </w:r>
      <w:r w:rsidRPr="00E2705A">
        <w:rPr>
          <w:rFonts w:eastAsia="Calibri" w:cs="Arial"/>
        </w:rPr>
        <w:t xml:space="preserve">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Los datos aportados fueron suministrados por la Unidad para la Atención y Reparación Integral a las Victimas y la Red Nacional de Información.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E2705A" w:rsidRPr="00E2705A" w:rsidRDefault="00E2705A" w:rsidP="00A92D87">
      <w:pPr>
        <w:spacing w:after="0" w:line="240" w:lineRule="auto"/>
        <w:contextualSpacing/>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Programa: Articulo 74; Programa Atención a Víctimas de la Violencia del Conflicto Armado del Plan de Desarrollo Municipal de Pasto.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Proyecto: Atención y Orientación a Población Victima de la Violencia del Conflicto Armado- Municipio de Pasto radicado 20145200110163 de diciembre de 2014.</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w:t>
      </w:r>
      <w:r w:rsidRPr="00E2705A">
        <w:rPr>
          <w:rFonts w:eastAsia="Times New Roman" w:cs="Times New Roman"/>
          <w:lang w:eastAsia="es-CO"/>
        </w:rPr>
        <w:lastRenderedPageBreak/>
        <w:t>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1.</w:t>
      </w:r>
      <w:r w:rsidRPr="00E2705A">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2.</w:t>
      </w:r>
      <w:r w:rsidRPr="00E2705A">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Productos: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 atención humanitaria a Victimas NNA del conflicto armado de Colombia se realiza por demanda y de acuerdo a la dinámica del conflicto armado que existe en el momento.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line="240" w:lineRule="auto"/>
        <w:jc w:val="both"/>
      </w:pPr>
      <w:r w:rsidRPr="00E2705A">
        <w:lastRenderedPageBreak/>
        <w:t>Se atendieron a la totalidad de población de NNA víctimas del desplazamiento forzado causado por el conflicto armado que requirieron atención y orientación dentro de la etapa inmediata de atención en las siguientes proporciones:</w:t>
      </w:r>
    </w:p>
    <w:p w:rsidR="00E2705A" w:rsidRPr="00E2705A" w:rsidRDefault="00E2705A" w:rsidP="00A92D87">
      <w:pPr>
        <w:numPr>
          <w:ilvl w:val="0"/>
          <w:numId w:val="34"/>
        </w:numPr>
        <w:spacing w:after="0" w:line="240" w:lineRule="auto"/>
        <w:contextualSpacing/>
        <w:jc w:val="both"/>
        <w:rPr>
          <w:rFonts w:eastAsia="Times New Roman" w:cs="Times New Roman"/>
          <w:lang w:eastAsia="es-CO"/>
        </w:rPr>
      </w:pPr>
      <w:r w:rsidRPr="00E2705A">
        <w:rPr>
          <w:rFonts w:eastAsia="Times New Roman" w:cs="Times New Roman"/>
          <w:lang w:eastAsia="es-CO"/>
        </w:rPr>
        <w:t>2012: 153 NNA</w:t>
      </w:r>
    </w:p>
    <w:p w:rsidR="00E2705A" w:rsidRPr="00E2705A" w:rsidRDefault="00E2705A" w:rsidP="00A92D87">
      <w:pPr>
        <w:numPr>
          <w:ilvl w:val="0"/>
          <w:numId w:val="34"/>
        </w:numPr>
        <w:spacing w:after="0" w:line="240" w:lineRule="auto"/>
        <w:contextualSpacing/>
        <w:jc w:val="both"/>
        <w:rPr>
          <w:rFonts w:eastAsia="Times New Roman" w:cs="Times New Roman"/>
          <w:lang w:eastAsia="es-CO"/>
        </w:rPr>
      </w:pPr>
      <w:r w:rsidRPr="00E2705A">
        <w:rPr>
          <w:rFonts w:eastAsia="Times New Roman" w:cs="Times New Roman"/>
          <w:lang w:eastAsia="es-CO"/>
        </w:rPr>
        <w:t>2013: 117 NNA</w:t>
      </w:r>
    </w:p>
    <w:p w:rsidR="00E2705A" w:rsidRPr="00E2705A" w:rsidRDefault="00E2705A" w:rsidP="00A92D87">
      <w:pPr>
        <w:numPr>
          <w:ilvl w:val="0"/>
          <w:numId w:val="34"/>
        </w:numPr>
        <w:spacing w:after="0" w:line="240" w:lineRule="auto"/>
        <w:contextualSpacing/>
        <w:jc w:val="both"/>
        <w:rPr>
          <w:rFonts w:eastAsia="Times New Roman" w:cs="Times New Roman"/>
          <w:lang w:eastAsia="es-CO"/>
        </w:rPr>
      </w:pPr>
      <w:r w:rsidRPr="00E2705A">
        <w:rPr>
          <w:rFonts w:eastAsia="Times New Roman" w:cs="Times New Roman"/>
          <w:lang w:eastAsia="es-CO"/>
        </w:rPr>
        <w:t>2014: 33 NNA</w:t>
      </w: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Impacto: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Cobertura de las necesidades básicas (pañales, ropa, leche, cobijas) a través de la oficina de Bienestar Social</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Educación garantizada</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Subsidios en libros, textos y útiles escolares desde la Secretaria de Educación Municipal.</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Salud garantizada</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Acceso a una educación superior  de más fácil acceso.</w:t>
      </w: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Espacios para crear y desarrollar un proyecto de vida.</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Actividades en las Instituciones Educativas que permitan disminuir la discriminación, el matoneo o el acoso a NNA por ser víctimas</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Salidas, bibliotecas, sitios turísticos, espacios de socialización donde los niños, niñas y adolescentes,  adolescentes víctimas pueden interactuar y fortalecerse como grupo, actividad realizada desde Ludoteca ubicada en el Punto de Atención.</w:t>
      </w: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Cursos de aprendizaje en el SENA con más facilidad en su acceso o prioridad.</w:t>
      </w: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Generar espacios deportivos de aprendizaje, en diferentes áreas basadas en las habilidades de los niños, niñas y adolescentes con Secretaria de Cultura.</w:t>
      </w: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Subsidio  para  jóvenes víctimas que ingresen a la universidad, en articulación con DPS</w:t>
      </w:r>
    </w:p>
    <w:p w:rsidR="00E2705A" w:rsidRPr="00E2705A" w:rsidRDefault="00E2705A" w:rsidP="00A92D87">
      <w:pPr>
        <w:numPr>
          <w:ilvl w:val="0"/>
          <w:numId w:val="35"/>
        </w:numPr>
        <w:spacing w:after="200" w:line="240" w:lineRule="auto"/>
        <w:contextualSpacing/>
      </w:pPr>
      <w:r w:rsidRPr="00E2705A">
        <w:rPr>
          <w:rFonts w:eastAsia="Times New Roman" w:cs="Calibri"/>
          <w:color w:val="000000"/>
          <w:lang w:eastAsia="es-CO"/>
        </w:rPr>
        <w:t>Cumplimiento en las medidas de atención prioritaria en lugares como Banco Agrario, PAV  y EPS.</w:t>
      </w:r>
    </w:p>
    <w:p w:rsidR="00E2705A" w:rsidRPr="00E2705A" w:rsidRDefault="00E2705A" w:rsidP="00A92D87">
      <w:pPr>
        <w:numPr>
          <w:ilvl w:val="0"/>
          <w:numId w:val="35"/>
        </w:numPr>
        <w:spacing w:after="200" w:line="240" w:lineRule="auto"/>
        <w:contextualSpacing/>
      </w:pPr>
      <w:r w:rsidRPr="00E2705A">
        <w:rPr>
          <w:rFonts w:eastAsia="Times New Roman" w:cs="Calibri"/>
          <w:color w:val="000000"/>
          <w:lang w:eastAsia="es-CO"/>
        </w:rPr>
        <w:t>Se garantiza en articulación con la Registraduria Nacional del Estado Civil el derecho a la identificación.</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En el periodo analizado 2012- 2014 se evidencia que las edades de mayor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Vulneración de Derechos a la Protección de NNA se presentó en las comprendidas de los 0 – 5 años en el periodo comprendido en el año 2012 con un número total de víctimas atendidas de 204 menores entre las edades anteriormente relacionadas.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lastRenderedPageBreak/>
        <w:t>Tomar la información suministrada por la Unidad para la Atención y Reparación de las Victimas y la Red Nacional de Información como herramienta fundamental al momento de implementar planes y/o acciones dentro del Municipio.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Al momento de presentarse este tipo de situaciones, se recomienda de manera inminente implementar los planes de contingencia previamente establecidos por el municipio de Pasto, con la intención de menguar los efectos producidos en la población.</w:t>
      </w:r>
    </w:p>
    <w:p w:rsidR="00E2705A" w:rsidRPr="00E2705A" w:rsidRDefault="00E2705A" w:rsidP="00A92D87">
      <w:pPr>
        <w:spacing w:line="240" w:lineRule="auto"/>
        <w:jc w:val="both"/>
      </w:pP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E2705A">
        <w:rPr>
          <w:b/>
          <w:i/>
          <w:iCs/>
        </w:rPr>
        <w:t>DESCRIPCIÓN DEL INDICADOR No. 91</w:t>
      </w:r>
    </w:p>
    <w:tbl>
      <w:tblPr>
        <w:tblStyle w:val="Tabladecuadrcula2-nfasis515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Nombre del indicador: Porcentaje de niñas, niños y adolescentes víctimas de acto terrorista /Atentados/Combates/ Hostigamiento</w:t>
            </w:r>
          </w:p>
        </w:tc>
      </w:tr>
      <w:tr w:rsidR="00E2705A" w:rsidRPr="00E2705A" w:rsidTr="00000F81">
        <w:trPr>
          <w:trHeight w:val="332"/>
          <w:jc w:val="center"/>
        </w:trPr>
        <w:tc>
          <w:tcPr>
            <w:cnfStyle w:val="001000000000"/>
            <w:tcW w:w="8828" w:type="dxa"/>
          </w:tcPr>
          <w:p w:rsidR="00E2705A" w:rsidRPr="00E2705A" w:rsidRDefault="00E2705A" w:rsidP="00A92D87">
            <w:r w:rsidRPr="00E2705A">
              <w:t xml:space="preserve">Fuente Nacional: </w:t>
            </w:r>
          </w:p>
          <w:p w:rsidR="00E2705A" w:rsidRPr="00E2705A" w:rsidRDefault="00E2705A" w:rsidP="00A92D87">
            <w:r w:rsidRPr="00E2705A">
              <w:t>Otra Fuente: UNIDAD DE VICTIMAS Y RED NACIONAL DE INFORMACION</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Categoría de derechos: DERECHO A LA PROTECCION</w:t>
            </w:r>
          </w:p>
        </w:tc>
      </w:tr>
      <w:tr w:rsidR="00E2705A" w:rsidRPr="00E2705A" w:rsidTr="00000F81">
        <w:trPr>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DF63E8">
      <w:pPr>
        <w:numPr>
          <w:ilvl w:val="0"/>
          <w:numId w:val="41"/>
        </w:numPr>
        <w:spacing w:after="0" w:line="240" w:lineRule="auto"/>
        <w:ind w:left="644"/>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contextualSpacing/>
        <w:rPr>
          <w:rFonts w:eastAsia="Times New Roman" w:cs="Times New Roman"/>
          <w:b/>
          <w:lang w:eastAsia="es-CO"/>
        </w:rPr>
      </w:pPr>
    </w:p>
    <w:tbl>
      <w:tblPr>
        <w:tblStyle w:val="Tablaconcuadrcula52"/>
        <w:tblW w:w="0" w:type="auto"/>
        <w:tblInd w:w="-431" w:type="dxa"/>
        <w:tblLook w:val="04A0"/>
      </w:tblPr>
      <w:tblGrid>
        <w:gridCol w:w="2293"/>
        <w:gridCol w:w="1765"/>
        <w:gridCol w:w="1766"/>
        <w:gridCol w:w="1766"/>
        <w:gridCol w:w="1766"/>
      </w:tblGrid>
      <w:tr w:rsidR="00E2705A" w:rsidRPr="00E2705A" w:rsidTr="00000F81">
        <w:tc>
          <w:tcPr>
            <w:tcW w:w="2196" w:type="dxa"/>
          </w:tcPr>
          <w:p w:rsidR="00E2705A" w:rsidRPr="00E2705A" w:rsidRDefault="00E2705A" w:rsidP="00A92D87">
            <w:pPr>
              <w:jc w:val="center"/>
              <w:rPr>
                <w:b/>
              </w:rPr>
            </w:pPr>
            <w:r w:rsidRPr="00E2705A">
              <w:rPr>
                <w:b/>
              </w:rPr>
              <w:t>Indicador</w:t>
            </w:r>
          </w:p>
        </w:tc>
        <w:tc>
          <w:tcPr>
            <w:tcW w:w="1765" w:type="dxa"/>
          </w:tcPr>
          <w:p w:rsidR="00E2705A" w:rsidRPr="00E2705A" w:rsidRDefault="00E2705A" w:rsidP="00A92D87">
            <w:pPr>
              <w:jc w:val="center"/>
              <w:rPr>
                <w:b/>
              </w:rPr>
            </w:pPr>
            <w:r w:rsidRPr="00E2705A">
              <w:rPr>
                <w:b/>
              </w:rPr>
              <w:t>2011</w:t>
            </w:r>
          </w:p>
        </w:tc>
        <w:tc>
          <w:tcPr>
            <w:tcW w:w="1766" w:type="dxa"/>
          </w:tcPr>
          <w:p w:rsidR="00E2705A" w:rsidRPr="00E2705A" w:rsidRDefault="00E2705A" w:rsidP="00A92D87">
            <w:pPr>
              <w:jc w:val="center"/>
              <w:rPr>
                <w:b/>
              </w:rPr>
            </w:pPr>
            <w:r w:rsidRPr="00E2705A">
              <w:rPr>
                <w:b/>
              </w:rPr>
              <w:t>2012</w:t>
            </w:r>
          </w:p>
        </w:tc>
        <w:tc>
          <w:tcPr>
            <w:tcW w:w="1766" w:type="dxa"/>
          </w:tcPr>
          <w:p w:rsidR="00E2705A" w:rsidRPr="00E2705A" w:rsidRDefault="00E2705A" w:rsidP="00A92D87">
            <w:pPr>
              <w:jc w:val="center"/>
              <w:rPr>
                <w:b/>
              </w:rPr>
            </w:pPr>
            <w:r w:rsidRPr="00E2705A">
              <w:rPr>
                <w:b/>
              </w:rPr>
              <w:t>2013</w:t>
            </w:r>
          </w:p>
        </w:tc>
        <w:tc>
          <w:tcPr>
            <w:tcW w:w="1766" w:type="dxa"/>
          </w:tcPr>
          <w:p w:rsidR="00E2705A" w:rsidRPr="00E2705A" w:rsidRDefault="00E2705A" w:rsidP="00A92D87">
            <w:pPr>
              <w:jc w:val="center"/>
              <w:rPr>
                <w:b/>
              </w:rPr>
            </w:pPr>
            <w:r w:rsidRPr="00E2705A">
              <w:rPr>
                <w:b/>
              </w:rPr>
              <w:t>2014</w:t>
            </w:r>
          </w:p>
        </w:tc>
      </w:tr>
      <w:tr w:rsidR="00E2705A" w:rsidRPr="00E2705A" w:rsidTr="00000F81">
        <w:tc>
          <w:tcPr>
            <w:tcW w:w="2196" w:type="dxa"/>
          </w:tcPr>
          <w:p w:rsidR="00E2705A" w:rsidRPr="00E2705A" w:rsidRDefault="00E2705A" w:rsidP="00A92D87">
            <w:r w:rsidRPr="00E2705A">
              <w:t>Porcentaje de niñas, niños y adolescentes víctimas de acto terrorista /Atentados/Combates/ Hostigamiento</w:t>
            </w:r>
          </w:p>
        </w:tc>
        <w:tc>
          <w:tcPr>
            <w:tcW w:w="1765" w:type="dxa"/>
          </w:tcPr>
          <w:p w:rsidR="00E2705A" w:rsidRPr="00E2705A" w:rsidRDefault="00E2705A" w:rsidP="00A92D87">
            <w:pPr>
              <w:jc w:val="center"/>
            </w:pPr>
          </w:p>
        </w:tc>
        <w:tc>
          <w:tcPr>
            <w:tcW w:w="1766" w:type="dxa"/>
          </w:tcPr>
          <w:p w:rsidR="00E2705A" w:rsidRPr="00E2705A" w:rsidRDefault="00E2705A" w:rsidP="00A92D87">
            <w:pPr>
              <w:jc w:val="center"/>
            </w:pPr>
          </w:p>
          <w:p w:rsidR="00E2705A" w:rsidRPr="00E2705A" w:rsidRDefault="00E2705A" w:rsidP="00A92D87">
            <w:pPr>
              <w:jc w:val="center"/>
            </w:pPr>
          </w:p>
        </w:tc>
        <w:tc>
          <w:tcPr>
            <w:tcW w:w="1766" w:type="dxa"/>
          </w:tcPr>
          <w:p w:rsidR="00E2705A" w:rsidRPr="00E2705A" w:rsidRDefault="00E2705A" w:rsidP="00A92D87">
            <w:pPr>
              <w:jc w:val="center"/>
            </w:pPr>
          </w:p>
          <w:p w:rsidR="00E2705A" w:rsidRPr="00E2705A" w:rsidRDefault="00E2705A" w:rsidP="00A92D87">
            <w:pPr>
              <w:jc w:val="center"/>
            </w:pPr>
            <w:r w:rsidRPr="00E2705A">
              <w:t>1</w:t>
            </w:r>
          </w:p>
        </w:tc>
        <w:tc>
          <w:tcPr>
            <w:tcW w:w="1766" w:type="dxa"/>
          </w:tcPr>
          <w:p w:rsidR="00E2705A" w:rsidRPr="00E2705A" w:rsidRDefault="00E2705A" w:rsidP="00A92D87">
            <w:pPr>
              <w:jc w:val="center"/>
            </w:pPr>
          </w:p>
          <w:p w:rsidR="00E2705A" w:rsidRPr="00E2705A" w:rsidRDefault="00E2705A" w:rsidP="00A92D87">
            <w:pPr>
              <w:jc w:val="center"/>
            </w:pPr>
          </w:p>
        </w:tc>
      </w:tr>
      <w:tr w:rsidR="00E2705A" w:rsidRPr="00E2705A" w:rsidTr="00000F81">
        <w:tc>
          <w:tcPr>
            <w:tcW w:w="9259" w:type="dxa"/>
            <w:gridSpan w:val="5"/>
          </w:tcPr>
          <w:p w:rsidR="00E2705A" w:rsidRPr="00E2705A" w:rsidRDefault="00E2705A" w:rsidP="00A92D87">
            <w:pPr>
              <w:rPr>
                <w:b/>
              </w:rPr>
            </w:pPr>
            <w:r w:rsidRPr="00E2705A">
              <w:rPr>
                <w:b/>
              </w:rPr>
              <w:t>Fuente y año:  UNIDAD DE VICTIMAS</w:t>
            </w:r>
          </w:p>
        </w:tc>
      </w:tr>
    </w:tbl>
    <w:p w:rsidR="00E2705A" w:rsidRPr="00E2705A" w:rsidRDefault="00E2705A" w:rsidP="00A92D87">
      <w:pPr>
        <w:spacing w:line="240" w:lineRule="auto"/>
        <w:rPr>
          <w:b/>
        </w:rPr>
      </w:pPr>
    </w:p>
    <w:p w:rsidR="00E2705A" w:rsidRPr="00E2705A" w:rsidRDefault="00E2705A" w:rsidP="00A92D87">
      <w:pPr>
        <w:spacing w:line="240" w:lineRule="auto"/>
        <w:rPr>
          <w:b/>
        </w:rPr>
      </w:pPr>
      <w:r w:rsidRPr="00E2705A">
        <w:rPr>
          <w:b/>
        </w:rPr>
        <w:t xml:space="preserve">Gráfico: </w:t>
      </w:r>
    </w:p>
    <w:tbl>
      <w:tblPr>
        <w:tblW w:w="7561" w:type="dxa"/>
        <w:tblInd w:w="55" w:type="dxa"/>
        <w:tblCellMar>
          <w:left w:w="70" w:type="dxa"/>
          <w:right w:w="70" w:type="dxa"/>
        </w:tblCellMar>
        <w:tblLook w:val="04A0"/>
      </w:tblPr>
      <w:tblGrid>
        <w:gridCol w:w="1045"/>
        <w:gridCol w:w="715"/>
        <w:gridCol w:w="1485"/>
        <w:gridCol w:w="1717"/>
        <w:gridCol w:w="1399"/>
        <w:gridCol w:w="1200"/>
      </w:tblGrid>
      <w:tr w:rsidR="00E2705A" w:rsidRPr="00E2705A"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RESULTADO</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488"/>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11-17</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23</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4,35</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566"/>
        </w:trPr>
        <w:tc>
          <w:tcPr>
            <w:tcW w:w="1045" w:type="dxa"/>
            <w:vMerge w:val="restart"/>
            <w:tcBorders>
              <w:top w:val="nil"/>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w:t>
            </w:r>
          </w:p>
        </w:tc>
        <w:tc>
          <w:tcPr>
            <w:tcW w:w="171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67</w:t>
            </w:r>
          </w:p>
        </w:tc>
        <w:tc>
          <w:tcPr>
            <w:tcW w:w="139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2,99</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1107"/>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11-17</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54</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1,85</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jc w:val="right"/>
              <w:rPr>
                <w:rFonts w:eastAsia="Times New Roman" w:cs="Times New Roman"/>
                <w:color w:val="000000"/>
                <w:lang w:eastAsia="es-CO"/>
              </w:rPr>
            </w:pPr>
            <w:r w:rsidRPr="00E2705A">
              <w:rPr>
                <w:rFonts w:eastAsia="Times New Roman" w:cs="Times New Roman"/>
                <w:color w:val="000000"/>
                <w:lang w:eastAsia="es-CO"/>
              </w:rPr>
              <w:t>2,42</w:t>
            </w:r>
          </w:p>
        </w:tc>
      </w:tr>
    </w:tbl>
    <w:p w:rsidR="00E2705A" w:rsidRPr="00E2705A" w:rsidRDefault="00E2705A" w:rsidP="00A92D87">
      <w:pPr>
        <w:spacing w:line="240" w:lineRule="auto"/>
        <w:jc w:val="both"/>
        <w:rPr>
          <w:b/>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Situación detectada: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Se evidencia que en los años 2012 y 2014 no se presentaron víctimas registradas perteneciente al grupo de NNA,  por lo que se toma como referencia el año 2013 en el que se atendió a 3 NNA victimas de acto terrorista.</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contextualSpacing/>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Los datos aportados fueron suministrados por la Unidad para la Atención y Reparación Integral a las Victimas y la Red Nacional de Información.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Recursos (físicos, humanos y financieros) disponibles y utilizados en la intervención del problema o situación detectada (Aquí se indica si este indicador hace parte del plan territorial de salud y cuál fue el plan de inversiones).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E2705A" w:rsidRPr="00E2705A" w:rsidRDefault="00E2705A" w:rsidP="00A92D87">
      <w:pPr>
        <w:spacing w:after="0" w:line="240" w:lineRule="auto"/>
        <w:contextualSpacing/>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Programa: Articulo 74; Programa Atención a Víctimas de la Violencia del Conflicto Armado del Plan de Desarrollo Municipal de Pasto.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Proyecto: Atención y Orientación a Población Victima de la Violencia del Conflicto Armado- Municipio de Pasto radicado 20145200110163 de diciembre de 2014.</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lastRenderedPageBreak/>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1.</w:t>
      </w:r>
      <w:r w:rsidRPr="00E2705A">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2.</w:t>
      </w:r>
      <w:r w:rsidRPr="00E2705A">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Productos: </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 atención humanitaria a Victimas NNA del conflicto armado de Colombia se realiza por demanda y de acuerdo a la dinámica del conflicto armado que existe en el momento.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line="240" w:lineRule="auto"/>
        <w:jc w:val="both"/>
      </w:pPr>
      <w:r w:rsidRPr="00E2705A">
        <w:t>Se atendieron a la totalidad de población de NNA víctimas del desplazamiento forzado causado por el conflicto armado que requirieron atención y orientación dentro de la etapa inmediata de atención en las siguientes proporciones:</w:t>
      </w:r>
    </w:p>
    <w:p w:rsidR="00E2705A" w:rsidRPr="00E2705A" w:rsidRDefault="00E2705A" w:rsidP="00A92D87">
      <w:pPr>
        <w:numPr>
          <w:ilvl w:val="0"/>
          <w:numId w:val="34"/>
        </w:numPr>
        <w:spacing w:after="0" w:line="240" w:lineRule="auto"/>
        <w:contextualSpacing/>
        <w:jc w:val="both"/>
        <w:rPr>
          <w:rFonts w:eastAsia="Times New Roman" w:cs="Times New Roman"/>
          <w:lang w:eastAsia="es-CO"/>
        </w:rPr>
      </w:pPr>
      <w:r w:rsidRPr="00E2705A">
        <w:rPr>
          <w:rFonts w:eastAsia="Times New Roman" w:cs="Times New Roman"/>
          <w:lang w:eastAsia="es-CO"/>
        </w:rPr>
        <w:t>2012: 0 NNA</w:t>
      </w:r>
    </w:p>
    <w:p w:rsidR="00E2705A" w:rsidRPr="00E2705A" w:rsidRDefault="00E2705A" w:rsidP="00A92D87">
      <w:pPr>
        <w:numPr>
          <w:ilvl w:val="0"/>
          <w:numId w:val="34"/>
        </w:numPr>
        <w:spacing w:after="0" w:line="240" w:lineRule="auto"/>
        <w:contextualSpacing/>
        <w:jc w:val="both"/>
        <w:rPr>
          <w:rFonts w:eastAsia="Times New Roman" w:cs="Times New Roman"/>
          <w:lang w:eastAsia="es-CO"/>
        </w:rPr>
      </w:pPr>
      <w:r w:rsidRPr="00E2705A">
        <w:rPr>
          <w:rFonts w:eastAsia="Times New Roman" w:cs="Times New Roman"/>
          <w:lang w:eastAsia="es-CO"/>
        </w:rPr>
        <w:t>2013: 3 NNA</w:t>
      </w:r>
    </w:p>
    <w:p w:rsidR="00E2705A" w:rsidRPr="00E2705A" w:rsidRDefault="00E2705A" w:rsidP="00A92D87">
      <w:pPr>
        <w:numPr>
          <w:ilvl w:val="0"/>
          <w:numId w:val="34"/>
        </w:numPr>
        <w:spacing w:after="0" w:line="240" w:lineRule="auto"/>
        <w:contextualSpacing/>
        <w:jc w:val="both"/>
        <w:rPr>
          <w:rFonts w:eastAsia="Times New Roman" w:cs="Times New Roman"/>
          <w:lang w:eastAsia="es-CO"/>
        </w:rPr>
      </w:pPr>
      <w:r w:rsidRPr="00E2705A">
        <w:rPr>
          <w:rFonts w:eastAsia="Times New Roman" w:cs="Times New Roman"/>
          <w:lang w:eastAsia="es-CO"/>
        </w:rPr>
        <w:t>2014: 0 NNA</w:t>
      </w: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Impacto: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 xml:space="preserve">Acceso a espacios de formación del protocolo de participación de niños niñas y adolescentes   encaminada a la sostenibilidad que pueda tener el protocolo de </w:t>
      </w:r>
      <w:r w:rsidRPr="00E2705A">
        <w:rPr>
          <w:rFonts w:eastAsia="Times New Roman" w:cs="Calibri"/>
          <w:color w:val="000000"/>
          <w:lang w:eastAsia="es-CO"/>
        </w:rPr>
        <w:lastRenderedPageBreak/>
        <w:t>participación en torno a la articulación con actividades o proyectos existentes en el Municipio de Pasto</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Cobertura de las necesidades básicas (pañales, ropa, leche, cobijas) a través de la oficina de Bienestar Social</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Educación garantizada</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Subsidios en libros, textos y útiles escolares desde la Secretaria de Educación Municipal.</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Salud garantizada</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Acceso a una educación superior  de más fácil acceso.</w:t>
      </w: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Espacios para crear y desarrollar un proyecto de vida.</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Actividades en las Instituciones Educativas que permitan disminuir la discriminación, el matoneo o el acoso a NNA por ser víctimas</w:t>
      </w:r>
    </w:p>
    <w:p w:rsidR="00E2705A" w:rsidRPr="00E2705A" w:rsidRDefault="00E2705A" w:rsidP="00A92D87">
      <w:pPr>
        <w:numPr>
          <w:ilvl w:val="0"/>
          <w:numId w:val="35"/>
        </w:numPr>
        <w:spacing w:after="0" w:line="240" w:lineRule="auto"/>
        <w:contextualSpacing/>
        <w:rPr>
          <w:rFonts w:eastAsia="Times New Roman" w:cs="Calibri"/>
          <w:color w:val="000000"/>
          <w:lang w:eastAsia="es-CO"/>
        </w:rPr>
      </w:pPr>
      <w:r w:rsidRPr="00E2705A">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Cursos de aprendizaje en el SENA con más facilidad en su acceso o prioridad.</w:t>
      </w: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Generar espacios deportivos de aprendizaje, en diferentes áreas basadas en las habilidades de los niños, niñas y adolescentes con Secretaria de Cultura.</w:t>
      </w:r>
    </w:p>
    <w:p w:rsidR="00E2705A" w:rsidRPr="00E2705A" w:rsidRDefault="00E2705A" w:rsidP="00A92D87">
      <w:pPr>
        <w:numPr>
          <w:ilvl w:val="0"/>
          <w:numId w:val="35"/>
        </w:numPr>
        <w:spacing w:after="200" w:line="240" w:lineRule="auto"/>
        <w:contextualSpacing/>
        <w:rPr>
          <w:rFonts w:eastAsia="Times New Roman" w:cs="Calibri"/>
          <w:color w:val="000000"/>
          <w:lang w:eastAsia="es-CO"/>
        </w:rPr>
      </w:pPr>
      <w:r w:rsidRPr="00E2705A">
        <w:rPr>
          <w:rFonts w:eastAsia="Times New Roman" w:cs="Calibri"/>
          <w:color w:val="000000"/>
          <w:lang w:eastAsia="es-CO"/>
        </w:rPr>
        <w:t>Subsidio  para  jóvenes víctimas que ingresen a la universidad, en articulación con DPS</w:t>
      </w:r>
    </w:p>
    <w:p w:rsidR="00E2705A" w:rsidRPr="00E2705A" w:rsidRDefault="00E2705A" w:rsidP="00A92D87">
      <w:pPr>
        <w:numPr>
          <w:ilvl w:val="0"/>
          <w:numId w:val="35"/>
        </w:numPr>
        <w:spacing w:after="200" w:line="240" w:lineRule="auto"/>
        <w:contextualSpacing/>
      </w:pPr>
      <w:r w:rsidRPr="00E2705A">
        <w:rPr>
          <w:rFonts w:eastAsia="Times New Roman" w:cs="Calibri"/>
          <w:color w:val="000000"/>
          <w:lang w:eastAsia="es-CO"/>
        </w:rPr>
        <w:t>Cumplimiento en las medidas de atención prioritaria en lugares como Banco Agrario PAV y EPS.</w:t>
      </w:r>
    </w:p>
    <w:p w:rsidR="00E2705A" w:rsidRPr="00E2705A" w:rsidRDefault="00E2705A" w:rsidP="00A92D87">
      <w:pPr>
        <w:numPr>
          <w:ilvl w:val="0"/>
          <w:numId w:val="35"/>
        </w:numPr>
        <w:spacing w:after="200" w:line="240" w:lineRule="auto"/>
        <w:contextualSpacing/>
        <w:rPr>
          <w:rFonts w:eastAsia="Times New Roman" w:cs="Times New Roman"/>
          <w:lang w:eastAsia="es-CO"/>
        </w:rPr>
      </w:pPr>
      <w:r w:rsidRPr="00E2705A">
        <w:rPr>
          <w:rFonts w:eastAsia="Times New Roman" w:cs="Calibri"/>
          <w:color w:val="000000"/>
          <w:lang w:eastAsia="es-CO"/>
        </w:rPr>
        <w:t>Se garantiza en articulación con la Registraduria Nacional del Estado Civil, el acceso al derecho a la identificación.</w:t>
      </w:r>
    </w:p>
    <w:p w:rsidR="00E2705A" w:rsidRPr="00E2705A" w:rsidRDefault="00E2705A" w:rsidP="00A92D87">
      <w:pPr>
        <w:spacing w:after="200" w:line="240" w:lineRule="auto"/>
        <w:contextualSpacing/>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En el periodo analizado 2012- 2014 se evidencia que las edades de mayor vulneración de Derechos a la Protección de NNA se presentó en las comprendidas de los 0 – 5 años en el periodo comprendido en el año 2013 con un número total de víctimas atendidas de 3 menores entre las edades anteriormente relacionadas.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E2705A">
        <w:rPr>
          <w:b/>
          <w:i/>
          <w:iCs/>
        </w:rPr>
        <w:lastRenderedPageBreak/>
        <w:t>DESCRIPCIÓN DEL INDICADOR No. 92</w:t>
      </w:r>
    </w:p>
    <w:tbl>
      <w:tblPr>
        <w:tblStyle w:val="Tabladecuadrcula2-nfasis515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E2705A" w:rsidRPr="00E2705A" w:rsidTr="00000F81">
        <w:trPr>
          <w:cnfStyle w:val="100000000000"/>
          <w:trHeight w:val="579"/>
          <w:jc w:val="center"/>
        </w:trPr>
        <w:tc>
          <w:tcPr>
            <w:cnfStyle w:val="001000000000"/>
            <w:tcW w:w="8828" w:type="dxa"/>
            <w:tcBorders>
              <w:top w:val="none" w:sz="0" w:space="0" w:color="auto"/>
              <w:bottom w:val="none" w:sz="0" w:space="0" w:color="auto"/>
            </w:tcBorders>
          </w:tcPr>
          <w:p w:rsidR="00E2705A" w:rsidRPr="00E2705A" w:rsidRDefault="00E2705A" w:rsidP="00A92D87">
            <w:r w:rsidRPr="00E2705A">
              <w:t>MUNICIPIO:  PASTO</w:t>
            </w:r>
          </w:p>
        </w:tc>
      </w:tr>
      <w:tr w:rsidR="00E2705A" w:rsidRPr="00E2705A" w:rsidTr="00000F81">
        <w:trPr>
          <w:cnfStyle w:val="000000100000"/>
          <w:trHeight w:val="579"/>
          <w:jc w:val="center"/>
        </w:trPr>
        <w:tc>
          <w:tcPr>
            <w:cnfStyle w:val="001000000000"/>
            <w:tcW w:w="8828" w:type="dxa"/>
          </w:tcPr>
          <w:p w:rsidR="00E2705A" w:rsidRPr="00E2705A" w:rsidRDefault="00E2705A" w:rsidP="00A92D87">
            <w:r w:rsidRPr="00E2705A">
              <w:t>Nombre del indicador: Porcentaje de niñas, niños y adolescentes víctimas de amenazas.</w:t>
            </w:r>
          </w:p>
        </w:tc>
      </w:tr>
      <w:tr w:rsidR="00E2705A" w:rsidRPr="00E2705A" w:rsidTr="00000F81">
        <w:trPr>
          <w:trHeight w:val="332"/>
          <w:jc w:val="center"/>
        </w:trPr>
        <w:tc>
          <w:tcPr>
            <w:cnfStyle w:val="001000000000"/>
            <w:tcW w:w="8828" w:type="dxa"/>
          </w:tcPr>
          <w:p w:rsidR="00E2705A" w:rsidRPr="00E2705A" w:rsidRDefault="00E2705A" w:rsidP="00A92D87">
            <w:r w:rsidRPr="00E2705A">
              <w:t xml:space="preserve">Fuente Nacional: </w:t>
            </w:r>
          </w:p>
          <w:p w:rsidR="00E2705A" w:rsidRPr="00E2705A" w:rsidRDefault="00E2705A" w:rsidP="00A92D87">
            <w:r w:rsidRPr="00E2705A">
              <w:t>Otra Fuente: UNIDAD DE VICTIMAS Y RED NACIONAL DE INFORMACION</w:t>
            </w:r>
          </w:p>
        </w:tc>
      </w:tr>
      <w:tr w:rsidR="00E2705A" w:rsidRPr="00E2705A" w:rsidTr="00000F81">
        <w:trPr>
          <w:cnfStyle w:val="000000100000"/>
          <w:trHeight w:val="458"/>
          <w:jc w:val="center"/>
        </w:trPr>
        <w:tc>
          <w:tcPr>
            <w:cnfStyle w:val="001000000000"/>
            <w:tcW w:w="8828" w:type="dxa"/>
          </w:tcPr>
          <w:p w:rsidR="00E2705A" w:rsidRPr="00E2705A" w:rsidRDefault="00E2705A" w:rsidP="00A92D87">
            <w:r w:rsidRPr="00E2705A">
              <w:t>Categoría de derechos: DERECHO A LA PROTECCION</w:t>
            </w:r>
          </w:p>
        </w:tc>
      </w:tr>
      <w:tr w:rsidR="00E2705A" w:rsidRPr="00E2705A" w:rsidTr="00000F81">
        <w:trPr>
          <w:trHeight w:val="458"/>
          <w:jc w:val="center"/>
        </w:trPr>
        <w:tc>
          <w:tcPr>
            <w:cnfStyle w:val="001000000000"/>
            <w:tcW w:w="8828" w:type="dxa"/>
          </w:tcPr>
          <w:p w:rsidR="00E2705A" w:rsidRPr="00E2705A" w:rsidRDefault="00E2705A" w:rsidP="00A92D87">
            <w:r w:rsidRPr="00E2705A">
              <w:t>Metodología: Análisis de la información a partir de la cadena de resultados</w:t>
            </w:r>
          </w:p>
        </w:tc>
      </w:tr>
    </w:tbl>
    <w:p w:rsidR="00E2705A" w:rsidRPr="00E2705A" w:rsidRDefault="00E2705A" w:rsidP="00DF63E8">
      <w:pPr>
        <w:numPr>
          <w:ilvl w:val="0"/>
          <w:numId w:val="41"/>
        </w:numPr>
        <w:spacing w:after="0" w:line="240" w:lineRule="auto"/>
        <w:ind w:left="644"/>
        <w:contextualSpacing/>
        <w:rPr>
          <w:rFonts w:eastAsia="Times New Roman" w:cs="Times New Roman"/>
          <w:b/>
          <w:lang w:eastAsia="es-CO"/>
        </w:rPr>
      </w:pPr>
      <w:r w:rsidRPr="00E2705A">
        <w:rPr>
          <w:rFonts w:eastAsia="Times New Roman" w:cs="Times New Roman"/>
          <w:b/>
          <w:lang w:eastAsia="es-CO"/>
        </w:rPr>
        <w:t>Información estadística</w:t>
      </w:r>
    </w:p>
    <w:p w:rsidR="00E2705A" w:rsidRPr="00E2705A" w:rsidRDefault="00E2705A" w:rsidP="00A92D87">
      <w:pPr>
        <w:spacing w:after="0" w:line="240" w:lineRule="auto"/>
        <w:contextualSpacing/>
        <w:rPr>
          <w:rFonts w:eastAsia="Times New Roman" w:cs="Times New Roman"/>
          <w:b/>
          <w:lang w:eastAsia="es-CO"/>
        </w:rPr>
      </w:pPr>
    </w:p>
    <w:tbl>
      <w:tblPr>
        <w:tblStyle w:val="Tablaconcuadrcula52"/>
        <w:tblW w:w="0" w:type="auto"/>
        <w:tblInd w:w="-431" w:type="dxa"/>
        <w:tblLook w:val="04A0"/>
      </w:tblPr>
      <w:tblGrid>
        <w:gridCol w:w="2196"/>
        <w:gridCol w:w="1765"/>
        <w:gridCol w:w="1766"/>
        <w:gridCol w:w="1766"/>
        <w:gridCol w:w="1766"/>
      </w:tblGrid>
      <w:tr w:rsidR="00E2705A" w:rsidRPr="00E2705A" w:rsidTr="00000F81">
        <w:tc>
          <w:tcPr>
            <w:tcW w:w="2196" w:type="dxa"/>
          </w:tcPr>
          <w:p w:rsidR="00E2705A" w:rsidRPr="00E2705A" w:rsidRDefault="00E2705A" w:rsidP="00A92D87">
            <w:pPr>
              <w:jc w:val="center"/>
              <w:rPr>
                <w:b/>
              </w:rPr>
            </w:pPr>
            <w:r w:rsidRPr="00E2705A">
              <w:rPr>
                <w:b/>
              </w:rPr>
              <w:t>Indicador</w:t>
            </w:r>
          </w:p>
        </w:tc>
        <w:tc>
          <w:tcPr>
            <w:tcW w:w="1765" w:type="dxa"/>
          </w:tcPr>
          <w:p w:rsidR="00E2705A" w:rsidRPr="00E2705A" w:rsidRDefault="00E2705A" w:rsidP="00A92D87">
            <w:pPr>
              <w:jc w:val="center"/>
              <w:rPr>
                <w:b/>
              </w:rPr>
            </w:pPr>
            <w:r w:rsidRPr="00E2705A">
              <w:rPr>
                <w:b/>
              </w:rPr>
              <w:t>2011</w:t>
            </w:r>
          </w:p>
        </w:tc>
        <w:tc>
          <w:tcPr>
            <w:tcW w:w="1766" w:type="dxa"/>
          </w:tcPr>
          <w:p w:rsidR="00E2705A" w:rsidRPr="00E2705A" w:rsidRDefault="00E2705A" w:rsidP="00A92D87">
            <w:pPr>
              <w:jc w:val="center"/>
              <w:rPr>
                <w:b/>
              </w:rPr>
            </w:pPr>
            <w:r w:rsidRPr="00E2705A">
              <w:rPr>
                <w:b/>
              </w:rPr>
              <w:t>2012</w:t>
            </w:r>
          </w:p>
        </w:tc>
        <w:tc>
          <w:tcPr>
            <w:tcW w:w="1766" w:type="dxa"/>
          </w:tcPr>
          <w:p w:rsidR="00E2705A" w:rsidRPr="00E2705A" w:rsidRDefault="00E2705A" w:rsidP="00A92D87">
            <w:pPr>
              <w:jc w:val="center"/>
              <w:rPr>
                <w:b/>
              </w:rPr>
            </w:pPr>
            <w:r w:rsidRPr="00E2705A">
              <w:rPr>
                <w:b/>
              </w:rPr>
              <w:t>2013</w:t>
            </w:r>
          </w:p>
        </w:tc>
        <w:tc>
          <w:tcPr>
            <w:tcW w:w="1766" w:type="dxa"/>
          </w:tcPr>
          <w:p w:rsidR="00E2705A" w:rsidRPr="00E2705A" w:rsidRDefault="00E2705A" w:rsidP="00A92D87">
            <w:pPr>
              <w:jc w:val="center"/>
              <w:rPr>
                <w:b/>
              </w:rPr>
            </w:pPr>
            <w:r w:rsidRPr="00E2705A">
              <w:rPr>
                <w:b/>
              </w:rPr>
              <w:t>2014</w:t>
            </w:r>
          </w:p>
        </w:tc>
      </w:tr>
      <w:tr w:rsidR="00E2705A" w:rsidRPr="00E2705A" w:rsidTr="00000F81">
        <w:tc>
          <w:tcPr>
            <w:tcW w:w="2196" w:type="dxa"/>
          </w:tcPr>
          <w:p w:rsidR="00E2705A" w:rsidRPr="00E2705A" w:rsidRDefault="00E2705A" w:rsidP="00A92D87">
            <w:r w:rsidRPr="00E2705A">
              <w:t>Porcentaje de niñas, niños y adolescentes víctimas de amenazas</w:t>
            </w:r>
          </w:p>
        </w:tc>
        <w:tc>
          <w:tcPr>
            <w:tcW w:w="1765" w:type="dxa"/>
          </w:tcPr>
          <w:p w:rsidR="00E2705A" w:rsidRPr="00E2705A" w:rsidRDefault="00E2705A" w:rsidP="00A92D87">
            <w:pPr>
              <w:jc w:val="center"/>
            </w:pPr>
          </w:p>
        </w:tc>
        <w:tc>
          <w:tcPr>
            <w:tcW w:w="1766" w:type="dxa"/>
          </w:tcPr>
          <w:p w:rsidR="00E2705A" w:rsidRPr="00E2705A" w:rsidRDefault="00E2705A" w:rsidP="00A92D87">
            <w:pPr>
              <w:jc w:val="center"/>
            </w:pPr>
          </w:p>
          <w:tbl>
            <w:tblPr>
              <w:tblW w:w="1200" w:type="dxa"/>
              <w:tblCellMar>
                <w:left w:w="70" w:type="dxa"/>
                <w:right w:w="70" w:type="dxa"/>
              </w:tblCellMar>
              <w:tblLook w:val="04A0"/>
            </w:tblPr>
            <w:tblGrid>
              <w:gridCol w:w="1200"/>
            </w:tblGrid>
            <w:tr w:rsidR="00E2705A" w:rsidRPr="00E2705A"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3,75</w:t>
                  </w:r>
                </w:p>
              </w:tc>
            </w:tr>
            <w:tr w:rsidR="00E2705A" w:rsidRPr="00E2705A" w:rsidTr="00000F81">
              <w:trPr>
                <w:trHeight w:val="315"/>
              </w:trPr>
              <w:tc>
                <w:tcPr>
                  <w:tcW w:w="1200" w:type="dxa"/>
                  <w:tcBorders>
                    <w:top w:val="nil"/>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19,51</w:t>
                  </w:r>
                </w:p>
              </w:tc>
            </w:tr>
            <w:tr w:rsidR="00E2705A" w:rsidRPr="00E2705A" w:rsidTr="00000F81">
              <w:trPr>
                <w:trHeight w:val="315"/>
              </w:trPr>
              <w:tc>
                <w:tcPr>
                  <w:tcW w:w="1200" w:type="dxa"/>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15,25</w:t>
                  </w:r>
                </w:p>
              </w:tc>
            </w:tr>
          </w:tbl>
          <w:p w:rsidR="00E2705A" w:rsidRPr="00E2705A" w:rsidRDefault="00E2705A" w:rsidP="00A92D87">
            <w:pPr>
              <w:jc w:val="center"/>
            </w:pPr>
          </w:p>
        </w:tc>
        <w:tc>
          <w:tcPr>
            <w:tcW w:w="1766" w:type="dxa"/>
          </w:tcPr>
          <w:p w:rsidR="00E2705A" w:rsidRPr="00E2705A" w:rsidRDefault="00E2705A" w:rsidP="00A92D87">
            <w:pPr>
              <w:jc w:val="center"/>
            </w:pPr>
          </w:p>
          <w:tbl>
            <w:tblPr>
              <w:tblW w:w="1200" w:type="dxa"/>
              <w:tblCellMar>
                <w:left w:w="70" w:type="dxa"/>
                <w:right w:w="70" w:type="dxa"/>
              </w:tblCellMar>
              <w:tblLook w:val="04A0"/>
            </w:tblPr>
            <w:tblGrid>
              <w:gridCol w:w="1200"/>
            </w:tblGrid>
            <w:tr w:rsidR="00E2705A" w:rsidRPr="00E2705A"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8,96</w:t>
                  </w:r>
                </w:p>
              </w:tc>
            </w:tr>
            <w:tr w:rsidR="00E2705A" w:rsidRPr="00E2705A" w:rsidTr="00000F81">
              <w:trPr>
                <w:trHeight w:val="315"/>
              </w:trPr>
              <w:tc>
                <w:tcPr>
                  <w:tcW w:w="1200" w:type="dxa"/>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17,5</w:t>
                  </w:r>
                </w:p>
              </w:tc>
            </w:tr>
            <w:tr w:rsidR="00E2705A" w:rsidRPr="00E2705A" w:rsidTr="00000F81">
              <w:trPr>
                <w:trHeight w:val="315"/>
              </w:trPr>
              <w:tc>
                <w:tcPr>
                  <w:tcW w:w="1200" w:type="dxa"/>
                  <w:tcBorders>
                    <w:top w:val="nil"/>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25,93</w:t>
                  </w:r>
                </w:p>
              </w:tc>
            </w:tr>
          </w:tbl>
          <w:p w:rsidR="00E2705A" w:rsidRPr="00E2705A" w:rsidRDefault="00E2705A" w:rsidP="00A92D87">
            <w:pPr>
              <w:jc w:val="center"/>
            </w:pPr>
          </w:p>
        </w:tc>
        <w:tc>
          <w:tcPr>
            <w:tcW w:w="1766" w:type="dxa"/>
          </w:tcPr>
          <w:p w:rsidR="00E2705A" w:rsidRPr="00E2705A" w:rsidRDefault="00E2705A" w:rsidP="00A92D87">
            <w:pPr>
              <w:jc w:val="center"/>
            </w:pPr>
          </w:p>
          <w:tbl>
            <w:tblPr>
              <w:tblW w:w="1200" w:type="dxa"/>
              <w:tblCellMar>
                <w:left w:w="70" w:type="dxa"/>
                <w:right w:w="70" w:type="dxa"/>
              </w:tblCellMar>
              <w:tblLook w:val="04A0"/>
            </w:tblPr>
            <w:tblGrid>
              <w:gridCol w:w="1200"/>
            </w:tblGrid>
            <w:tr w:rsidR="00E2705A" w:rsidRPr="00E2705A"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23,08</w:t>
                  </w:r>
                </w:p>
              </w:tc>
            </w:tr>
            <w:tr w:rsidR="00E2705A" w:rsidRPr="00E2705A" w:rsidTr="00000F81">
              <w:trPr>
                <w:trHeight w:val="315"/>
              </w:trPr>
              <w:tc>
                <w:tcPr>
                  <w:tcW w:w="1200" w:type="dxa"/>
                  <w:tcBorders>
                    <w:top w:val="nil"/>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19,44</w:t>
                  </w:r>
                </w:p>
              </w:tc>
            </w:tr>
            <w:tr w:rsidR="00E2705A" w:rsidRPr="00E2705A" w:rsidTr="00000F81">
              <w:trPr>
                <w:trHeight w:val="315"/>
              </w:trPr>
              <w:tc>
                <w:tcPr>
                  <w:tcW w:w="1200" w:type="dxa"/>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20</w:t>
                  </w:r>
                </w:p>
              </w:tc>
            </w:tr>
          </w:tbl>
          <w:p w:rsidR="00E2705A" w:rsidRPr="00E2705A" w:rsidRDefault="00E2705A" w:rsidP="00A92D87">
            <w:pPr>
              <w:jc w:val="center"/>
            </w:pPr>
          </w:p>
        </w:tc>
      </w:tr>
      <w:tr w:rsidR="00E2705A" w:rsidRPr="00E2705A" w:rsidTr="00000F81">
        <w:tc>
          <w:tcPr>
            <w:tcW w:w="9259" w:type="dxa"/>
            <w:gridSpan w:val="5"/>
          </w:tcPr>
          <w:p w:rsidR="00E2705A" w:rsidRPr="00E2705A" w:rsidRDefault="00E2705A" w:rsidP="00A92D87">
            <w:pPr>
              <w:rPr>
                <w:b/>
              </w:rPr>
            </w:pPr>
            <w:r w:rsidRPr="00E2705A">
              <w:rPr>
                <w:b/>
              </w:rPr>
              <w:t>Fuente y año:  UNIDAD DE VICTIMAS</w:t>
            </w:r>
          </w:p>
        </w:tc>
      </w:tr>
    </w:tbl>
    <w:p w:rsidR="00E2705A" w:rsidRPr="00E2705A" w:rsidRDefault="00E2705A" w:rsidP="00A92D87">
      <w:pPr>
        <w:spacing w:line="240" w:lineRule="auto"/>
        <w:rPr>
          <w:b/>
        </w:rPr>
      </w:pPr>
    </w:p>
    <w:p w:rsidR="00E2705A" w:rsidRPr="00E2705A" w:rsidRDefault="00E2705A" w:rsidP="00A92D87">
      <w:pPr>
        <w:spacing w:line="240" w:lineRule="auto"/>
        <w:rPr>
          <w:b/>
        </w:rPr>
      </w:pPr>
      <w:r w:rsidRPr="00E2705A">
        <w:rPr>
          <w:b/>
        </w:rPr>
        <w:t xml:space="preserve">Gráfico: </w:t>
      </w:r>
    </w:p>
    <w:tbl>
      <w:tblPr>
        <w:tblW w:w="7561" w:type="dxa"/>
        <w:tblInd w:w="55" w:type="dxa"/>
        <w:tblCellMar>
          <w:left w:w="70" w:type="dxa"/>
          <w:right w:w="70" w:type="dxa"/>
        </w:tblCellMar>
        <w:tblLook w:val="04A0"/>
      </w:tblPr>
      <w:tblGrid>
        <w:gridCol w:w="1045"/>
        <w:gridCol w:w="715"/>
        <w:gridCol w:w="1485"/>
        <w:gridCol w:w="1717"/>
        <w:gridCol w:w="1399"/>
        <w:gridCol w:w="1200"/>
      </w:tblGrid>
      <w:tr w:rsidR="00E2705A" w:rsidRPr="00E2705A"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E2705A" w:rsidRPr="00E2705A" w:rsidRDefault="00E2705A" w:rsidP="00A92D87">
            <w:pPr>
              <w:spacing w:after="0" w:line="240" w:lineRule="auto"/>
              <w:rPr>
                <w:rFonts w:eastAsia="Times New Roman" w:cs="Arial"/>
                <w:b/>
                <w:bCs/>
                <w:color w:val="000000"/>
                <w:lang w:eastAsia="es-CO"/>
              </w:rPr>
            </w:pPr>
            <w:r w:rsidRPr="00E2705A">
              <w:rPr>
                <w:rFonts w:eastAsia="Times New Roman" w:cs="Arial"/>
                <w:b/>
                <w:bCs/>
                <w:color w:val="000000"/>
                <w:lang w:eastAsia="es-CO"/>
              </w:rPr>
              <w:t>RESULTADO</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20</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33</w:t>
            </w:r>
          </w:p>
        </w:tc>
        <w:tc>
          <w:tcPr>
            <w:tcW w:w="139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3,03</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23</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4,35</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2011</w:t>
            </w:r>
          </w:p>
        </w:tc>
        <w:tc>
          <w:tcPr>
            <w:tcW w:w="71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w:t>
            </w:r>
          </w:p>
        </w:tc>
        <w:tc>
          <w:tcPr>
            <w:tcW w:w="171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65</w:t>
            </w:r>
          </w:p>
        </w:tc>
        <w:tc>
          <w:tcPr>
            <w:tcW w:w="139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3,08</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49</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2,04</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w:t>
            </w:r>
          </w:p>
        </w:tc>
        <w:tc>
          <w:tcPr>
            <w:tcW w:w="171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54</w:t>
            </w:r>
          </w:p>
        </w:tc>
        <w:tc>
          <w:tcPr>
            <w:tcW w:w="139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9,26</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2012</w:t>
            </w: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80</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3,75</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16</w:t>
            </w:r>
          </w:p>
        </w:tc>
        <w:tc>
          <w:tcPr>
            <w:tcW w:w="171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82</w:t>
            </w:r>
          </w:p>
        </w:tc>
        <w:tc>
          <w:tcPr>
            <w:tcW w:w="139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19,51</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59</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15,25</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w:t>
            </w:r>
          </w:p>
        </w:tc>
        <w:tc>
          <w:tcPr>
            <w:tcW w:w="171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67</w:t>
            </w:r>
          </w:p>
        </w:tc>
        <w:tc>
          <w:tcPr>
            <w:tcW w:w="139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8,96</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jc w:val="right"/>
              <w:rPr>
                <w:rFonts w:eastAsia="Times New Roman" w:cs="Times New Roman"/>
                <w:color w:val="000000"/>
                <w:lang w:eastAsia="es-CO"/>
              </w:rPr>
            </w:pPr>
            <w:r w:rsidRPr="00E2705A">
              <w:rPr>
                <w:rFonts w:eastAsia="Times New Roman" w:cs="Times New Roman"/>
                <w:color w:val="000000"/>
                <w:lang w:eastAsia="es-CO"/>
              </w:rPr>
              <w:t>17,0466667</w:t>
            </w: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40</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17,5</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14</w:t>
            </w:r>
          </w:p>
        </w:tc>
        <w:tc>
          <w:tcPr>
            <w:tcW w:w="171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54</w:t>
            </w:r>
          </w:p>
        </w:tc>
        <w:tc>
          <w:tcPr>
            <w:tcW w:w="139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25,93</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val="restart"/>
            <w:tcBorders>
              <w:top w:val="nil"/>
              <w:left w:val="single" w:sz="8" w:space="0" w:color="E8EEF4"/>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rPr>
                <w:rFonts w:eastAsia="Times New Roman" w:cs="Arial"/>
                <w:color w:val="000000"/>
                <w:lang w:eastAsia="es-CO"/>
              </w:rPr>
            </w:pPr>
            <w:r w:rsidRPr="00E2705A">
              <w:rPr>
                <w:rFonts w:eastAsia="Times New Roman" w:cs="Arial"/>
                <w:color w:val="000000"/>
                <w:lang w:eastAsia="es-CO"/>
              </w:rPr>
              <w:t>2014</w:t>
            </w: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0-5</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9</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39</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23,08</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06-nov</w:t>
            </w:r>
          </w:p>
        </w:tc>
        <w:tc>
          <w:tcPr>
            <w:tcW w:w="1485"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w:t>
            </w:r>
          </w:p>
        </w:tc>
        <w:tc>
          <w:tcPr>
            <w:tcW w:w="1717"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36</w:t>
            </w:r>
          </w:p>
        </w:tc>
        <w:tc>
          <w:tcPr>
            <w:tcW w:w="1399" w:type="dxa"/>
            <w:tcBorders>
              <w:top w:val="nil"/>
              <w:left w:val="nil"/>
              <w:bottom w:val="single" w:sz="8" w:space="0" w:color="E8EEF4"/>
              <w:right w:val="single" w:sz="8" w:space="0" w:color="E8EEF4"/>
            </w:tcBorders>
            <w:shd w:val="clear" w:color="auto" w:fill="auto"/>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19,44</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r w:rsidR="00E2705A" w:rsidRPr="00E2705A" w:rsidTr="00000F81">
        <w:trPr>
          <w:trHeight w:val="315"/>
        </w:trPr>
        <w:tc>
          <w:tcPr>
            <w:tcW w:w="1045" w:type="dxa"/>
            <w:vMerge/>
            <w:tcBorders>
              <w:top w:val="nil"/>
              <w:left w:val="single" w:sz="8" w:space="0" w:color="E8EEF4"/>
              <w:bottom w:val="single" w:sz="8" w:space="0" w:color="E8EEF4"/>
              <w:right w:val="single" w:sz="8" w:space="0" w:color="E8EEF4"/>
            </w:tcBorders>
            <w:vAlign w:val="center"/>
            <w:hideMark/>
          </w:tcPr>
          <w:p w:rsidR="00E2705A" w:rsidRPr="00E2705A" w:rsidRDefault="00E2705A" w:rsidP="00A92D87">
            <w:pPr>
              <w:spacing w:after="0" w:line="240" w:lineRule="auto"/>
              <w:rPr>
                <w:rFonts w:eastAsia="Times New Roman" w:cs="Arial"/>
                <w:color w:val="000000"/>
                <w:lang w:eastAsia="es-CO"/>
              </w:rPr>
            </w:pPr>
          </w:p>
        </w:tc>
        <w:tc>
          <w:tcPr>
            <w:tcW w:w="71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dic-17</w:t>
            </w:r>
          </w:p>
        </w:tc>
        <w:tc>
          <w:tcPr>
            <w:tcW w:w="1485"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7</w:t>
            </w:r>
          </w:p>
        </w:tc>
        <w:tc>
          <w:tcPr>
            <w:tcW w:w="1717"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35</w:t>
            </w:r>
          </w:p>
        </w:tc>
        <w:tc>
          <w:tcPr>
            <w:tcW w:w="1399" w:type="dxa"/>
            <w:tcBorders>
              <w:top w:val="nil"/>
              <w:left w:val="nil"/>
              <w:bottom w:val="single" w:sz="8" w:space="0" w:color="E8EEF4"/>
              <w:right w:val="single" w:sz="8" w:space="0" w:color="E8EEF4"/>
            </w:tcBorders>
            <w:shd w:val="clear" w:color="000000" w:fill="F8F8F8"/>
            <w:vAlign w:val="bottom"/>
            <w:hideMark/>
          </w:tcPr>
          <w:p w:rsidR="00E2705A" w:rsidRPr="00E2705A" w:rsidRDefault="00E2705A" w:rsidP="00A92D87">
            <w:pPr>
              <w:spacing w:after="0" w:line="240" w:lineRule="auto"/>
              <w:jc w:val="right"/>
              <w:rPr>
                <w:rFonts w:eastAsia="Times New Roman" w:cs="Arial"/>
                <w:color w:val="000000"/>
                <w:lang w:eastAsia="es-CO"/>
              </w:rPr>
            </w:pPr>
            <w:r w:rsidRPr="00E2705A">
              <w:rPr>
                <w:rFonts w:eastAsia="Times New Roman" w:cs="Arial"/>
                <w:color w:val="000000"/>
                <w:lang w:eastAsia="es-CO"/>
              </w:rPr>
              <w:t>20</w:t>
            </w:r>
          </w:p>
        </w:tc>
        <w:tc>
          <w:tcPr>
            <w:tcW w:w="1200" w:type="dxa"/>
            <w:tcBorders>
              <w:top w:val="nil"/>
              <w:left w:val="nil"/>
              <w:bottom w:val="nil"/>
              <w:right w:val="nil"/>
            </w:tcBorders>
            <w:shd w:val="clear" w:color="auto" w:fill="auto"/>
            <w:noWrap/>
            <w:vAlign w:val="bottom"/>
            <w:hideMark/>
          </w:tcPr>
          <w:p w:rsidR="00E2705A" w:rsidRPr="00E2705A" w:rsidRDefault="00E2705A" w:rsidP="00A92D87">
            <w:pPr>
              <w:spacing w:after="0" w:line="240" w:lineRule="auto"/>
              <w:rPr>
                <w:rFonts w:eastAsia="Times New Roman" w:cs="Times New Roman"/>
                <w:color w:val="000000"/>
                <w:lang w:eastAsia="es-CO"/>
              </w:rPr>
            </w:pPr>
          </w:p>
        </w:tc>
      </w:tr>
    </w:tbl>
    <w:p w:rsidR="00E2705A" w:rsidRPr="00E2705A" w:rsidRDefault="00E2705A" w:rsidP="00A92D87">
      <w:pPr>
        <w:spacing w:line="240" w:lineRule="auto"/>
        <w:jc w:val="both"/>
        <w:rPr>
          <w:b/>
        </w:rPr>
      </w:pPr>
    </w:p>
    <w:p w:rsidR="00E2705A" w:rsidRPr="00E2705A" w:rsidRDefault="00E2705A" w:rsidP="00A92D87">
      <w:pPr>
        <w:spacing w:line="240" w:lineRule="auto"/>
        <w:jc w:val="both"/>
        <w:rPr>
          <w:b/>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Situación detectada: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Se evidencia que en los años 2012 - 2014  se presentaron víctimas registradas pertenecientes al grupo de NNA, que han recibido algún tipo de amenaza por actores ilegales que ponen en riesgo su vida e integridad personal.</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rPr>
          <w:rFonts w:eastAsia="Times New Roman" w:cs="Times New Roman"/>
          <w:b/>
          <w:lang w:eastAsia="es-CO"/>
        </w:rPr>
      </w:pPr>
      <w:r w:rsidRPr="00E2705A">
        <w:rPr>
          <w:rFonts w:eastAsia="Times New Roman" w:cs="Times New Roman"/>
          <w:b/>
          <w:lang w:eastAsia="es-CO"/>
        </w:rPr>
        <w:t xml:space="preserve">Insumos: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Los datos aportados fueron suministrados por la Unidad para la Atención y Reparación Integral a las Victimas y la Red Nacional de Información. </w:t>
      </w: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lastRenderedPageBreak/>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E2705A" w:rsidRPr="00E2705A" w:rsidRDefault="00E2705A" w:rsidP="00A92D87">
      <w:pPr>
        <w:spacing w:after="0" w:line="240" w:lineRule="auto"/>
        <w:contextualSpacing/>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Programas, Proyectos y Acciones para mejorar la situación del indicador (2012 -2015):</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Desde el programa de atención a víctimas se orientan a NNA afectadas por este hecho victimizantes para que inicien la ruta única de atención con la Unidad Nacional de Protección.</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Programa: Articulo 74; Programa Atención a Víctimas de la Violencia del Conflicto Armado del Plan de Desarrollo Municipal de Pasto.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Proyecto: Atención y Orientación a Población Victima de la Violencia del Conflicto Armado- Municipio de Pasto radicado 20145200110163 de diciembre de 2014.</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lastRenderedPageBreak/>
        <w:t xml:space="preserve">La Alcaldía de Pasto interviene brindando una AYUDA HUMANITARIA INMEDIATA, la cual es entregada al núcleo familiar, en los términos preceptuados en el artículo 108 del Decreto 4800 de 2011, el cual textualmente  preceptúa: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1.</w:t>
      </w:r>
      <w:r w:rsidRPr="00E2705A">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2.</w:t>
      </w:r>
      <w:r w:rsidRPr="00E2705A">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b/>
          <w:lang w:eastAsia="es-CO"/>
        </w:rPr>
      </w:pPr>
      <w:r w:rsidRPr="00E2705A">
        <w:rPr>
          <w:rFonts w:eastAsia="Times New Roman" w:cs="Times New Roman"/>
          <w:b/>
          <w:lang w:eastAsia="es-CO"/>
        </w:rPr>
        <w:t xml:space="preserve">Productos: </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La atención humanitaria a Victimas NNA del conflicto armado de Colombia se realiza por demanda y de acuerdo a la dinámica del conflicto armado que existe en el momento.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 xml:space="preserve">Resultados al término de la gestión  (2012 -2014):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line="240" w:lineRule="auto"/>
        <w:jc w:val="both"/>
      </w:pPr>
      <w:r w:rsidRPr="00E2705A">
        <w:t>Se atendieron a la totalidad de población de NNA víctimas del desplazamiento forzado causado por el conflicto armado que requirieron atención y orientación dentro de la etapa inmediata de atención en las siguientes proporciones:</w:t>
      </w:r>
    </w:p>
    <w:p w:rsidR="00E2705A" w:rsidRPr="00E2705A" w:rsidRDefault="00E2705A" w:rsidP="00A92D87">
      <w:pPr>
        <w:numPr>
          <w:ilvl w:val="0"/>
          <w:numId w:val="34"/>
        </w:numPr>
        <w:spacing w:after="0" w:line="240" w:lineRule="auto"/>
        <w:contextualSpacing/>
        <w:jc w:val="both"/>
        <w:rPr>
          <w:rFonts w:eastAsia="Times New Roman" w:cs="Times New Roman"/>
          <w:lang w:eastAsia="es-CO"/>
        </w:rPr>
      </w:pPr>
      <w:r w:rsidRPr="00E2705A">
        <w:rPr>
          <w:rFonts w:eastAsia="Times New Roman" w:cs="Times New Roman"/>
          <w:lang w:eastAsia="es-CO"/>
        </w:rPr>
        <w:t>2012: 28 NNA</w:t>
      </w:r>
    </w:p>
    <w:p w:rsidR="00E2705A" w:rsidRPr="00E2705A" w:rsidRDefault="00E2705A" w:rsidP="00A92D87">
      <w:pPr>
        <w:numPr>
          <w:ilvl w:val="0"/>
          <w:numId w:val="34"/>
        </w:numPr>
        <w:spacing w:after="0" w:line="240" w:lineRule="auto"/>
        <w:contextualSpacing/>
        <w:jc w:val="both"/>
        <w:rPr>
          <w:rFonts w:eastAsia="Times New Roman" w:cs="Times New Roman"/>
          <w:lang w:eastAsia="es-CO"/>
        </w:rPr>
      </w:pPr>
      <w:r w:rsidRPr="00E2705A">
        <w:rPr>
          <w:rFonts w:eastAsia="Times New Roman" w:cs="Times New Roman"/>
          <w:lang w:eastAsia="es-CO"/>
        </w:rPr>
        <w:t>2013: 27 NNA</w:t>
      </w:r>
    </w:p>
    <w:p w:rsidR="00E2705A" w:rsidRPr="00E2705A" w:rsidRDefault="00E2705A" w:rsidP="00A92D87">
      <w:pPr>
        <w:numPr>
          <w:ilvl w:val="0"/>
          <w:numId w:val="34"/>
        </w:numPr>
        <w:spacing w:after="0" w:line="240" w:lineRule="auto"/>
        <w:contextualSpacing/>
        <w:jc w:val="both"/>
        <w:rPr>
          <w:rFonts w:eastAsia="Times New Roman" w:cs="Times New Roman"/>
          <w:lang w:eastAsia="es-CO"/>
        </w:rPr>
      </w:pPr>
      <w:r w:rsidRPr="00E2705A">
        <w:rPr>
          <w:rFonts w:eastAsia="Times New Roman" w:cs="Times New Roman"/>
          <w:lang w:eastAsia="es-CO"/>
        </w:rPr>
        <w:t>2014: 23 NNA</w:t>
      </w:r>
    </w:p>
    <w:p w:rsidR="00E2705A" w:rsidRPr="00E2705A" w:rsidRDefault="00E2705A" w:rsidP="00A92D87">
      <w:pPr>
        <w:spacing w:after="0" w:line="240" w:lineRule="auto"/>
        <w:contextualSpacing/>
        <w:rPr>
          <w:rFonts w:eastAsia="Times New Roman" w:cs="Calibri"/>
          <w:color w:val="000000"/>
          <w:lang w:eastAsia="es-CO"/>
        </w:rPr>
      </w:pPr>
    </w:p>
    <w:p w:rsidR="00E2705A" w:rsidRPr="00E2705A" w:rsidRDefault="00E2705A" w:rsidP="00DF63E8">
      <w:pPr>
        <w:numPr>
          <w:ilvl w:val="0"/>
          <w:numId w:val="41"/>
        </w:numPr>
        <w:spacing w:after="0" w:line="240" w:lineRule="auto"/>
        <w:ind w:left="644"/>
        <w:contextualSpacing/>
        <w:rPr>
          <w:rFonts w:eastAsia="Times New Roman" w:cs="Calibri"/>
          <w:color w:val="000000"/>
          <w:lang w:eastAsia="es-CO"/>
        </w:rPr>
      </w:pPr>
      <w:r w:rsidRPr="00E2705A">
        <w:rPr>
          <w:rFonts w:eastAsia="Times New Roman" w:cs="Times New Roman"/>
          <w:b/>
          <w:lang w:eastAsia="es-CO"/>
        </w:rPr>
        <w:t xml:space="preserve">Impacto:   </w:t>
      </w:r>
    </w:p>
    <w:p w:rsidR="00E2705A" w:rsidRPr="00E2705A" w:rsidRDefault="00E2705A" w:rsidP="00A92D87">
      <w:pPr>
        <w:spacing w:after="0" w:line="240" w:lineRule="auto"/>
        <w:contextualSpacing/>
        <w:rPr>
          <w:rFonts w:eastAsia="Times New Roman" w:cs="Calibri"/>
          <w:color w:val="000000"/>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Programa: Articulo 74; Programa Atención a Víctimas de la Violencia del Conflicto Armado del Plan de Desarrollo Municipal de Pasto.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Proyecto: Atención y Orientación a Población Victima de la Violencia del Conflicto Armado- Municipio de Pasto radicado 20145200110163 de diciembre de 2014.</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1.</w:t>
      </w:r>
      <w:r w:rsidRPr="00E2705A">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lastRenderedPageBreak/>
        <w:t>2.</w:t>
      </w:r>
      <w:r w:rsidRPr="00E2705A">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Prioridades</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 xml:space="preserve">En el periodo analizado 2012- 2014 se evidencia que las edades de mayor vulneración de Derechos a la Protección de NNA se presentó en las comprendidas de los 6 – 11 y de 12 - 17 años en el periodo comprendido en el año 2012 y 2013 con un número total de víctimas atendidas de 50 menores entre las edades anteriormente relacionadas. </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DF63E8">
      <w:pPr>
        <w:numPr>
          <w:ilvl w:val="0"/>
          <w:numId w:val="41"/>
        </w:numPr>
        <w:spacing w:after="0" w:line="240" w:lineRule="auto"/>
        <w:ind w:left="644"/>
        <w:contextualSpacing/>
        <w:jc w:val="both"/>
        <w:rPr>
          <w:rFonts w:eastAsia="Times New Roman" w:cs="Times New Roman"/>
          <w:b/>
          <w:lang w:eastAsia="es-CO"/>
        </w:rPr>
      </w:pPr>
      <w:r w:rsidRPr="00E2705A">
        <w:rPr>
          <w:rFonts w:eastAsia="Times New Roman" w:cs="Times New Roman"/>
          <w:b/>
          <w:lang w:eastAsia="es-CO"/>
        </w:rPr>
        <w:t>Recomendaciones</w:t>
      </w:r>
    </w:p>
    <w:p w:rsidR="00E2705A" w:rsidRPr="00E2705A" w:rsidRDefault="00E2705A" w:rsidP="00A92D87">
      <w:pPr>
        <w:spacing w:after="0" w:line="240" w:lineRule="auto"/>
        <w:contextualSpacing/>
        <w:jc w:val="both"/>
        <w:rPr>
          <w:rFonts w:eastAsia="Times New Roman" w:cs="Times New Roman"/>
          <w:b/>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E2705A" w:rsidRPr="00E2705A" w:rsidRDefault="00E2705A" w:rsidP="00A92D87">
      <w:pPr>
        <w:spacing w:after="0" w:line="240" w:lineRule="auto"/>
        <w:contextualSpacing/>
        <w:jc w:val="both"/>
        <w:rPr>
          <w:rFonts w:eastAsia="Times New Roman" w:cs="Times New Roman"/>
          <w:lang w:eastAsia="es-CO"/>
        </w:rPr>
      </w:pPr>
    </w:p>
    <w:p w:rsidR="00E2705A" w:rsidRPr="00E2705A" w:rsidRDefault="00E2705A" w:rsidP="00A92D87">
      <w:pPr>
        <w:spacing w:after="0" w:line="240" w:lineRule="auto"/>
        <w:contextualSpacing/>
        <w:jc w:val="both"/>
        <w:rPr>
          <w:rFonts w:eastAsia="Times New Roman" w:cs="Times New Roman"/>
          <w:lang w:eastAsia="es-CO"/>
        </w:rPr>
      </w:pPr>
      <w:r w:rsidRPr="00E2705A">
        <w:rPr>
          <w:rFonts w:eastAsia="Times New Roman" w:cs="Times New Roman"/>
          <w:lang w:eastAsia="es-CO"/>
        </w:rPr>
        <w:t>Se debe activar de manera urgente la ruta única de la Unidad Nacional de Protección y se informe a las autoridades policivas locales para que protejan la vida e integridad personal de las víctimas.</w:t>
      </w:r>
    </w:p>
    <w:p w:rsidR="00833724" w:rsidRPr="00064BA9" w:rsidRDefault="0090015F" w:rsidP="003A7E0B">
      <w:pPr>
        <w:pStyle w:val="Ttulo1"/>
        <w:jc w:val="center"/>
        <w:rPr>
          <w:rFonts w:asciiTheme="minorHAnsi" w:hAnsiTheme="minorHAnsi"/>
          <w:color w:val="auto"/>
          <w:sz w:val="22"/>
          <w:szCs w:val="22"/>
        </w:rPr>
      </w:pPr>
      <w:bookmarkStart w:id="120" w:name="_Toc437376065"/>
      <w:r w:rsidRPr="00064BA9">
        <w:rPr>
          <w:rFonts w:asciiTheme="minorHAnsi" w:hAnsiTheme="minorHAnsi"/>
          <w:color w:val="auto"/>
          <w:sz w:val="22"/>
          <w:szCs w:val="22"/>
        </w:rPr>
        <w:t xml:space="preserve">6.4 CICLO VITAL: </w:t>
      </w:r>
      <w:r w:rsidR="00833724" w:rsidRPr="00064BA9">
        <w:rPr>
          <w:rFonts w:asciiTheme="minorHAnsi" w:hAnsiTheme="minorHAnsi"/>
          <w:color w:val="auto"/>
          <w:sz w:val="22"/>
          <w:szCs w:val="22"/>
        </w:rPr>
        <w:t>JUVENTUD</w:t>
      </w:r>
      <w:bookmarkEnd w:id="120"/>
    </w:p>
    <w:p w:rsidR="00833724" w:rsidRPr="00064BA9" w:rsidRDefault="0090015F" w:rsidP="0090015F">
      <w:pPr>
        <w:pStyle w:val="Ttulo2"/>
        <w:rPr>
          <w:rFonts w:asciiTheme="minorHAnsi" w:hAnsiTheme="minorHAnsi"/>
          <w:color w:val="auto"/>
          <w:sz w:val="22"/>
          <w:szCs w:val="22"/>
        </w:rPr>
      </w:pPr>
      <w:bookmarkStart w:id="121" w:name="_Toc437376066"/>
      <w:r w:rsidRPr="00064BA9">
        <w:rPr>
          <w:rFonts w:asciiTheme="minorHAnsi" w:hAnsiTheme="minorHAnsi"/>
          <w:color w:val="auto"/>
          <w:sz w:val="22"/>
          <w:szCs w:val="22"/>
        </w:rPr>
        <w:t xml:space="preserve">6.4.1 </w:t>
      </w:r>
      <w:r w:rsidR="006E6C52" w:rsidRPr="00064BA9">
        <w:rPr>
          <w:rFonts w:asciiTheme="minorHAnsi" w:hAnsiTheme="minorHAnsi"/>
          <w:color w:val="auto"/>
          <w:sz w:val="22"/>
          <w:szCs w:val="22"/>
        </w:rPr>
        <w:t xml:space="preserve">CATEGORÍA </w:t>
      </w:r>
      <w:r w:rsidR="00833724" w:rsidRPr="00064BA9">
        <w:rPr>
          <w:rFonts w:asciiTheme="minorHAnsi" w:hAnsiTheme="minorHAnsi"/>
          <w:color w:val="auto"/>
          <w:sz w:val="22"/>
          <w:szCs w:val="22"/>
        </w:rPr>
        <w:t>DERECHOS CIVILES Y POLÍTICOS</w:t>
      </w:r>
      <w:bookmarkEnd w:id="121"/>
    </w:p>
    <w:p w:rsidR="00833724" w:rsidRPr="001B34D0" w:rsidRDefault="00833724"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1B34D0">
        <w:rPr>
          <w:rFonts w:eastAsia="Calibri" w:cs="Times New Roman"/>
          <w:b/>
          <w:i/>
          <w:iCs/>
        </w:rPr>
        <w:t>DESCRIPCIÓN DEL INDICADOR No.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trHeight w:val="162"/>
          <w:jc w:val="center"/>
        </w:trPr>
        <w:tc>
          <w:tcPr>
            <w:tcW w:w="8828" w:type="dxa"/>
            <w:shd w:val="clear" w:color="auto" w:fill="FFFFFF"/>
          </w:tcPr>
          <w:p w:rsidR="00833724" w:rsidRPr="001B34D0" w:rsidRDefault="00833724" w:rsidP="00A92D87">
            <w:pPr>
              <w:spacing w:after="0" w:line="240" w:lineRule="auto"/>
              <w:rPr>
                <w:rFonts w:eastAsia="Calibri" w:cs="Times New Roman"/>
                <w:b/>
                <w:bCs/>
              </w:rPr>
            </w:pPr>
            <w:r w:rsidRPr="001B34D0">
              <w:rPr>
                <w:rFonts w:eastAsia="Calibri" w:cs="Times New Roman"/>
                <w:b/>
                <w:bCs/>
              </w:rPr>
              <w:t>MUNICIPIO: PASTO</w:t>
            </w:r>
          </w:p>
        </w:tc>
      </w:tr>
      <w:tr w:rsidR="00833724" w:rsidRPr="001B34D0" w:rsidTr="00000F81">
        <w:trPr>
          <w:trHeight w:val="411"/>
          <w:jc w:val="center"/>
        </w:trPr>
        <w:tc>
          <w:tcPr>
            <w:tcW w:w="8828" w:type="dxa"/>
            <w:shd w:val="clear" w:color="auto" w:fill="DAEEF3"/>
          </w:tcPr>
          <w:p w:rsidR="00833724" w:rsidRPr="001B34D0" w:rsidRDefault="00833724" w:rsidP="00A92D87">
            <w:pPr>
              <w:spacing w:after="0" w:line="240" w:lineRule="auto"/>
              <w:rPr>
                <w:rFonts w:eastAsia="Calibri" w:cs="Times New Roman"/>
                <w:b/>
                <w:bCs/>
              </w:rPr>
            </w:pPr>
            <w:r w:rsidRPr="001B34D0">
              <w:rPr>
                <w:rFonts w:eastAsia="Calibri" w:cs="Times New Roman"/>
                <w:b/>
                <w:bCs/>
              </w:rPr>
              <w:t>Nombre del indicador: Tasa de fecundidad  específica(incluir  de 10 a 14 años)</w:t>
            </w:r>
          </w:p>
        </w:tc>
      </w:tr>
      <w:tr w:rsidR="00833724" w:rsidRPr="001B34D0" w:rsidTr="00000F81">
        <w:trPr>
          <w:trHeight w:val="332"/>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 xml:space="preserve">Fuente Nacional: </w:t>
            </w:r>
          </w:p>
          <w:p w:rsidR="00833724" w:rsidRPr="001B34D0" w:rsidRDefault="00833724" w:rsidP="00A92D87">
            <w:pPr>
              <w:spacing w:after="0" w:line="240" w:lineRule="auto"/>
              <w:rPr>
                <w:rFonts w:eastAsia="Calibri" w:cs="Times New Roman"/>
                <w:b/>
                <w:bCs/>
              </w:rPr>
            </w:pPr>
            <w:r w:rsidRPr="001B34D0">
              <w:rPr>
                <w:rFonts w:eastAsia="Calibri" w:cs="Times New Roman"/>
                <w:b/>
                <w:bCs/>
              </w:rPr>
              <w:t>Otra Fuente: RUAF-ND</w:t>
            </w:r>
          </w:p>
        </w:tc>
      </w:tr>
      <w:tr w:rsidR="00833724" w:rsidRPr="001B34D0" w:rsidTr="00000F81">
        <w:trPr>
          <w:trHeight w:val="458"/>
          <w:jc w:val="center"/>
        </w:trPr>
        <w:tc>
          <w:tcPr>
            <w:tcW w:w="8828" w:type="dxa"/>
            <w:shd w:val="clear" w:color="auto" w:fill="DAEEF3"/>
          </w:tcPr>
          <w:p w:rsidR="00833724" w:rsidRPr="001B34D0" w:rsidRDefault="00833724" w:rsidP="00A92D87">
            <w:pPr>
              <w:spacing w:after="0" w:line="240" w:lineRule="auto"/>
              <w:rPr>
                <w:rFonts w:eastAsia="Calibri" w:cs="Times New Roman"/>
                <w:bCs/>
              </w:rPr>
            </w:pPr>
            <w:r w:rsidRPr="001B34D0">
              <w:rPr>
                <w:rFonts w:eastAsia="Calibri" w:cs="Times New Roman"/>
                <w:b/>
                <w:bCs/>
              </w:rPr>
              <w:lastRenderedPageBreak/>
              <w:t xml:space="preserve">Categoría de derechos: </w:t>
            </w:r>
          </w:p>
        </w:tc>
      </w:tr>
      <w:tr w:rsidR="00833724" w:rsidRPr="001B34D0" w:rsidTr="00000F81">
        <w:trPr>
          <w:trHeight w:val="458"/>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r w:rsidR="00833724" w:rsidRPr="001B34D0" w:rsidTr="00000F81">
        <w:trPr>
          <w:trHeight w:val="458"/>
          <w:jc w:val="center"/>
        </w:trPr>
        <w:tc>
          <w:tcPr>
            <w:tcW w:w="8828" w:type="dxa"/>
            <w:shd w:val="clear" w:color="auto" w:fill="DAEEF3"/>
          </w:tcPr>
          <w:p w:rsidR="00833724" w:rsidRPr="001B34D0" w:rsidRDefault="00833724" w:rsidP="00A92D87">
            <w:pPr>
              <w:spacing w:after="0" w:line="240" w:lineRule="auto"/>
              <w:rPr>
                <w:rFonts w:eastAsia="Calibri" w:cs="Times New Roman"/>
                <w:b/>
                <w:bCs/>
              </w:rPr>
            </w:pPr>
            <w:r w:rsidRPr="001B34D0">
              <w:rPr>
                <w:rFonts w:eastAsia="Calibri" w:cs="Times New Roman"/>
                <w:b/>
                <w:bCs/>
              </w:rPr>
              <w:t>Temas relacionados con el indicador: Salud sexual y reproductiva</w:t>
            </w:r>
          </w:p>
        </w:tc>
      </w:tr>
    </w:tbl>
    <w:p w:rsidR="00833724" w:rsidRPr="001B34D0" w:rsidRDefault="00833724" w:rsidP="00A92D87">
      <w:pPr>
        <w:spacing w:after="200" w:line="240" w:lineRule="auto"/>
        <w:rPr>
          <w:rFonts w:eastAsia="Calibri" w:cs="Times New Roman"/>
        </w:rPr>
      </w:pPr>
    </w:p>
    <w:p w:rsidR="00833724" w:rsidRPr="001B34D0" w:rsidRDefault="00833724" w:rsidP="00A92D87">
      <w:pPr>
        <w:numPr>
          <w:ilvl w:val="0"/>
          <w:numId w:val="37"/>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833724" w:rsidRPr="001B34D0" w:rsidRDefault="00833724" w:rsidP="00A92D87">
      <w:pPr>
        <w:spacing w:after="0" w:line="240" w:lineRule="auto"/>
        <w:rPr>
          <w:rFonts w:eastAsia="Calibri" w:cs="Times New Roman"/>
        </w:rPr>
      </w:pPr>
      <w:r w:rsidRPr="001B34D0">
        <w:rPr>
          <w:rFonts w:eastAsia="Calibri" w:cs="Times New Roman"/>
          <w:noProof/>
          <w:lang w:val="es-ES" w:eastAsia="es-ES"/>
        </w:rPr>
        <w:drawing>
          <wp:inline distT="0" distB="0" distL="0" distR="0">
            <wp:extent cx="5618480" cy="3261360"/>
            <wp:effectExtent l="0" t="0" r="1270" b="15240"/>
            <wp:docPr id="63" name="Gráfico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33724" w:rsidRPr="001B34D0" w:rsidRDefault="00833724" w:rsidP="00A92D87">
      <w:pPr>
        <w:spacing w:after="0" w:line="240" w:lineRule="auto"/>
        <w:rPr>
          <w:rFonts w:eastAsia="Calibri" w:cs="Times New Roman"/>
        </w:rPr>
      </w:pPr>
      <w:r w:rsidRPr="001B34D0">
        <w:rPr>
          <w:rFonts w:eastAsia="Calibri" w:cs="Times New Roman"/>
        </w:rPr>
        <w:t>FUENTE: RUAF-ND</w:t>
      </w:r>
    </w:p>
    <w:p w:rsidR="00833724" w:rsidRPr="001B34D0" w:rsidRDefault="00833724" w:rsidP="00A92D87">
      <w:pPr>
        <w:spacing w:after="0" w:line="240" w:lineRule="auto"/>
        <w:rPr>
          <w:rFonts w:eastAsia="Calibri" w:cs="Times New Roman"/>
        </w:rPr>
      </w:pPr>
    </w:p>
    <w:p w:rsidR="00833724" w:rsidRPr="001B34D0" w:rsidRDefault="00833724" w:rsidP="00A92D87">
      <w:pPr>
        <w:numPr>
          <w:ilvl w:val="0"/>
          <w:numId w:val="3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833724" w:rsidRPr="001B34D0" w:rsidRDefault="00833724" w:rsidP="00A92D87">
      <w:pPr>
        <w:spacing w:after="200" w:line="240" w:lineRule="auto"/>
        <w:jc w:val="both"/>
        <w:rPr>
          <w:rFonts w:eastAsia="Calibri" w:cs="Times New Roman"/>
        </w:rPr>
      </w:pPr>
      <w:r w:rsidRPr="001B34D0">
        <w:rPr>
          <w:rFonts w:eastAsia="Calibri" w:cs="Times New Roman"/>
        </w:rPr>
        <w:t xml:space="preserve">Teniendo en cuenta el informe estadístico representado en la </w:t>
      </w:r>
      <w:r w:rsidR="00143010" w:rsidRPr="001B34D0">
        <w:rPr>
          <w:rFonts w:eastAsia="Calibri" w:cs="Times New Roman"/>
        </w:rPr>
        <w:t>gráfica</w:t>
      </w:r>
      <w:r w:rsidRPr="001B34D0">
        <w:rPr>
          <w:rFonts w:eastAsia="Calibri" w:cs="Times New Roman"/>
        </w:rPr>
        <w:t xml:space="preserve">, se </w:t>
      </w:r>
      <w:r w:rsidR="00B21121" w:rsidRPr="001B34D0">
        <w:rPr>
          <w:rFonts w:eastAsia="Calibri" w:cs="Times New Roman"/>
        </w:rPr>
        <w:t>evidencia que</w:t>
      </w:r>
      <w:r w:rsidRPr="001B34D0">
        <w:rPr>
          <w:rFonts w:eastAsia="Calibri" w:cs="Times New Roman"/>
        </w:rPr>
        <w:t xml:space="preserve"> la fecundidad en mujeres de 10 – </w:t>
      </w:r>
      <w:r w:rsidR="00B21121" w:rsidRPr="001B34D0">
        <w:rPr>
          <w:rFonts w:eastAsia="Calibri" w:cs="Times New Roman"/>
        </w:rPr>
        <w:t>14 durante</w:t>
      </w:r>
      <w:r w:rsidRPr="001B34D0">
        <w:rPr>
          <w:rFonts w:eastAsia="Calibri" w:cs="Times New Roman"/>
        </w:rPr>
        <w:t xml:space="preserve"> los años 2013 y 2014, se mantiene, esta se relacionada con embarazos en adolescentes. Es importante informar que en edades de 10 a 12 años no se tienen casos en el Municipio. En edades de 15 a 19 años la tendencia es a la disminución y está relacionado también con los embarazos en adolescentes. De 20 a 24,  se mantiene con relación al año 2011, 25 – 29 años, aumenta, de 30 – 34 se mantiene, y de 35 a 49 años la tendencia es a la disminución cumpliendo la meta  de Plan de Desarrollo y Territorial.</w:t>
      </w:r>
    </w:p>
    <w:p w:rsidR="00833724" w:rsidRPr="001B34D0" w:rsidRDefault="00833724" w:rsidP="00A92D87">
      <w:pPr>
        <w:spacing w:after="200" w:line="240" w:lineRule="auto"/>
        <w:jc w:val="both"/>
        <w:rPr>
          <w:rFonts w:eastAsia="Calibri" w:cs="Times New Roman"/>
        </w:rPr>
      </w:pPr>
      <w:r w:rsidRPr="001B34D0">
        <w:rPr>
          <w:rFonts w:eastAsia="Calibri" w:cs="Times New Roman"/>
        </w:rPr>
        <w:t xml:space="preserve"> La fecundidad es quizás la variable que más incide en el crecimiento de la población. Desde la década de los años sesenta se empezó el descenso de la fecundidad en Colombia y, en la actualidad, en general se sigue observando el decremento aunque a un menor ritmo; además, aún quedan grupos de población con fecundidad relativamente alta, incluyendo la de las adolescentes de 15 a 19 años. La ENDS 2010 recogió la misma información sobre la fecundidad que en las encuestas anteriores.</w:t>
      </w:r>
    </w:p>
    <w:p w:rsidR="00833724" w:rsidRPr="001B34D0" w:rsidRDefault="00833724" w:rsidP="00A92D87">
      <w:pPr>
        <w:spacing w:after="200" w:line="240" w:lineRule="auto"/>
        <w:jc w:val="both"/>
        <w:rPr>
          <w:rFonts w:eastAsia="Calibri" w:cs="Times New Roman"/>
          <w:b/>
        </w:rPr>
      </w:pPr>
      <w:r w:rsidRPr="001B34D0">
        <w:rPr>
          <w:rFonts w:eastAsia="Calibri" w:cs="Times New Roman"/>
        </w:rPr>
        <w:lastRenderedPageBreak/>
        <w:t xml:space="preserve"> La fecundidad en el Municipio de Pasto es de cúspide temprana. El grupo de edad con la mayor tasa de fecundidad,  es el de 20-24 años, seguido por el de 25-29 y el de 15-19 años de edad. En el Municipio  continúa la tendencia observada hacia la disminución de su fecundidad.</w:t>
      </w:r>
    </w:p>
    <w:p w:rsidR="00833724" w:rsidRPr="001B34D0" w:rsidRDefault="00833724" w:rsidP="00A92D87">
      <w:pPr>
        <w:numPr>
          <w:ilvl w:val="0"/>
          <w:numId w:val="3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Insumos</w:t>
      </w:r>
    </w:p>
    <w:p w:rsidR="00833724" w:rsidRPr="001B34D0" w:rsidRDefault="00833724" w:rsidP="00A92D87">
      <w:pPr>
        <w:spacing w:after="200" w:line="240" w:lineRule="auto"/>
        <w:jc w:val="both"/>
        <w:rPr>
          <w:rFonts w:eastAsia="Calibri" w:cs="Times New Roman"/>
          <w:b/>
        </w:rPr>
      </w:pPr>
      <w:r w:rsidRPr="001B34D0">
        <w:rPr>
          <w:rFonts w:eastAsia="Calibri" w:cs="Times New Roman"/>
        </w:rPr>
        <w:t>La Secretaria Municipal de Salud de Pasto, Incluyo el indicador Tasa de Fecundidad específica,  en los Planes de Desarrollo y Territorial de Salud del municipio, 2012 - 2015  y destino a la Prioridad de Sexualidad Derechos sexuales y derechos Reproductivos un total de</w:t>
      </w:r>
      <w:r w:rsidRPr="001B34D0">
        <w:rPr>
          <w:rFonts w:eastAsia="Times New Roman" w:cs="Calibri"/>
          <w:color w:val="000000"/>
          <w:lang w:eastAsia="es-CO"/>
        </w:rPr>
        <w:t xml:space="preserve"> </w:t>
      </w:r>
      <w:r w:rsidRPr="001B34D0">
        <w:rPr>
          <w:rFonts w:eastAsia="Times New Roman" w:cs="Calibri"/>
          <w:lang w:eastAsia="es-CO"/>
        </w:rPr>
        <w:t xml:space="preserve">$1.090.916.00, distribuidos así: año 2012, $278.849.398, año 2013  $ 278.849.398, año 2014, $308.169.560, año 2015 $ 225.048.400. </w:t>
      </w:r>
      <w:r w:rsidRPr="001B34D0">
        <w:rPr>
          <w:rFonts w:eastAsia="Calibri" w:cs="Times New Roman"/>
        </w:rPr>
        <w:t>Los cuales se han invertido en el cumplimiento de las competencias de seguimiento, evaluación, vigilancia y control, asistencia técnica y articulación intersectorial en el marco de los componentes de dicha prioridad,  promoción y empoderamiento de los Derechos Sexuales y Reproductivos y la mejora de la atención de  los servicios de SSR. Adicional se cuenta con un equipo de profesionales contratistas disciplina: una médica, 2 enfermeras y una tecnóloga en promoción de la salud, quienes han apoyado el desarrollo de cada una de las actividades ejecutadas en el marco del Plan Operativo del Plan Territorial de Salud del Municipio. Además hay un contrato de acciones colectivas con Pasto Salud ESE, quienes con la asesoría de la Secretaria de Salud, lideran un proceso comunitario con organizaciones sociales para la formulación de una política pública de Salud Colectiva que contribuya al mejoramiento de la calidad de vida de la población del Municipio.</w:t>
      </w:r>
    </w:p>
    <w:p w:rsidR="00833724" w:rsidRPr="001B34D0" w:rsidRDefault="00833724" w:rsidP="00A92D87">
      <w:pPr>
        <w:numPr>
          <w:ilvl w:val="0"/>
          <w:numId w:val="3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spacing w:after="0" w:line="240" w:lineRule="auto"/>
        <w:jc w:val="both"/>
        <w:rPr>
          <w:rFonts w:eastAsia="Times New Roman" w:cs="Times New Roman"/>
          <w:lang w:val="es-ES" w:eastAsia="es-ES"/>
        </w:rPr>
      </w:pPr>
      <w:r w:rsidRPr="001B34D0">
        <w:rPr>
          <w:rFonts w:eastAsia="Times New Roman" w:cs="Times New Roman"/>
          <w:lang w:val="es-ES" w:eastAsia="es-ES"/>
        </w:rPr>
        <w:t xml:space="preserve">Ejecución acciones estratégicas  desde la Secretaria Municipal de Salud Prioridad SSR relacionadas como  el seguimiento, evaluación y asistencia técnica, al programa de Detección de  Alteraciones del Joven, Planificación Familiar, Consulta pre - concepcional a IPS de baja complejidad para verificar la adherencia a guías y protocolos en atención a estos programas por los profesionales que prestan el servicio.   Mediante Decreto 0446 de la Alcaldía de Pasto, se creó el Comité Intersectorial Municipal de Prevención de Embarazos en adolescentes, el cual se encuentra operando </w:t>
      </w:r>
      <w:r w:rsidR="00143010" w:rsidRPr="001B34D0">
        <w:rPr>
          <w:rFonts w:eastAsia="Times New Roman" w:cs="Times New Roman"/>
          <w:lang w:val="es-ES" w:eastAsia="es-ES"/>
        </w:rPr>
        <w:t>y ha</w:t>
      </w:r>
      <w:r w:rsidRPr="001B34D0">
        <w:rPr>
          <w:rFonts w:eastAsia="Times New Roman" w:cs="Times New Roman"/>
          <w:lang w:val="es-ES" w:eastAsia="es-ES"/>
        </w:rPr>
        <w:t xml:space="preserve"> contribuido a la disminución de la fecundidad en </w:t>
      </w:r>
      <w:r w:rsidR="00143010" w:rsidRPr="001B34D0">
        <w:rPr>
          <w:rFonts w:eastAsia="Times New Roman" w:cs="Times New Roman"/>
          <w:lang w:val="es-ES" w:eastAsia="es-ES"/>
        </w:rPr>
        <w:t xml:space="preserve">adolescentes. </w:t>
      </w:r>
      <w:r w:rsidR="00143010" w:rsidRPr="001B34D0">
        <w:rPr>
          <w:rFonts w:eastAsia="Times New Roman" w:cs="Arial"/>
          <w:lang w:val="es-ES"/>
        </w:rPr>
        <w:t>‘También</w:t>
      </w:r>
      <w:r w:rsidRPr="001B34D0">
        <w:rPr>
          <w:rFonts w:eastAsia="Times New Roman" w:cs="Arial"/>
          <w:lang w:val="es-ES"/>
        </w:rPr>
        <w:t xml:space="preserve"> se desarrolla el Plan de Intervenciones </w:t>
      </w:r>
      <w:r w:rsidR="007C3396" w:rsidRPr="001B34D0">
        <w:rPr>
          <w:rFonts w:eastAsia="Times New Roman" w:cs="Arial"/>
          <w:lang w:val="es-ES"/>
        </w:rPr>
        <w:t>colectivas a</w:t>
      </w:r>
      <w:r w:rsidRPr="001B34D0">
        <w:rPr>
          <w:rFonts w:eastAsia="Times New Roman" w:cs="Arial"/>
          <w:lang w:val="es-ES"/>
        </w:rPr>
        <w:t xml:space="preserve"> </w:t>
      </w:r>
      <w:r w:rsidR="007C3396" w:rsidRPr="001B34D0">
        <w:rPr>
          <w:rFonts w:eastAsia="Times New Roman" w:cs="Arial"/>
          <w:lang w:val="es-ES"/>
        </w:rPr>
        <w:t>través de</w:t>
      </w:r>
      <w:r w:rsidRPr="001B34D0">
        <w:rPr>
          <w:rFonts w:eastAsia="Times New Roman" w:cs="Arial"/>
          <w:lang w:val="es-ES"/>
        </w:rPr>
        <w:t xml:space="preserve"> la estrategia de Movilización Social “Ciudad Bienestar</w:t>
      </w:r>
      <w:r w:rsidR="007C3396" w:rsidRPr="001B34D0">
        <w:rPr>
          <w:rFonts w:eastAsia="Times New Roman" w:cs="Arial"/>
          <w:lang w:val="es-ES"/>
        </w:rPr>
        <w:t>” con</w:t>
      </w:r>
      <w:r w:rsidRPr="001B34D0">
        <w:rPr>
          <w:rFonts w:eastAsia="Times New Roman" w:cs="Arial"/>
          <w:lang w:val="es-ES"/>
        </w:rPr>
        <w:t xml:space="preserve"> perspectiva de derechos, para el empoderamiento de la comunidad hacia el cuidado de su salud.</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3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833724" w:rsidRPr="001B34D0" w:rsidRDefault="00833724" w:rsidP="00A92D87">
      <w:pPr>
        <w:numPr>
          <w:ilvl w:val="0"/>
          <w:numId w:val="1"/>
        </w:numPr>
        <w:spacing w:after="0" w:line="240" w:lineRule="auto"/>
        <w:contextualSpacing/>
        <w:jc w:val="both"/>
        <w:rPr>
          <w:rFonts w:eastAsia="Times New Roman" w:cs="Arial"/>
          <w:b/>
          <w:bCs/>
          <w:color w:val="000000"/>
          <w:lang w:val="es-ES_tradnl" w:eastAsia="es-ES"/>
        </w:rPr>
      </w:pPr>
      <w:r w:rsidRPr="001B34D0">
        <w:rPr>
          <w:rFonts w:eastAsia="Times New Roman" w:cs="Arial"/>
          <w:color w:val="000000"/>
          <w:lang w:val="es-ES" w:eastAsia="ar-SA"/>
        </w:rPr>
        <w:t>Política pública  Nacional de Sexualidad, Derechos Sexuales y Derechos Reproductivos implementada y operando a nivel de los actores del SGSSS, en el Municipio de Pasto.</w:t>
      </w:r>
    </w:p>
    <w:p w:rsidR="00833724" w:rsidRPr="001B34D0" w:rsidRDefault="00833724" w:rsidP="00A92D87">
      <w:pPr>
        <w:numPr>
          <w:ilvl w:val="0"/>
          <w:numId w:val="1"/>
        </w:numPr>
        <w:spacing w:after="0" w:line="240" w:lineRule="auto"/>
        <w:jc w:val="both"/>
        <w:rPr>
          <w:rFonts w:eastAsia="Calibri" w:cs="Arial"/>
          <w:color w:val="000000"/>
        </w:rPr>
      </w:pPr>
      <w:r w:rsidRPr="001B34D0">
        <w:rPr>
          <w:rFonts w:eastAsia="Calibri" w:cs="Arial"/>
          <w:color w:val="000000"/>
        </w:rPr>
        <w:t>Lograda la adherencia a guías, normas técnicas y estrategias relacionadas con  el programa de Planificación familiar.</w:t>
      </w:r>
    </w:p>
    <w:p w:rsidR="00833724" w:rsidRPr="001B34D0" w:rsidRDefault="00833724" w:rsidP="00A92D87">
      <w:pPr>
        <w:numPr>
          <w:ilvl w:val="0"/>
          <w:numId w:val="1"/>
        </w:numPr>
        <w:spacing w:after="0" w:line="240" w:lineRule="auto"/>
        <w:jc w:val="both"/>
        <w:rPr>
          <w:rFonts w:eastAsia="Calibri" w:cs="Arial"/>
          <w:b/>
        </w:rPr>
      </w:pPr>
      <w:r w:rsidRPr="001B34D0">
        <w:rPr>
          <w:rFonts w:eastAsia="Calibri" w:cs="Arial"/>
          <w:color w:val="000000"/>
        </w:rPr>
        <w:t xml:space="preserve">Implementada la estrategia de movilización social Ciudad Bienestar para el empoderamiento de la comunidad en el cuidado de la salud. </w:t>
      </w:r>
    </w:p>
    <w:p w:rsidR="00833724" w:rsidRPr="001B34D0" w:rsidRDefault="00833724" w:rsidP="00A92D87">
      <w:pPr>
        <w:numPr>
          <w:ilvl w:val="0"/>
          <w:numId w:val="1"/>
        </w:numPr>
        <w:spacing w:after="0" w:line="240" w:lineRule="auto"/>
        <w:jc w:val="both"/>
        <w:rPr>
          <w:rFonts w:eastAsia="Calibri" w:cs="Arial"/>
          <w:b/>
        </w:rPr>
      </w:pPr>
      <w:r w:rsidRPr="001B34D0">
        <w:rPr>
          <w:rFonts w:eastAsia="Calibri" w:cs="Arial"/>
          <w:color w:val="000000"/>
        </w:rPr>
        <w:t>Ruta de atención integral a la gestante y gestante menor de 15 años.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37"/>
        </w:numPr>
        <w:spacing w:after="20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833724" w:rsidRPr="001B34D0" w:rsidRDefault="00833724" w:rsidP="00A92D87">
      <w:pPr>
        <w:numPr>
          <w:ilvl w:val="0"/>
          <w:numId w:val="12"/>
        </w:numPr>
        <w:spacing w:after="200" w:line="240" w:lineRule="auto"/>
        <w:contextualSpacing/>
        <w:jc w:val="both"/>
        <w:rPr>
          <w:rFonts w:eastAsia="Times New Roman" w:cs="Times New Roman"/>
          <w:lang w:val="es-ES" w:eastAsia="ar-SA"/>
        </w:rPr>
      </w:pPr>
      <w:r w:rsidRPr="001B34D0">
        <w:rPr>
          <w:rFonts w:eastAsia="Times New Roman" w:cs="Times New Roman"/>
          <w:b/>
          <w:lang w:val="es-ES" w:eastAsia="ar-SA"/>
        </w:rPr>
        <w:lastRenderedPageBreak/>
        <w:t xml:space="preserve"> </w:t>
      </w:r>
      <w:r w:rsidRPr="001B34D0">
        <w:rPr>
          <w:rFonts w:eastAsia="Times New Roman" w:cs="Times New Roman"/>
          <w:lang w:val="es-ES" w:eastAsia="ar-SA"/>
        </w:rPr>
        <w:t>Tasa de fecundidad 27.16 en mujeres entre 10 a 19 años</w:t>
      </w:r>
    </w:p>
    <w:p w:rsidR="00833724" w:rsidRPr="001B34D0" w:rsidRDefault="00833724" w:rsidP="00A92D87">
      <w:pPr>
        <w:numPr>
          <w:ilvl w:val="0"/>
          <w:numId w:val="12"/>
        </w:numPr>
        <w:spacing w:after="200" w:line="240" w:lineRule="auto"/>
        <w:contextualSpacing/>
        <w:jc w:val="both"/>
        <w:rPr>
          <w:rFonts w:eastAsia="Times New Roman" w:cs="Times New Roman"/>
          <w:lang w:val="es-ES" w:eastAsia="ar-SA"/>
        </w:rPr>
      </w:pPr>
      <w:r w:rsidRPr="001B34D0">
        <w:rPr>
          <w:rFonts w:eastAsia="Times New Roman" w:cs="Times New Roman"/>
          <w:lang w:val="es-ES" w:eastAsia="ar-SA"/>
        </w:rPr>
        <w:t>Tasa de fecundidad de 3.1 en mujeres de 12 a 14 años</w:t>
      </w:r>
    </w:p>
    <w:p w:rsidR="00833724" w:rsidRPr="001B34D0" w:rsidRDefault="00833724" w:rsidP="00A92D87">
      <w:pPr>
        <w:numPr>
          <w:ilvl w:val="0"/>
          <w:numId w:val="12"/>
        </w:numPr>
        <w:spacing w:after="200" w:line="240" w:lineRule="auto"/>
        <w:contextualSpacing/>
        <w:jc w:val="both"/>
        <w:rPr>
          <w:rFonts w:eastAsia="Times New Roman" w:cs="Times New Roman"/>
          <w:lang w:val="es-ES" w:eastAsia="ar-SA"/>
        </w:rPr>
      </w:pPr>
      <w:r w:rsidRPr="001B34D0">
        <w:rPr>
          <w:rFonts w:eastAsia="Times New Roman" w:cs="Times New Roman"/>
          <w:lang w:val="es-ES" w:eastAsia="ar-SA"/>
        </w:rPr>
        <w:t>Tasa de fecundidad de 51.27 en mujeres de 15 a 19 años.</w:t>
      </w:r>
    </w:p>
    <w:p w:rsidR="00833724" w:rsidRPr="001B34D0" w:rsidRDefault="00833724" w:rsidP="00A92D87">
      <w:pPr>
        <w:numPr>
          <w:ilvl w:val="0"/>
          <w:numId w:val="12"/>
        </w:numPr>
        <w:spacing w:after="200" w:line="240" w:lineRule="auto"/>
        <w:contextualSpacing/>
        <w:jc w:val="both"/>
        <w:rPr>
          <w:rFonts w:eastAsia="Times New Roman" w:cs="Times New Roman"/>
          <w:lang w:val="es-ES" w:eastAsia="ar-SA"/>
        </w:rPr>
      </w:pPr>
      <w:r w:rsidRPr="001B34D0">
        <w:rPr>
          <w:rFonts w:eastAsia="Times New Roman" w:cs="Times New Roman"/>
          <w:lang w:val="es-ES" w:eastAsia="ar-SA"/>
        </w:rPr>
        <w:t xml:space="preserve">Tasa de fecundidad de 40.1 en mujeres de 15 a 49 años. </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numPr>
          <w:ilvl w:val="0"/>
          <w:numId w:val="3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833724" w:rsidRPr="001B34D0" w:rsidRDefault="00833724" w:rsidP="00A92D87">
      <w:pPr>
        <w:spacing w:after="200" w:line="240" w:lineRule="auto"/>
        <w:jc w:val="both"/>
        <w:rPr>
          <w:rFonts w:eastAsia="Calibri" w:cs="Times New Roman"/>
        </w:rPr>
      </w:pPr>
      <w:r w:rsidRPr="001B34D0">
        <w:rPr>
          <w:rFonts w:eastAsia="Calibri" w:cs="Times New Roman"/>
        </w:rPr>
        <w:t>Positivo: Tasa de fecundidad en menores de 18 años  con tendencia a la disminución.</w:t>
      </w:r>
    </w:p>
    <w:p w:rsidR="00833724" w:rsidRPr="001B34D0" w:rsidRDefault="00833724" w:rsidP="00A92D87">
      <w:pPr>
        <w:numPr>
          <w:ilvl w:val="0"/>
          <w:numId w:val="3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 Prioridades</w:t>
      </w:r>
    </w:p>
    <w:p w:rsidR="00833724" w:rsidRPr="001B34D0" w:rsidRDefault="00833724" w:rsidP="00A92D87">
      <w:pPr>
        <w:spacing w:after="200" w:line="240" w:lineRule="auto"/>
        <w:jc w:val="both"/>
        <w:rPr>
          <w:rFonts w:eastAsia="Calibri" w:cs="Times New Roman"/>
        </w:rPr>
      </w:pPr>
      <w:r w:rsidRPr="001B34D0">
        <w:rPr>
          <w:rFonts w:eastAsia="Calibri" w:cs="Times New Roman"/>
        </w:rPr>
        <w:t>Es prioridad para el municipio mantener estos indicadores de impacto fortaleciendo y dando continuidad a los programas y estrategias que permitieron lograrlo, apoyados en la normatividad vigente y la coordinación Institucional e intersectorial y transectorial en el marco de Plan Decenal 2012 – 2021.</w:t>
      </w:r>
    </w:p>
    <w:p w:rsidR="00833724" w:rsidRPr="001B34D0" w:rsidRDefault="00833724" w:rsidP="00A92D87">
      <w:pPr>
        <w:spacing w:after="200" w:line="240" w:lineRule="auto"/>
        <w:jc w:val="both"/>
        <w:rPr>
          <w:rFonts w:eastAsia="Calibri" w:cs="Times New Roman"/>
          <w:b/>
        </w:rPr>
      </w:pPr>
      <w:r w:rsidRPr="001B34D0">
        <w:rPr>
          <w:rFonts w:eastAsia="Calibri" w:cs="Times New Roman"/>
          <w:b/>
        </w:rPr>
        <w:t>9.  Recomendaciones</w:t>
      </w:r>
    </w:p>
    <w:p w:rsidR="00833724" w:rsidRPr="001B34D0" w:rsidRDefault="00833724" w:rsidP="00A92D87">
      <w:pPr>
        <w:numPr>
          <w:ilvl w:val="0"/>
          <w:numId w:val="50"/>
        </w:numPr>
        <w:spacing w:after="0" w:line="240" w:lineRule="auto"/>
        <w:contextualSpacing/>
        <w:jc w:val="both"/>
        <w:rPr>
          <w:rFonts w:eastAsia="Times New Roman" w:cs="Times New Roman"/>
          <w:lang w:val="es-ES" w:eastAsia="ar-SA"/>
        </w:rPr>
      </w:pPr>
      <w:r w:rsidRPr="001B34D0">
        <w:rPr>
          <w:rFonts w:eastAsia="Times New Roman" w:cs="Times New Roman"/>
          <w:lang w:val="es-ES" w:eastAsia="ar-SA"/>
        </w:rPr>
        <w:t>Implementar y monitorear la  ejecución de la Política Nacional de Sexualidad, DSDR de Ministerio de Salud y Protección Social en el  Municipio de Pasto.</w:t>
      </w:r>
    </w:p>
    <w:p w:rsidR="00833724" w:rsidRPr="001B34D0" w:rsidRDefault="00833724" w:rsidP="00A92D87">
      <w:pPr>
        <w:numPr>
          <w:ilvl w:val="0"/>
          <w:numId w:val="50"/>
        </w:numPr>
        <w:spacing w:after="0" w:line="240" w:lineRule="auto"/>
        <w:contextualSpacing/>
        <w:jc w:val="both"/>
        <w:rPr>
          <w:rFonts w:eastAsia="Times New Roman" w:cs="Times New Roman"/>
          <w:lang w:val="es-ES" w:eastAsia="ar-SA"/>
        </w:rPr>
      </w:pPr>
      <w:r w:rsidRPr="001B34D0">
        <w:rPr>
          <w:rFonts w:eastAsia="Times New Roman" w:cs="Times New Roman"/>
          <w:lang w:val="es-ES" w:eastAsia="ar-SA"/>
        </w:rPr>
        <w:t>Planear y ejecutar POA, SSR con los lineamientos de Plan decenal 2012 – 2021.</w:t>
      </w:r>
    </w:p>
    <w:p w:rsidR="00833724" w:rsidRPr="001B34D0" w:rsidRDefault="00833724" w:rsidP="00A92D87">
      <w:pPr>
        <w:numPr>
          <w:ilvl w:val="0"/>
          <w:numId w:val="50"/>
        </w:numPr>
        <w:spacing w:after="0" w:line="240" w:lineRule="auto"/>
        <w:contextualSpacing/>
        <w:jc w:val="both"/>
        <w:rPr>
          <w:rFonts w:eastAsia="Times New Roman" w:cs="Times New Roman"/>
          <w:b/>
          <w:lang w:val="es-ES" w:eastAsia="ar-SA"/>
        </w:rPr>
      </w:pPr>
      <w:r w:rsidRPr="001B34D0">
        <w:rPr>
          <w:rFonts w:eastAsia="Times New Roman" w:cs="Times New Roman"/>
          <w:lang w:val="es-ES" w:eastAsia="ar-SA"/>
        </w:rPr>
        <w:t>Fortalecer el Sistema de información de SSR, con SISPRO del MSPS.</w:t>
      </w:r>
    </w:p>
    <w:p w:rsidR="00833724" w:rsidRPr="001B34D0" w:rsidRDefault="00833724" w:rsidP="00A92D87">
      <w:pPr>
        <w:spacing w:line="240" w:lineRule="auto"/>
      </w:pPr>
    </w:p>
    <w:p w:rsidR="00833724" w:rsidRPr="001B34D0" w:rsidRDefault="00833724" w:rsidP="00A92D87">
      <w:pPr>
        <w:spacing w:after="200" w:line="240" w:lineRule="auto"/>
        <w:jc w:val="both"/>
        <w:rPr>
          <w:rFonts w:eastAsia="Calibri" w:cs="Times New Roman"/>
        </w:rPr>
      </w:pPr>
    </w:p>
    <w:p w:rsidR="00833724" w:rsidRPr="001B34D0" w:rsidRDefault="00833724" w:rsidP="00A92D87">
      <w:pPr>
        <w:pBdr>
          <w:top w:val="single" w:sz="4" w:space="10" w:color="4F81BD"/>
          <w:bottom w:val="single" w:sz="4" w:space="10" w:color="4F81BD"/>
        </w:pBdr>
        <w:spacing w:before="360" w:after="0" w:line="240" w:lineRule="auto"/>
        <w:ind w:left="864" w:right="864"/>
        <w:jc w:val="center"/>
        <w:rPr>
          <w:rFonts w:eastAsia="Calibri" w:cs="Times New Roman"/>
          <w:b/>
          <w:iCs/>
        </w:rPr>
      </w:pPr>
      <w:r w:rsidRPr="001B34D0">
        <w:rPr>
          <w:rFonts w:eastAsia="Calibri" w:cs="Times New Roman"/>
          <w:b/>
          <w:i/>
          <w:iCs/>
        </w:rPr>
        <w:t>DESCRIPCIÓN DEL INDICADOR No. 110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trHeight w:val="394"/>
          <w:jc w:val="center"/>
        </w:trPr>
        <w:tc>
          <w:tcPr>
            <w:tcW w:w="8828" w:type="dxa"/>
            <w:shd w:val="clear" w:color="auto" w:fill="FFFFFF"/>
          </w:tcPr>
          <w:p w:rsidR="00833724" w:rsidRPr="001B34D0" w:rsidRDefault="00833724" w:rsidP="00A92D87">
            <w:pPr>
              <w:spacing w:after="0" w:line="240" w:lineRule="auto"/>
              <w:rPr>
                <w:rFonts w:eastAsia="Calibri" w:cs="Times New Roman"/>
                <w:b/>
                <w:bCs/>
              </w:rPr>
            </w:pPr>
            <w:r w:rsidRPr="001B34D0">
              <w:rPr>
                <w:rFonts w:eastAsia="Calibri" w:cs="Times New Roman"/>
                <w:b/>
                <w:bCs/>
              </w:rPr>
              <w:t>MUNICIPIO:  PASTO</w:t>
            </w:r>
          </w:p>
        </w:tc>
      </w:tr>
      <w:tr w:rsidR="00833724" w:rsidRPr="001B34D0" w:rsidTr="00000F81">
        <w:trPr>
          <w:trHeight w:val="579"/>
          <w:jc w:val="center"/>
        </w:trPr>
        <w:tc>
          <w:tcPr>
            <w:tcW w:w="8828" w:type="dxa"/>
            <w:shd w:val="clear" w:color="auto" w:fill="DAEEF3"/>
          </w:tcPr>
          <w:p w:rsidR="00833724" w:rsidRPr="001B34D0" w:rsidRDefault="00833724" w:rsidP="00A92D87">
            <w:pPr>
              <w:spacing w:after="0" w:line="240" w:lineRule="auto"/>
              <w:rPr>
                <w:rFonts w:eastAsia="Calibri" w:cs="Times New Roman"/>
                <w:b/>
                <w:bCs/>
              </w:rPr>
            </w:pPr>
            <w:r w:rsidRPr="001B34D0">
              <w:rPr>
                <w:rFonts w:eastAsia="Calibri" w:cs="Times New Roman"/>
                <w:b/>
                <w:bCs/>
              </w:rPr>
              <w:t>Nombre del indicador: Tasa de muertes por causa externa (18 - 28 años)</w:t>
            </w:r>
          </w:p>
        </w:tc>
      </w:tr>
      <w:tr w:rsidR="00833724" w:rsidRPr="001B34D0" w:rsidTr="00000F81">
        <w:trPr>
          <w:trHeight w:val="332"/>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 xml:space="preserve">Fuente Nacional: </w:t>
            </w:r>
          </w:p>
          <w:p w:rsidR="00833724" w:rsidRPr="001B34D0" w:rsidRDefault="00833724"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833724" w:rsidRPr="001B34D0" w:rsidTr="00000F81">
        <w:trPr>
          <w:trHeight w:val="458"/>
          <w:jc w:val="center"/>
        </w:trPr>
        <w:tc>
          <w:tcPr>
            <w:tcW w:w="8828" w:type="dxa"/>
            <w:shd w:val="clear" w:color="auto" w:fill="DAEEF3"/>
          </w:tcPr>
          <w:p w:rsidR="00833724" w:rsidRPr="001B34D0" w:rsidRDefault="00833724" w:rsidP="00A92D87">
            <w:pPr>
              <w:spacing w:after="0" w:line="240" w:lineRule="auto"/>
              <w:rPr>
                <w:rFonts w:eastAsia="Calibri" w:cs="Times New Roman"/>
                <w:bCs/>
              </w:rPr>
            </w:pPr>
            <w:r w:rsidRPr="001B34D0">
              <w:rPr>
                <w:rFonts w:eastAsia="Calibri" w:cs="Times New Roman"/>
                <w:b/>
                <w:bCs/>
              </w:rPr>
              <w:t xml:space="preserve">Categoría de derechos: </w:t>
            </w:r>
          </w:p>
        </w:tc>
      </w:tr>
      <w:tr w:rsidR="00833724" w:rsidRPr="001B34D0" w:rsidTr="00000F81">
        <w:trPr>
          <w:trHeight w:val="458"/>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833724" w:rsidRPr="001B34D0" w:rsidRDefault="00833724" w:rsidP="00A92D87">
      <w:pPr>
        <w:suppressAutoHyphens/>
        <w:spacing w:after="0" w:line="240" w:lineRule="auto"/>
        <w:ind w:left="360"/>
        <w:contextualSpacing/>
        <w:rPr>
          <w:rFonts w:eastAsia="Times New Roman" w:cs="Times New Roman"/>
          <w:b/>
          <w:lang w:val="es-ES" w:eastAsia="ar-SA"/>
        </w:rPr>
      </w:pPr>
    </w:p>
    <w:p w:rsidR="00833724" w:rsidRPr="001B34D0" w:rsidRDefault="00833724" w:rsidP="00A92D87">
      <w:pPr>
        <w:numPr>
          <w:ilvl w:val="0"/>
          <w:numId w:val="17"/>
        </w:numPr>
        <w:suppressAutoHyphens/>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833724" w:rsidRPr="001B34D0" w:rsidRDefault="00833724" w:rsidP="00A92D87">
      <w:pPr>
        <w:suppressAutoHyphens/>
        <w:spacing w:after="0" w:line="240" w:lineRule="auto"/>
        <w:ind w:left="1080"/>
        <w:contextualSpacing/>
        <w:rPr>
          <w:rFonts w:eastAsia="Times New Roman" w:cs="Times New Roman"/>
          <w:b/>
          <w:lang w:val="es-ES" w:eastAsia="ar-S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8"/>
        <w:gridCol w:w="1727"/>
        <w:gridCol w:w="1728"/>
        <w:gridCol w:w="1728"/>
        <w:gridCol w:w="1728"/>
      </w:tblGrid>
      <w:tr w:rsidR="00833724" w:rsidRPr="001B34D0" w:rsidTr="00000F81">
        <w:tc>
          <w:tcPr>
            <w:tcW w:w="219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833724" w:rsidRPr="001B34D0" w:rsidTr="00000F81">
        <w:tc>
          <w:tcPr>
            <w:tcW w:w="2196" w:type="dxa"/>
            <w:shd w:val="clear" w:color="auto" w:fill="auto"/>
          </w:tcPr>
          <w:p w:rsidR="00833724" w:rsidRPr="001B34D0" w:rsidRDefault="00833724" w:rsidP="00A92D87">
            <w:pPr>
              <w:spacing w:after="0" w:line="240" w:lineRule="auto"/>
              <w:rPr>
                <w:rFonts w:eastAsia="Calibri" w:cs="Times New Roman"/>
                <w:lang w:eastAsia="es-CO"/>
              </w:rPr>
            </w:pPr>
            <w:r w:rsidRPr="001B34D0">
              <w:rPr>
                <w:rFonts w:eastAsia="Calibri" w:cs="Times New Roman"/>
                <w:lang w:eastAsia="es-CO"/>
              </w:rPr>
              <w:t>Tasa de muertes por causa externa (18 - 28 años)</w:t>
            </w:r>
          </w:p>
        </w:tc>
        <w:tc>
          <w:tcPr>
            <w:tcW w:w="1765"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85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77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92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72 x 100000 Hbts</w:t>
            </w:r>
          </w:p>
        </w:tc>
      </w:tr>
      <w:tr w:rsidR="00833724" w:rsidRPr="001B34D0" w:rsidTr="00000F81">
        <w:tc>
          <w:tcPr>
            <w:tcW w:w="9259" w:type="dxa"/>
            <w:gridSpan w:val="5"/>
            <w:shd w:val="clear" w:color="auto" w:fill="auto"/>
          </w:tcPr>
          <w:p w:rsidR="00833724" w:rsidRPr="001B34D0" w:rsidRDefault="00833724"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833724" w:rsidRPr="001B34D0" w:rsidRDefault="00833724" w:rsidP="00A92D87">
      <w:pPr>
        <w:spacing w:after="200" w:line="240" w:lineRule="auto"/>
        <w:rPr>
          <w:rFonts w:eastAsia="Calibri" w:cs="Times New Roman"/>
          <w:b/>
        </w:rPr>
      </w:pPr>
      <w:r w:rsidRPr="001B34D0">
        <w:rPr>
          <w:rFonts w:eastAsia="Calibri" w:cs="Times New Roman"/>
          <w:b/>
        </w:rPr>
        <w:t xml:space="preserve">Gráfico: </w:t>
      </w:r>
    </w:p>
    <w:p w:rsidR="00833724" w:rsidRPr="001B34D0" w:rsidRDefault="00833724" w:rsidP="00A92D87">
      <w:pPr>
        <w:spacing w:after="200" w:line="240" w:lineRule="auto"/>
        <w:rPr>
          <w:rFonts w:eastAsia="Calibri" w:cs="Times New Roman"/>
          <w:b/>
        </w:rPr>
      </w:pPr>
      <w:r w:rsidRPr="001B34D0">
        <w:rPr>
          <w:rFonts w:eastAsia="Calibri" w:cs="Times New Roman"/>
          <w:noProof/>
          <w:lang w:val="es-ES" w:eastAsia="es-ES"/>
        </w:rPr>
        <w:lastRenderedPageBreak/>
        <w:drawing>
          <wp:inline distT="0" distB="0" distL="0" distR="0">
            <wp:extent cx="5532120" cy="2743200"/>
            <wp:effectExtent l="0" t="0" r="11430" b="0"/>
            <wp:docPr id="64" name="Gráfico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33724" w:rsidRPr="001B34D0" w:rsidRDefault="00833724" w:rsidP="00A92D87">
      <w:pPr>
        <w:spacing w:after="200" w:line="240" w:lineRule="auto"/>
        <w:rPr>
          <w:rFonts w:eastAsia="Calibri" w:cs="Times New Roman"/>
          <w:b/>
        </w:rPr>
      </w:pPr>
    </w:p>
    <w:p w:rsidR="00833724" w:rsidRPr="001B34D0" w:rsidRDefault="00833724"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 xml:space="preserve">El 54% de los casos presentados en lesiones por causa externa fatales corresponde a homicidios, el 19% a Suicidios, el 18% son muertes por accidentes de tránsito y el 9% otras muertes no intencionales. </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17"/>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Insumos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833724" w:rsidRPr="001B34D0" w:rsidRDefault="00833724" w:rsidP="00A92D87">
      <w:pPr>
        <w:suppressAutoHyphens/>
        <w:spacing w:after="0" w:line="240" w:lineRule="auto"/>
        <w:ind w:left="1080"/>
        <w:contextualSpacing/>
        <w:rPr>
          <w:rFonts w:eastAsia="Times New Roman" w:cs="Times New Roman"/>
          <w:lang w:val="es-ES" w:eastAsia="ar-SA"/>
        </w:rPr>
      </w:pPr>
    </w:p>
    <w:p w:rsidR="00833724" w:rsidRPr="001B34D0" w:rsidRDefault="00833724"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del Municipio de Pasto, monitorea tres líneas de vigilancia (Lesiones fatales, no fatales y violencia intrafamiliar), además realiza un monitoreo interno de la Secretaria de Gobierno en cuanto a los infractores del Decreto 0400, Centro Integral para la Convivencia CECON, infracciones urbanísticas y los Delito de Alto Impacto cuya fuente es Policía Nacional. El Observatorio del Delito, consolida mensualmente la información,  realiza el análisis respectivo a través de unas mesas temáticas de Seguridad, violencia intrafamiliar y conducta suicida, también se envía la información al Señor Alcalde y gabinete municipal  y realiza la publicación respectiva a la comunidad por medio  de la página WEB de la Alcaldía de Pasto www.pasto.gov.co</w:t>
      </w:r>
    </w:p>
    <w:p w:rsidR="00833724" w:rsidRPr="001B34D0" w:rsidRDefault="00833724" w:rsidP="00A92D87">
      <w:pPr>
        <w:suppressAutoHyphens/>
        <w:spacing w:after="0" w:line="240" w:lineRule="auto"/>
        <w:ind w:left="720"/>
        <w:contextualSpacing/>
        <w:rPr>
          <w:rFonts w:eastAsia="Times New Roman" w:cs="Times New Roman"/>
          <w:b/>
          <w:lang w:val="es-ES" w:eastAsia="ar-SA"/>
        </w:rPr>
      </w:pPr>
    </w:p>
    <w:p w:rsidR="00833724" w:rsidRPr="001B34D0" w:rsidRDefault="00833724"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Productos </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lastRenderedPageBreak/>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Indicadores de lesiones de causa externa fatal, no fatal, violencia intrafamiliar, delitos de alto impacto confiables, garantizando el total de unidades notificadoras en el sector salud, protección y justicia.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Impacto: </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En el periodo analizado 2011- 2014 se evidencia que las comunas con mayor problemática en lesiones fatales son las comunas 5, 1, 2 y en el corregimiento de Catambuco, con referente en la población masculina los cuales están más expuestos a situaciones de riesgo, agravándose el consumo de alcohol</w:t>
      </w:r>
      <w:r w:rsidR="007C3396" w:rsidRPr="001B34D0">
        <w:rPr>
          <w:rFonts w:eastAsia="Times New Roman" w:cs="Times New Roman"/>
          <w:lang w:val="es-ES" w:eastAsia="ar-SA"/>
        </w:rPr>
        <w:t>.</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1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833724" w:rsidRPr="001B34D0" w:rsidRDefault="00833724"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1B34D0">
        <w:rPr>
          <w:rFonts w:eastAsia="Calibri" w:cs="Times New Roman"/>
          <w:b/>
          <w:i/>
          <w:iCs/>
        </w:rPr>
        <w:t>DESCRIPCIÓN DEL INDICADOR No. 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trHeight w:val="285"/>
          <w:jc w:val="center"/>
        </w:trPr>
        <w:tc>
          <w:tcPr>
            <w:tcW w:w="8828" w:type="dxa"/>
            <w:shd w:val="clear" w:color="auto" w:fill="FFFFFF"/>
          </w:tcPr>
          <w:p w:rsidR="00833724" w:rsidRPr="001B34D0" w:rsidRDefault="00833724" w:rsidP="00A92D87">
            <w:pPr>
              <w:spacing w:after="0" w:line="240" w:lineRule="auto"/>
              <w:rPr>
                <w:rFonts w:eastAsia="Calibri" w:cs="Times New Roman"/>
                <w:b/>
                <w:bCs/>
              </w:rPr>
            </w:pPr>
            <w:r w:rsidRPr="001B34D0">
              <w:rPr>
                <w:rFonts w:eastAsia="Calibri" w:cs="Times New Roman"/>
                <w:b/>
                <w:bCs/>
              </w:rPr>
              <w:t>MUNICIPIO:  PASTO</w:t>
            </w:r>
          </w:p>
        </w:tc>
      </w:tr>
      <w:tr w:rsidR="00833724" w:rsidRPr="001B34D0" w:rsidTr="00000F81">
        <w:trPr>
          <w:trHeight w:val="579"/>
          <w:jc w:val="center"/>
        </w:trPr>
        <w:tc>
          <w:tcPr>
            <w:tcW w:w="8828" w:type="dxa"/>
            <w:shd w:val="clear" w:color="auto" w:fill="DAEEF3"/>
          </w:tcPr>
          <w:p w:rsidR="00833724" w:rsidRPr="001B34D0" w:rsidRDefault="00833724" w:rsidP="00A92D87">
            <w:pPr>
              <w:spacing w:after="0" w:line="240" w:lineRule="auto"/>
              <w:rPr>
                <w:rFonts w:eastAsia="Calibri" w:cs="Times New Roman"/>
                <w:b/>
                <w:bCs/>
              </w:rPr>
            </w:pPr>
            <w:r w:rsidRPr="001B34D0">
              <w:rPr>
                <w:rFonts w:eastAsia="Calibri" w:cs="Times New Roman"/>
                <w:b/>
                <w:bCs/>
              </w:rPr>
              <w:t>Nombre del indicador: Tasa de Homicidios (18 - 28 años)</w:t>
            </w:r>
          </w:p>
        </w:tc>
      </w:tr>
      <w:tr w:rsidR="00833724" w:rsidRPr="001B34D0" w:rsidTr="00000F81">
        <w:trPr>
          <w:trHeight w:val="332"/>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 xml:space="preserve">Fuente Nacional: </w:t>
            </w:r>
          </w:p>
          <w:p w:rsidR="00833724" w:rsidRPr="001B34D0" w:rsidRDefault="00833724"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833724" w:rsidRPr="001B34D0" w:rsidTr="00000F81">
        <w:trPr>
          <w:trHeight w:val="318"/>
          <w:jc w:val="center"/>
        </w:trPr>
        <w:tc>
          <w:tcPr>
            <w:tcW w:w="8828" w:type="dxa"/>
            <w:shd w:val="clear" w:color="auto" w:fill="DAEEF3"/>
          </w:tcPr>
          <w:p w:rsidR="00833724" w:rsidRPr="001B34D0" w:rsidRDefault="00833724" w:rsidP="00A92D87">
            <w:pPr>
              <w:spacing w:after="0" w:line="240" w:lineRule="auto"/>
              <w:rPr>
                <w:rFonts w:eastAsia="Calibri" w:cs="Times New Roman"/>
                <w:bCs/>
              </w:rPr>
            </w:pPr>
            <w:r w:rsidRPr="001B34D0">
              <w:rPr>
                <w:rFonts w:eastAsia="Calibri" w:cs="Times New Roman"/>
                <w:b/>
                <w:bCs/>
              </w:rPr>
              <w:t xml:space="preserve">Categoría de derechos: </w:t>
            </w:r>
          </w:p>
        </w:tc>
      </w:tr>
      <w:tr w:rsidR="00833724" w:rsidRPr="001B34D0" w:rsidTr="00000F81">
        <w:trPr>
          <w:trHeight w:val="283"/>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833724" w:rsidRPr="001B34D0" w:rsidRDefault="00833724" w:rsidP="00A92D87">
      <w:pPr>
        <w:suppressAutoHyphens/>
        <w:spacing w:after="0" w:line="240" w:lineRule="auto"/>
        <w:ind w:left="360"/>
        <w:contextualSpacing/>
        <w:rPr>
          <w:rFonts w:eastAsia="Times New Roman" w:cs="Times New Roman"/>
          <w:b/>
          <w:lang w:val="es-ES" w:eastAsia="ar-SA"/>
        </w:rPr>
      </w:pPr>
    </w:p>
    <w:p w:rsidR="00833724" w:rsidRPr="001B34D0" w:rsidRDefault="00833724" w:rsidP="00A92D87">
      <w:pPr>
        <w:numPr>
          <w:ilvl w:val="0"/>
          <w:numId w:val="55"/>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833724" w:rsidRPr="001B34D0" w:rsidRDefault="00833724"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833724" w:rsidRPr="001B34D0" w:rsidTr="00000F81">
        <w:tc>
          <w:tcPr>
            <w:tcW w:w="219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833724" w:rsidRPr="001B34D0" w:rsidTr="00000F81">
        <w:tc>
          <w:tcPr>
            <w:tcW w:w="2196" w:type="dxa"/>
            <w:shd w:val="clear" w:color="auto" w:fill="auto"/>
          </w:tcPr>
          <w:p w:rsidR="00833724" w:rsidRPr="001B34D0" w:rsidRDefault="00833724" w:rsidP="00A92D87">
            <w:pPr>
              <w:spacing w:after="0" w:line="240" w:lineRule="auto"/>
              <w:rPr>
                <w:rFonts w:eastAsia="Calibri" w:cs="Times New Roman"/>
                <w:lang w:eastAsia="es-CO"/>
              </w:rPr>
            </w:pPr>
            <w:r w:rsidRPr="001B34D0">
              <w:rPr>
                <w:rFonts w:eastAsia="Calibri" w:cs="Times New Roman"/>
                <w:lang w:eastAsia="es-CO"/>
              </w:rPr>
              <w:t>Tasa de Homicidios (18 - 28 años)</w:t>
            </w:r>
          </w:p>
        </w:tc>
        <w:tc>
          <w:tcPr>
            <w:tcW w:w="1765"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52x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41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51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32 x 100000 Hbts</w:t>
            </w:r>
          </w:p>
        </w:tc>
      </w:tr>
      <w:tr w:rsidR="00833724" w:rsidRPr="001B34D0" w:rsidTr="00000F81">
        <w:tc>
          <w:tcPr>
            <w:tcW w:w="9259" w:type="dxa"/>
            <w:gridSpan w:val="5"/>
            <w:shd w:val="clear" w:color="auto" w:fill="auto"/>
          </w:tcPr>
          <w:p w:rsidR="00833724" w:rsidRPr="001B34D0" w:rsidRDefault="00833724"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833724" w:rsidRPr="001B34D0" w:rsidRDefault="00833724" w:rsidP="00A92D87">
      <w:pPr>
        <w:spacing w:after="200" w:line="240" w:lineRule="auto"/>
        <w:rPr>
          <w:rFonts w:eastAsia="Calibri" w:cs="Times New Roman"/>
        </w:rPr>
      </w:pPr>
    </w:p>
    <w:p w:rsidR="00833724" w:rsidRPr="001B34D0" w:rsidRDefault="00833724" w:rsidP="00A92D87">
      <w:pPr>
        <w:spacing w:after="200" w:line="240" w:lineRule="auto"/>
        <w:rPr>
          <w:rFonts w:eastAsia="Calibri" w:cs="Times New Roman"/>
          <w:b/>
        </w:rPr>
      </w:pPr>
      <w:r w:rsidRPr="001B34D0">
        <w:rPr>
          <w:rFonts w:eastAsia="Calibri" w:cs="Times New Roman"/>
          <w:b/>
        </w:rPr>
        <w:t xml:space="preserve">Gráfico: </w:t>
      </w:r>
    </w:p>
    <w:p w:rsidR="00833724" w:rsidRPr="001B34D0" w:rsidRDefault="00833724" w:rsidP="00A92D87">
      <w:pPr>
        <w:spacing w:after="200" w:line="240" w:lineRule="auto"/>
        <w:rPr>
          <w:rFonts w:eastAsia="Calibri" w:cs="Times New Roman"/>
          <w:b/>
        </w:rPr>
      </w:pPr>
      <w:r w:rsidRPr="001B34D0">
        <w:rPr>
          <w:rFonts w:eastAsia="Calibri" w:cs="Times New Roman"/>
          <w:noProof/>
          <w:lang w:val="es-ES" w:eastAsia="es-ES"/>
        </w:rPr>
        <w:drawing>
          <wp:inline distT="0" distB="0" distL="0" distR="0">
            <wp:extent cx="5486400" cy="2743200"/>
            <wp:effectExtent l="0" t="0" r="0" b="0"/>
            <wp:docPr id="65" name="Gráfico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33724" w:rsidRPr="001B34D0" w:rsidRDefault="00833724" w:rsidP="00A92D87">
      <w:pPr>
        <w:numPr>
          <w:ilvl w:val="0"/>
          <w:numId w:val="55"/>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95% de los casos presentados de homicidios son hombres, en el periodo comprendido entre los años 2011-2014, el 51% de los homicidios se presentaron con arma de fuego y el 45% con arma blanca; el 39%, de estos homicidios se presentaron bajo el contexto de violencia interpersonal riñas, en horarios de la noche y madrugada los fines de semana. Espacialmente ubicados en la comuna 5, 4, 3, 10 y el corregimiento de catambuco.</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5"/>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Insumos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833724" w:rsidRPr="001B34D0" w:rsidRDefault="00833724" w:rsidP="00A92D87">
      <w:pPr>
        <w:suppressAutoHyphens/>
        <w:spacing w:after="0" w:line="240" w:lineRule="auto"/>
        <w:ind w:left="1080"/>
        <w:contextualSpacing/>
        <w:rPr>
          <w:rFonts w:eastAsia="Times New Roman" w:cs="Times New Roman"/>
          <w:lang w:val="es-ES" w:eastAsia="ar-SA"/>
        </w:rPr>
      </w:pPr>
    </w:p>
    <w:p w:rsidR="00833724" w:rsidRPr="001B34D0" w:rsidRDefault="00833724" w:rsidP="00A92D87">
      <w:pPr>
        <w:numPr>
          <w:ilvl w:val="0"/>
          <w:numId w:val="55"/>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833724" w:rsidRPr="001B34D0" w:rsidRDefault="00833724" w:rsidP="00A92D87">
      <w:pPr>
        <w:spacing w:after="200" w:line="240" w:lineRule="auto"/>
        <w:ind w:left="360"/>
        <w:jc w:val="both"/>
        <w:rPr>
          <w:rFonts w:eastAsia="Calibri" w:cs="Times New Roman"/>
        </w:rPr>
      </w:pPr>
      <w:r w:rsidRPr="001B34D0">
        <w:rPr>
          <w:rFonts w:eastAsia="Calibri" w:cs="Times New Roman"/>
        </w:rPr>
        <w:lastRenderedPageBreak/>
        <w:t>Además de los indicadores, del análisis evolutivo de la violencia y de la distribución  espacial geo referenciada que permite contar con información sectorizada y más exacta, de acuerdo a las doce comunas, setenta y seis (76) cuadrantes y diecisiete (17) corregimientos; en cada informe, se muestra una exposición del alto impacto de las Unidades de Policía Nacional,  en especial el de la Policía Metropolitana de Pasto, programas y actividades  que están a cargo de la Secretaria de Gobierno Municipal.</w:t>
      </w:r>
    </w:p>
    <w:p w:rsidR="00833724" w:rsidRPr="001B34D0" w:rsidRDefault="00833724" w:rsidP="00A92D87">
      <w:pPr>
        <w:numPr>
          <w:ilvl w:val="0"/>
          <w:numId w:val="55"/>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5"/>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Indicadores de homicidios confiables, destacando que a nivel de homicidios el año 2014, ha sido el año con menor número de casos en los doce años de monitoreo y para el grupo de edad de los 18 a los 28 años, presenta una tasa de 32 x 100000 habitantes, bajando 19 puntos en la tasa con respecto al año 2013.</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5"/>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5"/>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En el periodo analizado 2011- 2014 se evidencia que las comunas con mayor problemática en lesiones fatales son las comunas 5, 4, 3, 10 y en el corregimiento de Catambuco, con referente en la población masculina los cuales están más expuestos en este evento, hay que hacer énfasis en el trabajo de tolerancia y sana convivencia.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5"/>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833724" w:rsidRPr="001B34D0" w:rsidRDefault="00833724" w:rsidP="00A92D87">
      <w:pPr>
        <w:spacing w:after="200" w:line="240" w:lineRule="auto"/>
        <w:rPr>
          <w:rFonts w:eastAsia="Calibri" w:cs="Times New Roman"/>
          <w:b/>
        </w:rPr>
      </w:pPr>
    </w:p>
    <w:p w:rsidR="00833724" w:rsidRPr="001B34D0" w:rsidRDefault="00833724"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1B34D0">
        <w:rPr>
          <w:rFonts w:eastAsia="Calibri" w:cs="Times New Roman"/>
          <w:b/>
          <w:i/>
          <w:iCs/>
        </w:rPr>
        <w:lastRenderedPageBreak/>
        <w:t>DESCRIPCIÓN DEL INDICADOR No. 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trHeight w:val="579"/>
          <w:jc w:val="center"/>
        </w:trPr>
        <w:tc>
          <w:tcPr>
            <w:tcW w:w="8828" w:type="dxa"/>
            <w:shd w:val="clear" w:color="auto" w:fill="FFFFFF"/>
          </w:tcPr>
          <w:p w:rsidR="00833724" w:rsidRPr="001B34D0" w:rsidRDefault="00833724" w:rsidP="00A92D87">
            <w:pPr>
              <w:spacing w:after="0" w:line="240" w:lineRule="auto"/>
              <w:rPr>
                <w:rFonts w:eastAsia="Calibri" w:cs="Times New Roman"/>
                <w:b/>
                <w:bCs/>
              </w:rPr>
            </w:pPr>
            <w:r w:rsidRPr="001B34D0">
              <w:rPr>
                <w:rFonts w:eastAsia="Calibri" w:cs="Times New Roman"/>
                <w:b/>
                <w:bCs/>
              </w:rPr>
              <w:t>MUNICIPIO:  PASTO</w:t>
            </w:r>
          </w:p>
        </w:tc>
      </w:tr>
      <w:tr w:rsidR="00833724" w:rsidRPr="001B34D0" w:rsidTr="00000F81">
        <w:trPr>
          <w:trHeight w:val="579"/>
          <w:jc w:val="center"/>
        </w:trPr>
        <w:tc>
          <w:tcPr>
            <w:tcW w:w="8828" w:type="dxa"/>
            <w:shd w:val="clear" w:color="auto" w:fill="DAEEF3"/>
          </w:tcPr>
          <w:p w:rsidR="00833724" w:rsidRPr="001B34D0" w:rsidRDefault="00833724" w:rsidP="00A92D87">
            <w:pPr>
              <w:spacing w:after="0" w:line="240" w:lineRule="auto"/>
              <w:rPr>
                <w:rFonts w:eastAsia="Calibri" w:cs="Times New Roman"/>
                <w:b/>
                <w:bCs/>
              </w:rPr>
            </w:pPr>
            <w:r w:rsidRPr="001B34D0">
              <w:rPr>
                <w:rFonts w:eastAsia="Calibri" w:cs="Times New Roman"/>
                <w:b/>
                <w:bCs/>
              </w:rPr>
              <w:t>Nombre del indicador: Tasa de suicidios (18 - 28 años)</w:t>
            </w:r>
          </w:p>
        </w:tc>
      </w:tr>
      <w:tr w:rsidR="00833724" w:rsidRPr="001B34D0" w:rsidTr="00000F81">
        <w:trPr>
          <w:trHeight w:val="332"/>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 xml:space="preserve">Fuente Nacional: </w:t>
            </w:r>
          </w:p>
          <w:p w:rsidR="00833724" w:rsidRPr="001B34D0" w:rsidRDefault="00833724"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833724" w:rsidRPr="001B34D0" w:rsidTr="00000F81">
        <w:trPr>
          <w:trHeight w:val="458"/>
          <w:jc w:val="center"/>
        </w:trPr>
        <w:tc>
          <w:tcPr>
            <w:tcW w:w="8828" w:type="dxa"/>
            <w:shd w:val="clear" w:color="auto" w:fill="DAEEF3"/>
          </w:tcPr>
          <w:p w:rsidR="00833724" w:rsidRPr="001B34D0" w:rsidRDefault="00833724" w:rsidP="00A92D87">
            <w:pPr>
              <w:spacing w:after="0" w:line="240" w:lineRule="auto"/>
              <w:rPr>
                <w:rFonts w:eastAsia="Calibri" w:cs="Times New Roman"/>
                <w:bCs/>
              </w:rPr>
            </w:pPr>
            <w:r w:rsidRPr="001B34D0">
              <w:rPr>
                <w:rFonts w:eastAsia="Calibri" w:cs="Times New Roman"/>
                <w:b/>
                <w:bCs/>
              </w:rPr>
              <w:t xml:space="preserve">Categoría de derechos: </w:t>
            </w:r>
          </w:p>
        </w:tc>
      </w:tr>
      <w:tr w:rsidR="00833724" w:rsidRPr="001B34D0" w:rsidTr="00000F81">
        <w:trPr>
          <w:trHeight w:val="458"/>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833724" w:rsidRPr="001B34D0" w:rsidRDefault="00833724" w:rsidP="00A92D87">
      <w:pPr>
        <w:numPr>
          <w:ilvl w:val="0"/>
          <w:numId w:val="56"/>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833724" w:rsidRPr="001B34D0" w:rsidRDefault="00833724"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833724" w:rsidRPr="001B34D0" w:rsidTr="00000F81">
        <w:tc>
          <w:tcPr>
            <w:tcW w:w="219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833724" w:rsidRPr="001B34D0" w:rsidTr="00000F81">
        <w:tc>
          <w:tcPr>
            <w:tcW w:w="2196" w:type="dxa"/>
            <w:shd w:val="clear" w:color="auto" w:fill="auto"/>
          </w:tcPr>
          <w:p w:rsidR="00833724" w:rsidRPr="001B34D0" w:rsidRDefault="00833724" w:rsidP="00A92D87">
            <w:pPr>
              <w:spacing w:after="0" w:line="240" w:lineRule="auto"/>
              <w:rPr>
                <w:rFonts w:eastAsia="Calibri" w:cs="Times New Roman"/>
                <w:lang w:eastAsia="es-CO"/>
              </w:rPr>
            </w:pPr>
            <w:r w:rsidRPr="001B34D0">
              <w:rPr>
                <w:rFonts w:eastAsia="Calibri" w:cs="Times New Roman"/>
                <w:lang w:eastAsia="es-CO"/>
              </w:rPr>
              <w:t>Tasa de suicidios (18 - 28 años)</w:t>
            </w:r>
          </w:p>
        </w:tc>
        <w:tc>
          <w:tcPr>
            <w:tcW w:w="1765"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17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21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11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13 x 100000 Hbts</w:t>
            </w:r>
          </w:p>
        </w:tc>
      </w:tr>
      <w:tr w:rsidR="00833724" w:rsidRPr="001B34D0" w:rsidTr="00000F81">
        <w:tc>
          <w:tcPr>
            <w:tcW w:w="9259" w:type="dxa"/>
            <w:gridSpan w:val="5"/>
            <w:shd w:val="clear" w:color="auto" w:fill="auto"/>
          </w:tcPr>
          <w:p w:rsidR="00833724" w:rsidRPr="001B34D0" w:rsidRDefault="00833724"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833724" w:rsidRPr="001B34D0" w:rsidRDefault="00833724" w:rsidP="00A92D87">
      <w:pPr>
        <w:spacing w:after="200" w:line="240" w:lineRule="auto"/>
        <w:rPr>
          <w:rFonts w:eastAsia="Calibri" w:cs="Times New Roman"/>
          <w:b/>
        </w:rPr>
      </w:pPr>
      <w:r w:rsidRPr="001B34D0">
        <w:rPr>
          <w:rFonts w:eastAsia="Calibri" w:cs="Times New Roman"/>
          <w:b/>
        </w:rPr>
        <w:t xml:space="preserve">Gráfico: </w:t>
      </w:r>
    </w:p>
    <w:p w:rsidR="00833724" w:rsidRPr="001B34D0" w:rsidRDefault="00833724" w:rsidP="00A92D87">
      <w:pPr>
        <w:spacing w:after="200" w:line="240" w:lineRule="auto"/>
        <w:rPr>
          <w:rFonts w:eastAsia="Calibri" w:cs="Times New Roman"/>
          <w:b/>
        </w:rPr>
      </w:pPr>
      <w:r w:rsidRPr="001B34D0">
        <w:rPr>
          <w:rFonts w:eastAsia="Calibri" w:cs="Times New Roman"/>
          <w:noProof/>
          <w:lang w:val="es-ES" w:eastAsia="es-ES"/>
        </w:rPr>
        <w:drawing>
          <wp:inline distT="0" distB="0" distL="0" distR="0">
            <wp:extent cx="5486400" cy="2743200"/>
            <wp:effectExtent l="0" t="0" r="0" b="0"/>
            <wp:docPr id="66" name="Gráfico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33724" w:rsidRPr="001B34D0" w:rsidRDefault="00833724" w:rsidP="00A92D87">
      <w:pPr>
        <w:numPr>
          <w:ilvl w:val="0"/>
          <w:numId w:val="56"/>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71% de los casos presentados de suicidios de los 18 a los 28 años son hombres, el factor desencadenante de este evento es el conflicto con la pareja, otro tipo de eventos como depresión y en la mayoría de los casos se desconoce las causas de esta decisión, donde el medio más utilizado es el ahorcamiento y la intoxicación.</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6"/>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Insumos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lastRenderedPageBreak/>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833724" w:rsidRPr="001B34D0" w:rsidRDefault="00833724" w:rsidP="00A92D87">
      <w:pPr>
        <w:suppressAutoHyphens/>
        <w:spacing w:after="0" w:line="240" w:lineRule="auto"/>
        <w:ind w:left="1080"/>
        <w:contextualSpacing/>
        <w:rPr>
          <w:rFonts w:eastAsia="Times New Roman" w:cs="Times New Roman"/>
          <w:lang w:val="es-ES" w:eastAsia="ar-SA"/>
        </w:rPr>
      </w:pPr>
    </w:p>
    <w:p w:rsidR="00833724" w:rsidRPr="001B34D0" w:rsidRDefault="00833724" w:rsidP="00A92D87">
      <w:pPr>
        <w:numPr>
          <w:ilvl w:val="0"/>
          <w:numId w:val="56"/>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833724" w:rsidRPr="001B34D0" w:rsidRDefault="00833724" w:rsidP="00A92D87">
      <w:pPr>
        <w:spacing w:after="200" w:line="240" w:lineRule="auto"/>
        <w:ind w:left="360"/>
        <w:jc w:val="both"/>
        <w:rPr>
          <w:rFonts w:eastAsia="Calibri" w:cs="Times New Roman"/>
          <w:b/>
        </w:rPr>
      </w:pPr>
      <w:r w:rsidRPr="001B34D0">
        <w:rPr>
          <w:rFonts w:eastAsia="Calibri" w:cs="Times New Roman"/>
        </w:rPr>
        <w:t>Este hecho social, se sabe que va en aumento,  de hecho un estudio de esta clase, muestra no solo quien está como representante y que propuestas deben cambiar, “Según la OMS, en el 2020 aproximadamente 1,53 millones de personas se suicidarán y de 10 a 20 veces más lo intentarán”. En esta región del sur de Colombia se han venido presentando tasas de suicidios que llegan a superar en varias veces el promedio  Nacional.</w:t>
      </w:r>
    </w:p>
    <w:p w:rsidR="00833724" w:rsidRPr="001B34D0" w:rsidRDefault="00833724" w:rsidP="00A92D87">
      <w:pPr>
        <w:numPr>
          <w:ilvl w:val="0"/>
          <w:numId w:val="56"/>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6"/>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Resultados al término de la gestión  (2012 -2014): </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ámbito de enfermedades psicológicas se puede ver que son una de las causas  más importantes o con mayor relevancia, ya que esta población se ha ido incrementando en la ciudad de Pasto, en una mayor medida, la depresión. La vida de los jóvenes está cambiando constantemente y se enfrentan a un sin número de problemas y dificultades los cuales no todos los asumen de la misma manera.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Se conoce que el alcoholismo, conlleva a tomar decisiones a la carrera, puesto que en este estado se cambia de ánimo con facilidad, además que el cerebro no funciona de la misma manera, que sin alcohol, y se descontrola el sistema nervioso central. Se habla de este factos puesto que se conoce que en Pasto los días viernes son espacios para el encuentro popular, en sitios de expendio de bebidas con alcohol.</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6"/>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suppressAutoHyphens/>
        <w:spacing w:after="0" w:line="240" w:lineRule="auto"/>
        <w:ind w:left="720"/>
        <w:contextualSpacing/>
        <w:jc w:val="both"/>
        <w:rPr>
          <w:rFonts w:eastAsia="Times New Roman" w:cs="Times New Roman"/>
          <w:lang w:val="es-ES" w:eastAsia="ar-SA"/>
        </w:rPr>
      </w:pPr>
      <w:r w:rsidRPr="001B34D0">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lastRenderedPageBreak/>
        <w:t>Nos permite tomar decisiones en base a la evidencia.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6"/>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Aparentemente, las estadísticas nos revelan una tendencia al aumento de la frecuencia de los suicidios en los períodos de crisis económica. Lo que le interesa por encima de todo, al extremo de obsesionarlo, es en efecto la crisis de la sociedad moderna que se define por la desintegración social y la debilidad de los vínculos que relacionan al individuo con la familia o con el grupo.</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numPr>
          <w:ilvl w:val="0"/>
          <w:numId w:val="56"/>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spacing w:after="200" w:line="240" w:lineRule="auto"/>
        <w:rPr>
          <w:rFonts w:eastAsia="Calibri" w:cs="Times New Roman"/>
          <w:b/>
        </w:rPr>
      </w:pPr>
    </w:p>
    <w:p w:rsidR="00833724" w:rsidRPr="001B34D0" w:rsidRDefault="00833724"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1B34D0">
        <w:rPr>
          <w:rFonts w:eastAsia="Calibri" w:cs="Times New Roman"/>
          <w:b/>
          <w:i/>
          <w:iCs/>
        </w:rPr>
        <w:t>DESCRIPCIÓN DEL INDICADOR No. 113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trHeight w:val="361"/>
          <w:jc w:val="center"/>
        </w:trPr>
        <w:tc>
          <w:tcPr>
            <w:tcW w:w="8828" w:type="dxa"/>
            <w:shd w:val="clear" w:color="auto" w:fill="FFFFFF"/>
          </w:tcPr>
          <w:p w:rsidR="00833724" w:rsidRPr="001B34D0" w:rsidRDefault="00833724" w:rsidP="00A92D87">
            <w:pPr>
              <w:spacing w:after="0" w:line="240" w:lineRule="auto"/>
              <w:rPr>
                <w:rFonts w:eastAsia="Calibri" w:cs="Times New Roman"/>
                <w:b/>
                <w:bCs/>
              </w:rPr>
            </w:pPr>
            <w:r w:rsidRPr="001B34D0">
              <w:rPr>
                <w:rFonts w:eastAsia="Calibri" w:cs="Times New Roman"/>
                <w:b/>
                <w:bCs/>
              </w:rPr>
              <w:t>MUNICIPIO:  PASTO</w:t>
            </w:r>
          </w:p>
        </w:tc>
      </w:tr>
      <w:tr w:rsidR="00833724" w:rsidRPr="001B34D0" w:rsidTr="00000F81">
        <w:trPr>
          <w:trHeight w:val="579"/>
          <w:jc w:val="center"/>
        </w:trPr>
        <w:tc>
          <w:tcPr>
            <w:tcW w:w="8828" w:type="dxa"/>
            <w:shd w:val="clear" w:color="auto" w:fill="DAEEF3"/>
          </w:tcPr>
          <w:p w:rsidR="00833724" w:rsidRPr="001B34D0" w:rsidRDefault="00833724" w:rsidP="00A92D87">
            <w:pPr>
              <w:spacing w:after="0" w:line="240" w:lineRule="auto"/>
              <w:rPr>
                <w:rFonts w:eastAsia="Calibri" w:cs="Times New Roman"/>
                <w:b/>
                <w:bCs/>
              </w:rPr>
            </w:pPr>
            <w:r w:rsidRPr="001B34D0">
              <w:rPr>
                <w:rFonts w:eastAsia="Calibri" w:cs="Times New Roman"/>
                <w:b/>
                <w:bCs/>
              </w:rPr>
              <w:t>Nombre del indicador: Tasa de  Otros accidentes en el total de muertes  por causa externa (18 -28 años)</w:t>
            </w:r>
          </w:p>
        </w:tc>
      </w:tr>
      <w:tr w:rsidR="00833724" w:rsidRPr="001B34D0" w:rsidTr="00000F81">
        <w:trPr>
          <w:trHeight w:val="332"/>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 xml:space="preserve">Fuente Nacional: </w:t>
            </w:r>
          </w:p>
          <w:p w:rsidR="00833724" w:rsidRPr="001B34D0" w:rsidRDefault="00833724"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833724" w:rsidRPr="001B34D0" w:rsidTr="00000F81">
        <w:trPr>
          <w:trHeight w:val="458"/>
          <w:jc w:val="center"/>
        </w:trPr>
        <w:tc>
          <w:tcPr>
            <w:tcW w:w="8828" w:type="dxa"/>
            <w:shd w:val="clear" w:color="auto" w:fill="DAEEF3"/>
          </w:tcPr>
          <w:p w:rsidR="00833724" w:rsidRPr="001B34D0" w:rsidRDefault="00833724" w:rsidP="00A92D87">
            <w:pPr>
              <w:spacing w:after="0" w:line="240" w:lineRule="auto"/>
              <w:rPr>
                <w:rFonts w:eastAsia="Calibri" w:cs="Times New Roman"/>
                <w:bCs/>
              </w:rPr>
            </w:pPr>
            <w:r w:rsidRPr="001B34D0">
              <w:rPr>
                <w:rFonts w:eastAsia="Calibri" w:cs="Times New Roman"/>
                <w:b/>
                <w:bCs/>
              </w:rPr>
              <w:t xml:space="preserve">Categoría de derechos: </w:t>
            </w:r>
          </w:p>
        </w:tc>
      </w:tr>
      <w:tr w:rsidR="00833724" w:rsidRPr="001B34D0" w:rsidTr="00000F81">
        <w:trPr>
          <w:trHeight w:val="458"/>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833724" w:rsidRPr="001B34D0" w:rsidRDefault="00833724" w:rsidP="00A92D87">
      <w:pPr>
        <w:suppressAutoHyphens/>
        <w:spacing w:after="0" w:line="240" w:lineRule="auto"/>
        <w:ind w:left="720"/>
        <w:contextualSpacing/>
        <w:rPr>
          <w:rFonts w:eastAsia="Times New Roman" w:cs="Times New Roman"/>
          <w:b/>
          <w:lang w:val="es-ES" w:eastAsia="ar-SA"/>
        </w:rPr>
      </w:pPr>
    </w:p>
    <w:p w:rsidR="00833724" w:rsidRPr="001B34D0" w:rsidRDefault="00833724" w:rsidP="00A92D87">
      <w:pPr>
        <w:numPr>
          <w:ilvl w:val="0"/>
          <w:numId w:val="57"/>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833724" w:rsidRPr="001B34D0" w:rsidRDefault="00833724"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833724" w:rsidRPr="001B34D0" w:rsidTr="00000F81">
        <w:tc>
          <w:tcPr>
            <w:tcW w:w="219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833724" w:rsidRPr="001B34D0" w:rsidTr="00000F81">
        <w:tc>
          <w:tcPr>
            <w:tcW w:w="2196" w:type="dxa"/>
            <w:shd w:val="clear" w:color="auto" w:fill="auto"/>
          </w:tcPr>
          <w:p w:rsidR="00833724" w:rsidRPr="001B34D0" w:rsidRDefault="00833724" w:rsidP="00A92D87">
            <w:pPr>
              <w:spacing w:after="0" w:line="240" w:lineRule="auto"/>
              <w:rPr>
                <w:rFonts w:eastAsia="Calibri" w:cs="Times New Roman"/>
                <w:lang w:eastAsia="es-CO"/>
              </w:rPr>
            </w:pPr>
            <w:r w:rsidRPr="001B34D0">
              <w:rPr>
                <w:rFonts w:eastAsia="Calibri" w:cs="Times New Roman"/>
                <w:lang w:eastAsia="es-CO"/>
              </w:rPr>
              <w:t>Tasa de  Otros accidentes en el total de muertes  por causa externa (18 -28 años)</w:t>
            </w:r>
          </w:p>
        </w:tc>
        <w:tc>
          <w:tcPr>
            <w:tcW w:w="1765"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10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4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7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8 x 100000 Hbts</w:t>
            </w:r>
          </w:p>
        </w:tc>
      </w:tr>
      <w:tr w:rsidR="00833724" w:rsidRPr="001B34D0" w:rsidTr="00000F81">
        <w:tc>
          <w:tcPr>
            <w:tcW w:w="9259" w:type="dxa"/>
            <w:gridSpan w:val="5"/>
            <w:shd w:val="clear" w:color="auto" w:fill="auto"/>
          </w:tcPr>
          <w:p w:rsidR="00833724" w:rsidRPr="001B34D0" w:rsidRDefault="00833724"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833724" w:rsidRPr="001B34D0" w:rsidRDefault="00833724" w:rsidP="00A92D87">
      <w:pPr>
        <w:spacing w:after="200" w:line="240" w:lineRule="auto"/>
        <w:rPr>
          <w:rFonts w:eastAsia="Calibri" w:cs="Times New Roman"/>
        </w:rPr>
      </w:pPr>
    </w:p>
    <w:p w:rsidR="00833724" w:rsidRPr="001B34D0" w:rsidRDefault="00833724" w:rsidP="00A92D87">
      <w:pPr>
        <w:spacing w:after="200" w:line="240" w:lineRule="auto"/>
        <w:rPr>
          <w:rFonts w:eastAsia="Calibri" w:cs="Times New Roman"/>
          <w:b/>
        </w:rPr>
      </w:pPr>
      <w:r w:rsidRPr="001B34D0">
        <w:rPr>
          <w:rFonts w:eastAsia="Calibri" w:cs="Times New Roman"/>
          <w:b/>
        </w:rPr>
        <w:t xml:space="preserve">Gráfico: </w:t>
      </w:r>
    </w:p>
    <w:p w:rsidR="00833724" w:rsidRPr="001B34D0" w:rsidRDefault="00833724" w:rsidP="00A92D87">
      <w:pPr>
        <w:spacing w:after="200" w:line="240" w:lineRule="auto"/>
        <w:rPr>
          <w:rFonts w:eastAsia="Calibri" w:cs="Times New Roman"/>
          <w:b/>
        </w:rPr>
      </w:pPr>
      <w:r w:rsidRPr="001B34D0">
        <w:rPr>
          <w:rFonts w:eastAsia="Calibri" w:cs="Times New Roman"/>
          <w:noProof/>
          <w:lang w:val="es-ES" w:eastAsia="es-ES"/>
        </w:rPr>
        <w:lastRenderedPageBreak/>
        <w:drawing>
          <wp:inline distT="0" distB="0" distL="0" distR="0">
            <wp:extent cx="5503545" cy="2352040"/>
            <wp:effectExtent l="0" t="0" r="1905" b="10160"/>
            <wp:docPr id="67" name="Gráfico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33724" w:rsidRPr="001B34D0" w:rsidRDefault="00833724" w:rsidP="00A92D87">
      <w:pPr>
        <w:numPr>
          <w:ilvl w:val="0"/>
          <w:numId w:val="5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833724" w:rsidRPr="001B34D0" w:rsidRDefault="00833724" w:rsidP="00A92D87">
      <w:pPr>
        <w:spacing w:after="200" w:line="240" w:lineRule="auto"/>
        <w:ind w:left="360"/>
        <w:jc w:val="both"/>
        <w:rPr>
          <w:rFonts w:eastAsia="Calibri" w:cs="Times New Roman"/>
        </w:rPr>
      </w:pPr>
      <w:r w:rsidRPr="001B34D0">
        <w:rPr>
          <w:rFonts w:eastAsia="Calibri" w:cs="Times New Roman"/>
        </w:rPr>
        <w:t>El 75% de los casos presentados de otras muertes no intencionales son hombres, el mecanismo de este tipo de muertes son las caidas33%, seguido de otros medios y asfixias ocurridas principalmente en el lugar de trabajo y en la vía pública.</w:t>
      </w:r>
    </w:p>
    <w:p w:rsidR="00833724" w:rsidRPr="001B34D0" w:rsidRDefault="00833724" w:rsidP="00A92D87">
      <w:pPr>
        <w:numPr>
          <w:ilvl w:val="0"/>
          <w:numId w:val="57"/>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 xml:space="preserve">Insumos </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833724" w:rsidRPr="001B34D0" w:rsidRDefault="00833724" w:rsidP="00A92D87">
      <w:pPr>
        <w:suppressAutoHyphens/>
        <w:spacing w:after="0" w:line="240" w:lineRule="auto"/>
        <w:ind w:left="1080"/>
        <w:contextualSpacing/>
        <w:rPr>
          <w:rFonts w:eastAsia="Times New Roman" w:cs="Times New Roman"/>
          <w:lang w:val="es-ES" w:eastAsia="ar-SA"/>
        </w:rPr>
      </w:pPr>
    </w:p>
    <w:p w:rsidR="00833724" w:rsidRPr="001B34D0" w:rsidRDefault="00833724" w:rsidP="00A92D87">
      <w:pPr>
        <w:numPr>
          <w:ilvl w:val="0"/>
          <w:numId w:val="5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833724" w:rsidRPr="001B34D0" w:rsidRDefault="00833724" w:rsidP="00A92D87">
      <w:pPr>
        <w:spacing w:after="200" w:line="240" w:lineRule="auto"/>
        <w:ind w:left="360"/>
        <w:jc w:val="both"/>
        <w:rPr>
          <w:rFonts w:eastAsia="Calibri" w:cs="Times New Roman"/>
          <w:b/>
        </w:rPr>
      </w:pPr>
      <w:r w:rsidRPr="001B34D0">
        <w:rPr>
          <w:rFonts w:eastAsia="Calibri" w:cs="Times New Roman"/>
        </w:rPr>
        <w:t>Desde la Secretaria de salud, se viene trabajando en acciones como IAMI, técnicas de lactancia dirigida a madres lactantes, los decretos de prohibición en expendio, distribución y consumo de pólvora y lo de riesgo en el ambiente laboral, por parte de la Secretaria de Gobierno en lo del Decreto 0240 del CECON, donde son medidas de conducción a personas en alto grado de alicoramiento y exaltación; el Decreto 0400, donde se protege a los menores que están en la vía publica después de las 10 de la noche.</w:t>
      </w:r>
    </w:p>
    <w:p w:rsidR="00833724" w:rsidRPr="001B34D0" w:rsidRDefault="00833724" w:rsidP="00A92D87">
      <w:pPr>
        <w:numPr>
          <w:ilvl w:val="0"/>
          <w:numId w:val="5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En término de otras muertes no intencionales en el grupo de 18 a 28 años  se presenta un aumento de 1 puntos en la tasa para el año 2014.</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Impacto</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Es importante no descuidar las broncas aspiraciones en adultos en estos últimos por el consumo excesivo de alcohol y tener en cuenta las condiciones laborales, ya que el 21% de estas muertes ocurrió en el lugar de trabajo.</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numPr>
          <w:ilvl w:val="0"/>
          <w:numId w:val="57"/>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833724" w:rsidRPr="001B34D0" w:rsidRDefault="00833724" w:rsidP="00A92D87">
      <w:pPr>
        <w:pBdr>
          <w:top w:val="single" w:sz="4" w:space="10" w:color="4F81BD"/>
          <w:bottom w:val="single" w:sz="4" w:space="10" w:color="4F81BD"/>
        </w:pBdr>
        <w:spacing w:before="360" w:after="0" w:line="240" w:lineRule="auto"/>
        <w:ind w:left="864" w:right="864"/>
        <w:jc w:val="center"/>
        <w:rPr>
          <w:rFonts w:eastAsia="Calibri" w:cs="Times New Roman"/>
          <w:b/>
          <w:i/>
          <w:iCs/>
        </w:rPr>
      </w:pPr>
      <w:r w:rsidRPr="001B34D0">
        <w:rPr>
          <w:rFonts w:eastAsia="Calibri" w:cs="Times New Roman"/>
          <w:b/>
          <w:i/>
          <w:iCs/>
        </w:rPr>
        <w:t>DESCRIPCIÓN DEL INDICADOR No. 114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trHeight w:val="361"/>
          <w:jc w:val="center"/>
        </w:trPr>
        <w:tc>
          <w:tcPr>
            <w:tcW w:w="8828" w:type="dxa"/>
            <w:shd w:val="clear" w:color="auto" w:fill="FFFFFF"/>
          </w:tcPr>
          <w:p w:rsidR="00833724" w:rsidRPr="001B34D0" w:rsidRDefault="00833724" w:rsidP="00A92D87">
            <w:pPr>
              <w:spacing w:after="0" w:line="240" w:lineRule="auto"/>
              <w:rPr>
                <w:rFonts w:eastAsia="Calibri" w:cs="Times New Roman"/>
                <w:b/>
                <w:bCs/>
              </w:rPr>
            </w:pPr>
            <w:r w:rsidRPr="001B34D0">
              <w:rPr>
                <w:rFonts w:eastAsia="Calibri" w:cs="Times New Roman"/>
                <w:b/>
                <w:bCs/>
              </w:rPr>
              <w:t>MUNICIPIO:  PASTO</w:t>
            </w:r>
          </w:p>
        </w:tc>
      </w:tr>
      <w:tr w:rsidR="00833724" w:rsidRPr="001B34D0" w:rsidTr="00000F81">
        <w:trPr>
          <w:trHeight w:val="579"/>
          <w:jc w:val="center"/>
        </w:trPr>
        <w:tc>
          <w:tcPr>
            <w:tcW w:w="8828" w:type="dxa"/>
            <w:shd w:val="clear" w:color="auto" w:fill="DAEEF3"/>
          </w:tcPr>
          <w:p w:rsidR="00833724" w:rsidRPr="001B34D0" w:rsidRDefault="00833724" w:rsidP="00A92D87">
            <w:pPr>
              <w:spacing w:after="0" w:line="240" w:lineRule="auto"/>
              <w:rPr>
                <w:rFonts w:eastAsia="Calibri" w:cs="Times New Roman"/>
                <w:b/>
                <w:bCs/>
              </w:rPr>
            </w:pPr>
            <w:r w:rsidRPr="001B34D0">
              <w:rPr>
                <w:rFonts w:eastAsia="Calibri" w:cs="Times New Roman"/>
                <w:b/>
                <w:bCs/>
              </w:rPr>
              <w:t>Nombre del indicador: Tasa de accidentes de tránsito en el total de muertes  por causa externa (18 -28 años)</w:t>
            </w:r>
          </w:p>
        </w:tc>
      </w:tr>
      <w:tr w:rsidR="00833724" w:rsidRPr="001B34D0" w:rsidTr="00000F81">
        <w:trPr>
          <w:trHeight w:val="332"/>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 xml:space="preserve">Fuente Nacional: </w:t>
            </w:r>
          </w:p>
          <w:p w:rsidR="00833724" w:rsidRPr="001B34D0" w:rsidRDefault="00833724" w:rsidP="00A92D87">
            <w:pPr>
              <w:spacing w:after="0" w:line="240" w:lineRule="auto"/>
              <w:rPr>
                <w:rFonts w:eastAsia="Calibri" w:cs="Times New Roman"/>
                <w:b/>
                <w:bCs/>
              </w:rPr>
            </w:pPr>
            <w:r w:rsidRPr="001B34D0">
              <w:rPr>
                <w:rFonts w:eastAsia="Calibri" w:cs="Times New Roman"/>
                <w:b/>
                <w:bCs/>
              </w:rPr>
              <w:t>Otra Fuente: OBSERVATORIO DEL DELITO MUNICIPIO DE PASTO</w:t>
            </w:r>
          </w:p>
        </w:tc>
      </w:tr>
      <w:tr w:rsidR="00833724" w:rsidRPr="001B34D0" w:rsidTr="00000F81">
        <w:trPr>
          <w:trHeight w:val="326"/>
          <w:jc w:val="center"/>
        </w:trPr>
        <w:tc>
          <w:tcPr>
            <w:tcW w:w="8828" w:type="dxa"/>
            <w:shd w:val="clear" w:color="auto" w:fill="DAEEF3"/>
          </w:tcPr>
          <w:p w:rsidR="00833724" w:rsidRPr="001B34D0" w:rsidRDefault="00833724" w:rsidP="00A92D87">
            <w:pPr>
              <w:spacing w:after="0" w:line="240" w:lineRule="auto"/>
              <w:rPr>
                <w:rFonts w:eastAsia="Calibri" w:cs="Times New Roman"/>
                <w:bCs/>
              </w:rPr>
            </w:pPr>
            <w:r w:rsidRPr="001B34D0">
              <w:rPr>
                <w:rFonts w:eastAsia="Calibri" w:cs="Times New Roman"/>
                <w:b/>
                <w:bCs/>
              </w:rPr>
              <w:t xml:space="preserve">Categoría de derechos: </w:t>
            </w:r>
          </w:p>
        </w:tc>
      </w:tr>
      <w:tr w:rsidR="00833724" w:rsidRPr="001B34D0" w:rsidTr="00000F81">
        <w:trPr>
          <w:trHeight w:val="259"/>
          <w:jc w:val="center"/>
        </w:trPr>
        <w:tc>
          <w:tcPr>
            <w:tcW w:w="8828" w:type="dxa"/>
            <w:shd w:val="clear" w:color="auto" w:fill="auto"/>
          </w:tcPr>
          <w:p w:rsidR="00833724" w:rsidRPr="001B34D0" w:rsidRDefault="00833724"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833724" w:rsidRPr="001B34D0" w:rsidRDefault="00833724" w:rsidP="00A92D87">
      <w:pPr>
        <w:suppressAutoHyphens/>
        <w:spacing w:after="0" w:line="240" w:lineRule="auto"/>
        <w:ind w:left="720"/>
        <w:contextualSpacing/>
        <w:rPr>
          <w:rFonts w:eastAsia="Times New Roman" w:cs="Times New Roman"/>
          <w:b/>
          <w:lang w:val="es-ES" w:eastAsia="ar-SA"/>
        </w:rPr>
      </w:pPr>
    </w:p>
    <w:p w:rsidR="00833724" w:rsidRPr="001B34D0" w:rsidRDefault="00833724" w:rsidP="00A92D87">
      <w:pPr>
        <w:numPr>
          <w:ilvl w:val="0"/>
          <w:numId w:val="58"/>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833724" w:rsidRPr="001B34D0" w:rsidRDefault="00833724" w:rsidP="00A92D87">
      <w:pPr>
        <w:suppressAutoHyphens/>
        <w:spacing w:after="0" w:line="240" w:lineRule="auto"/>
        <w:ind w:left="1080"/>
        <w:contextualSpacing/>
        <w:rPr>
          <w:rFonts w:eastAsia="Times New Roman" w:cs="Times New Roman"/>
          <w:b/>
          <w:lang w:val="es-ES" w:eastAsia="ar-SA"/>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765"/>
        <w:gridCol w:w="1766"/>
        <w:gridCol w:w="1766"/>
        <w:gridCol w:w="1766"/>
      </w:tblGrid>
      <w:tr w:rsidR="00833724" w:rsidRPr="001B34D0" w:rsidTr="00000F81">
        <w:tc>
          <w:tcPr>
            <w:tcW w:w="219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Indicador</w:t>
            </w:r>
          </w:p>
        </w:tc>
        <w:tc>
          <w:tcPr>
            <w:tcW w:w="1765"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2011</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2012</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2013</w:t>
            </w:r>
          </w:p>
        </w:tc>
        <w:tc>
          <w:tcPr>
            <w:tcW w:w="1766" w:type="dxa"/>
            <w:shd w:val="clear" w:color="auto" w:fill="auto"/>
          </w:tcPr>
          <w:p w:rsidR="00833724" w:rsidRPr="001B34D0" w:rsidRDefault="00833724" w:rsidP="00A92D87">
            <w:pPr>
              <w:spacing w:after="0" w:line="240" w:lineRule="auto"/>
              <w:jc w:val="center"/>
              <w:rPr>
                <w:rFonts w:eastAsia="Calibri" w:cs="Times New Roman"/>
                <w:b/>
                <w:lang w:eastAsia="es-CO"/>
              </w:rPr>
            </w:pPr>
            <w:r w:rsidRPr="001B34D0">
              <w:rPr>
                <w:rFonts w:eastAsia="Calibri" w:cs="Times New Roman"/>
                <w:b/>
                <w:lang w:eastAsia="es-CO"/>
              </w:rPr>
              <w:t>2014</w:t>
            </w:r>
          </w:p>
        </w:tc>
      </w:tr>
      <w:tr w:rsidR="00833724" w:rsidRPr="001B34D0" w:rsidTr="00000F81">
        <w:tc>
          <w:tcPr>
            <w:tcW w:w="2196" w:type="dxa"/>
            <w:shd w:val="clear" w:color="auto" w:fill="auto"/>
          </w:tcPr>
          <w:p w:rsidR="00833724" w:rsidRPr="001B34D0" w:rsidRDefault="00833724" w:rsidP="00A92D87">
            <w:pPr>
              <w:spacing w:after="0" w:line="240" w:lineRule="auto"/>
              <w:rPr>
                <w:rFonts w:eastAsia="Calibri" w:cs="Times New Roman"/>
                <w:lang w:eastAsia="es-CO"/>
              </w:rPr>
            </w:pPr>
            <w:r w:rsidRPr="001B34D0">
              <w:rPr>
                <w:rFonts w:eastAsia="Calibri" w:cs="Times New Roman"/>
                <w:lang w:eastAsia="es-CO"/>
              </w:rPr>
              <w:t>Tasa de accidentes de tránsito en el total de muertes  por causa externa (18 -28 años)</w:t>
            </w:r>
          </w:p>
        </w:tc>
        <w:tc>
          <w:tcPr>
            <w:tcW w:w="1765"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6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12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23 x 100000 Hbts</w:t>
            </w:r>
          </w:p>
        </w:tc>
        <w:tc>
          <w:tcPr>
            <w:tcW w:w="1766" w:type="dxa"/>
            <w:shd w:val="clear" w:color="auto" w:fill="auto"/>
          </w:tcPr>
          <w:p w:rsidR="00833724" w:rsidRPr="001B34D0" w:rsidRDefault="00833724" w:rsidP="00A92D87">
            <w:pPr>
              <w:spacing w:after="0" w:line="240" w:lineRule="auto"/>
              <w:jc w:val="center"/>
              <w:rPr>
                <w:rFonts w:eastAsia="Calibri" w:cs="Times New Roman"/>
                <w:lang w:eastAsia="es-CO"/>
              </w:rPr>
            </w:pPr>
          </w:p>
          <w:p w:rsidR="00833724" w:rsidRPr="001B34D0" w:rsidRDefault="00833724" w:rsidP="00A92D87">
            <w:pPr>
              <w:spacing w:after="0" w:line="240" w:lineRule="auto"/>
              <w:jc w:val="center"/>
              <w:rPr>
                <w:rFonts w:eastAsia="Calibri" w:cs="Times New Roman"/>
                <w:lang w:eastAsia="es-CO"/>
              </w:rPr>
            </w:pPr>
            <w:r w:rsidRPr="001B34D0">
              <w:rPr>
                <w:rFonts w:eastAsia="Calibri" w:cs="Times New Roman"/>
                <w:lang w:eastAsia="es-CO"/>
              </w:rPr>
              <w:t>18 x 100000 Hbts</w:t>
            </w:r>
          </w:p>
        </w:tc>
      </w:tr>
      <w:tr w:rsidR="00833724" w:rsidRPr="001B34D0" w:rsidTr="00000F81">
        <w:tc>
          <w:tcPr>
            <w:tcW w:w="9259" w:type="dxa"/>
            <w:gridSpan w:val="5"/>
            <w:shd w:val="clear" w:color="auto" w:fill="auto"/>
          </w:tcPr>
          <w:p w:rsidR="00833724" w:rsidRPr="001B34D0" w:rsidRDefault="00833724" w:rsidP="00A92D87">
            <w:pPr>
              <w:spacing w:after="0" w:line="240" w:lineRule="auto"/>
              <w:rPr>
                <w:rFonts w:eastAsia="Calibri" w:cs="Times New Roman"/>
                <w:b/>
                <w:lang w:eastAsia="es-CO"/>
              </w:rPr>
            </w:pPr>
            <w:r w:rsidRPr="001B34D0">
              <w:rPr>
                <w:rFonts w:eastAsia="Calibri" w:cs="Times New Roman"/>
                <w:b/>
                <w:lang w:eastAsia="es-CO"/>
              </w:rPr>
              <w:t>Fuente y año:  OBSERVATORIO DEL DELITO</w:t>
            </w:r>
          </w:p>
        </w:tc>
      </w:tr>
    </w:tbl>
    <w:p w:rsidR="00833724" w:rsidRPr="001B34D0" w:rsidRDefault="00833724" w:rsidP="00A92D87">
      <w:pPr>
        <w:spacing w:after="200" w:line="240" w:lineRule="auto"/>
        <w:rPr>
          <w:rFonts w:eastAsia="Calibri" w:cs="Times New Roman"/>
        </w:rPr>
      </w:pPr>
    </w:p>
    <w:p w:rsidR="00833724" w:rsidRPr="001B34D0" w:rsidRDefault="00833724" w:rsidP="00A92D87">
      <w:pPr>
        <w:spacing w:after="200" w:line="240" w:lineRule="auto"/>
        <w:rPr>
          <w:rFonts w:eastAsia="Calibri" w:cs="Times New Roman"/>
        </w:rPr>
      </w:pPr>
    </w:p>
    <w:p w:rsidR="00833724" w:rsidRPr="001B34D0" w:rsidRDefault="00833724" w:rsidP="00A92D87">
      <w:pPr>
        <w:spacing w:after="200" w:line="240" w:lineRule="auto"/>
        <w:rPr>
          <w:rFonts w:eastAsia="Calibri" w:cs="Times New Roman"/>
          <w:b/>
        </w:rPr>
      </w:pPr>
      <w:r w:rsidRPr="001B34D0">
        <w:rPr>
          <w:rFonts w:eastAsia="Calibri" w:cs="Times New Roman"/>
          <w:b/>
        </w:rPr>
        <w:t xml:space="preserve">Gráfico: </w:t>
      </w:r>
    </w:p>
    <w:p w:rsidR="00833724" w:rsidRPr="001B34D0" w:rsidRDefault="00833724" w:rsidP="00A92D87">
      <w:pPr>
        <w:spacing w:after="200" w:line="240" w:lineRule="auto"/>
        <w:rPr>
          <w:rFonts w:eastAsia="Calibri" w:cs="Times New Roman"/>
          <w:b/>
        </w:rPr>
      </w:pPr>
      <w:r w:rsidRPr="001B34D0">
        <w:rPr>
          <w:rFonts w:eastAsia="Calibri" w:cs="Times New Roman"/>
          <w:noProof/>
          <w:lang w:val="es-ES" w:eastAsia="es-ES"/>
        </w:rPr>
        <w:drawing>
          <wp:inline distT="0" distB="0" distL="0" distR="0">
            <wp:extent cx="5542280" cy="2005965"/>
            <wp:effectExtent l="0" t="0" r="1270" b="13335"/>
            <wp:docPr id="68" name="Gráfico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33724" w:rsidRPr="001B34D0" w:rsidRDefault="00833724" w:rsidP="00A92D87">
      <w:pPr>
        <w:numPr>
          <w:ilvl w:val="0"/>
          <w:numId w:val="5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Situación detectada </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spacing w:after="200" w:line="240" w:lineRule="auto"/>
        <w:ind w:left="360"/>
        <w:jc w:val="both"/>
        <w:rPr>
          <w:rFonts w:eastAsia="Calibri" w:cs="Times New Roman"/>
        </w:rPr>
      </w:pPr>
      <w:r w:rsidRPr="001B34D0">
        <w:rPr>
          <w:rFonts w:eastAsia="Calibri" w:cs="Times New Roman"/>
        </w:rPr>
        <w:t>El 84% de los casos presentados de muertes por accidentes de tránsito son hombres, en el 71% de las muertes están involucradas las motocicletas,  y el 12% son peatones, se presentan generalmente los fines de semana.</w:t>
      </w:r>
    </w:p>
    <w:p w:rsidR="00833724" w:rsidRPr="001B34D0" w:rsidRDefault="00833724" w:rsidP="00A92D87">
      <w:pPr>
        <w:numPr>
          <w:ilvl w:val="0"/>
          <w:numId w:val="5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Insumos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833724" w:rsidRPr="001B34D0" w:rsidRDefault="00833724" w:rsidP="00A92D87">
      <w:pPr>
        <w:suppressAutoHyphens/>
        <w:spacing w:after="0" w:line="240" w:lineRule="auto"/>
        <w:ind w:left="1080"/>
        <w:contextualSpacing/>
        <w:rPr>
          <w:rFonts w:eastAsia="Times New Roman" w:cs="Times New Roman"/>
          <w:lang w:val="es-ES" w:eastAsia="ar-SA"/>
        </w:rPr>
      </w:pPr>
    </w:p>
    <w:p w:rsidR="00833724" w:rsidRPr="001B34D0" w:rsidRDefault="00833724" w:rsidP="00A92D87">
      <w:pPr>
        <w:numPr>
          <w:ilvl w:val="0"/>
          <w:numId w:val="5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833724" w:rsidRPr="001B34D0" w:rsidRDefault="00833724" w:rsidP="00A92D87">
      <w:pPr>
        <w:spacing w:after="200" w:line="240" w:lineRule="auto"/>
        <w:ind w:left="360"/>
        <w:jc w:val="both"/>
        <w:rPr>
          <w:rFonts w:eastAsia="Calibri" w:cs="Times New Roman"/>
          <w:b/>
        </w:rPr>
      </w:pPr>
      <w:r w:rsidRPr="001B34D0">
        <w:rPr>
          <w:rFonts w:eastAsia="Calibri" w:cs="Times New Roman"/>
        </w:rPr>
        <w:t>Campañas de prevención y control por parte de la Secretaria de Tránsito y transporte y Policía de carreteras en la parte rural del Municipio.</w:t>
      </w:r>
    </w:p>
    <w:p w:rsidR="00833724" w:rsidRPr="001B34D0" w:rsidRDefault="00833724" w:rsidP="00A92D87">
      <w:pPr>
        <w:numPr>
          <w:ilvl w:val="0"/>
          <w:numId w:val="5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Productos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En termino de resultados en el rango de 18 a 28 años, para el año 2014 con respecto al año 2013 se presenta una disminución de 5 puntos en la tasa y el año con la menor tasa en este periodo analizado es el año 2011 con una tasa de 6 x 100.000 habitantes.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lastRenderedPageBreak/>
        <w:t>Impacto</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El Observatorio del Delito cuenta con información de los eventos monitoreados a partir del año 2003, lo que resulta fundamental para conocer el comportamiento de estos eventos, por lo que ha adquirido un papel clave en formulación de indicadores tanto para los planes de desarrollo, como también para el plan integral de convivencia y seguridad del Municipio de Pasto.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una descripción más exacta del problema.</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obliga a ser claros y exactos en materia de priorizar acciones preventivas y correctivas.</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Permite identificar factores de riesgo.</w:t>
      </w:r>
    </w:p>
    <w:p w:rsidR="00833724" w:rsidRPr="001B34D0" w:rsidRDefault="00833724" w:rsidP="00A92D87">
      <w:pPr>
        <w:numPr>
          <w:ilvl w:val="0"/>
          <w:numId w:val="16"/>
        </w:numPr>
        <w:spacing w:after="0" w:line="240" w:lineRule="auto"/>
        <w:contextualSpacing/>
        <w:rPr>
          <w:rFonts w:eastAsia="Times New Roman" w:cs="Times New Roman"/>
          <w:lang w:val="es-ES" w:eastAsia="ar-SA"/>
        </w:rPr>
      </w:pPr>
      <w:r w:rsidRPr="001B34D0">
        <w:rPr>
          <w:rFonts w:eastAsia="Times New Roman" w:cs="Times New Roman"/>
          <w:lang w:val="es-ES" w:eastAsia="ar-SA"/>
        </w:rPr>
        <w:t>Nos permite tomar decisiones en base a la evidencia.</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5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Prioridades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Tener en cuenta los peatones y los motociclistas, ya que son los más afectados en este tipo de muertes.</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numPr>
          <w:ilvl w:val="0"/>
          <w:numId w:val="58"/>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Recomendaciones</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r w:rsidRPr="001B34D0">
        <w:rPr>
          <w:rFonts w:eastAsia="Times New Roman" w:cs="Times New Roman"/>
          <w:lang w:val="es-ES" w:eastAsia="ar-SA"/>
        </w:rPr>
        <w:t>Tomar la información de Observatorio del Delito como herramienta fundamental al momento de implementar planes y/o acciones dentro del Municipio.</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1B34D0">
        <w:rPr>
          <w:b/>
          <w:i/>
          <w:iCs/>
        </w:rPr>
        <w:t>DESCRIPCIÓN DEL INDICADOR No. 118</w:t>
      </w:r>
    </w:p>
    <w:tbl>
      <w:tblPr>
        <w:tblStyle w:val="Tabladecuadrcula2-nfasis51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833724" w:rsidRPr="001B34D0" w:rsidRDefault="00833724" w:rsidP="00A92D87">
            <w:r w:rsidRPr="001B34D0">
              <w:t>MUNICIPIO:  PASTO</w:t>
            </w:r>
          </w:p>
        </w:tc>
      </w:tr>
      <w:tr w:rsidR="00833724" w:rsidRPr="001B34D0" w:rsidTr="00000F81">
        <w:trPr>
          <w:cnfStyle w:val="000000100000"/>
          <w:trHeight w:val="579"/>
          <w:jc w:val="center"/>
        </w:trPr>
        <w:tc>
          <w:tcPr>
            <w:cnfStyle w:val="001000000000"/>
            <w:tcW w:w="8828" w:type="dxa"/>
          </w:tcPr>
          <w:p w:rsidR="00833724" w:rsidRPr="001B34D0" w:rsidRDefault="00833724" w:rsidP="00A92D87">
            <w:r w:rsidRPr="001B34D0">
              <w:t>Nombre del indicador: Tasa de violencia de pareja cuando la víctima está entre los 18 y 28 años</w:t>
            </w:r>
          </w:p>
        </w:tc>
      </w:tr>
      <w:tr w:rsidR="00833724" w:rsidRPr="001B34D0" w:rsidTr="00000F81">
        <w:trPr>
          <w:trHeight w:val="332"/>
          <w:jc w:val="center"/>
        </w:trPr>
        <w:tc>
          <w:tcPr>
            <w:cnfStyle w:val="001000000000"/>
            <w:tcW w:w="8828" w:type="dxa"/>
          </w:tcPr>
          <w:p w:rsidR="00833724" w:rsidRPr="001B34D0" w:rsidRDefault="00833724" w:rsidP="00A92D87">
            <w:r w:rsidRPr="001B34D0">
              <w:t xml:space="preserve">Fuente Nacional: </w:t>
            </w:r>
          </w:p>
          <w:p w:rsidR="00833724" w:rsidRPr="001B34D0" w:rsidRDefault="00833724" w:rsidP="00A92D87">
            <w:r w:rsidRPr="001B34D0">
              <w:t>Otra Fuente: OBSERVATORIO DEL DELITO MUNICIPIO DE PASTO</w:t>
            </w:r>
          </w:p>
        </w:tc>
      </w:tr>
      <w:tr w:rsidR="00833724" w:rsidRPr="001B34D0" w:rsidTr="00000F81">
        <w:trPr>
          <w:cnfStyle w:val="000000100000"/>
          <w:trHeight w:val="458"/>
          <w:jc w:val="center"/>
        </w:trPr>
        <w:tc>
          <w:tcPr>
            <w:cnfStyle w:val="001000000000"/>
            <w:tcW w:w="8828" w:type="dxa"/>
          </w:tcPr>
          <w:p w:rsidR="00833724" w:rsidRPr="001B34D0" w:rsidRDefault="00833724" w:rsidP="00A92D87">
            <w:r w:rsidRPr="001B34D0">
              <w:t xml:space="preserve">Categoría de derechos: </w:t>
            </w:r>
          </w:p>
        </w:tc>
      </w:tr>
      <w:tr w:rsidR="00833724" w:rsidRPr="001B34D0" w:rsidTr="00000F81">
        <w:trPr>
          <w:trHeight w:val="458"/>
          <w:jc w:val="center"/>
        </w:trPr>
        <w:tc>
          <w:tcPr>
            <w:cnfStyle w:val="001000000000"/>
            <w:tcW w:w="8828" w:type="dxa"/>
          </w:tcPr>
          <w:p w:rsidR="00833724" w:rsidRPr="001B34D0" w:rsidRDefault="00833724" w:rsidP="00A92D87">
            <w:r w:rsidRPr="001B34D0">
              <w:t>Metodología: Análisis de la información a partir de la cadena de resultados</w:t>
            </w:r>
          </w:p>
        </w:tc>
      </w:tr>
    </w:tbl>
    <w:p w:rsidR="00833724" w:rsidRPr="001B34D0" w:rsidRDefault="00833724" w:rsidP="00DF63E8">
      <w:pPr>
        <w:numPr>
          <w:ilvl w:val="0"/>
          <w:numId w:val="41"/>
        </w:numPr>
        <w:spacing w:after="0" w:line="240" w:lineRule="auto"/>
        <w:contextualSpacing/>
        <w:rPr>
          <w:rFonts w:eastAsia="Times New Roman" w:cs="Times New Roman"/>
          <w:b/>
          <w:lang w:eastAsia="es-CO"/>
        </w:rPr>
      </w:pPr>
      <w:r w:rsidRPr="001B34D0">
        <w:rPr>
          <w:rFonts w:eastAsia="Times New Roman" w:cs="Times New Roman"/>
          <w:b/>
          <w:lang w:eastAsia="es-CO"/>
        </w:rPr>
        <w:t>Información estadística</w:t>
      </w:r>
    </w:p>
    <w:p w:rsidR="00833724" w:rsidRPr="001B34D0" w:rsidRDefault="00833724" w:rsidP="00A92D87">
      <w:pPr>
        <w:spacing w:after="0" w:line="240" w:lineRule="auto"/>
        <w:ind w:left="1080"/>
        <w:contextualSpacing/>
        <w:rPr>
          <w:rFonts w:eastAsia="Times New Roman" w:cs="Times New Roman"/>
          <w:b/>
          <w:lang w:eastAsia="es-CO"/>
        </w:rPr>
      </w:pPr>
    </w:p>
    <w:tbl>
      <w:tblPr>
        <w:tblStyle w:val="Tablaconcuadrcula7"/>
        <w:tblW w:w="0" w:type="auto"/>
        <w:tblInd w:w="-431" w:type="dxa"/>
        <w:tblLook w:val="04A0"/>
      </w:tblPr>
      <w:tblGrid>
        <w:gridCol w:w="2196"/>
        <w:gridCol w:w="1765"/>
        <w:gridCol w:w="1766"/>
        <w:gridCol w:w="1766"/>
        <w:gridCol w:w="1766"/>
      </w:tblGrid>
      <w:tr w:rsidR="00833724" w:rsidRPr="001B34D0" w:rsidTr="00000F81">
        <w:tc>
          <w:tcPr>
            <w:tcW w:w="2196" w:type="dxa"/>
          </w:tcPr>
          <w:p w:rsidR="00833724" w:rsidRPr="001B34D0" w:rsidRDefault="00833724" w:rsidP="00A92D87">
            <w:pPr>
              <w:jc w:val="center"/>
              <w:rPr>
                <w:b/>
              </w:rPr>
            </w:pPr>
            <w:r w:rsidRPr="001B34D0">
              <w:rPr>
                <w:b/>
              </w:rPr>
              <w:t>Indicador</w:t>
            </w:r>
          </w:p>
        </w:tc>
        <w:tc>
          <w:tcPr>
            <w:tcW w:w="1765" w:type="dxa"/>
          </w:tcPr>
          <w:p w:rsidR="00833724" w:rsidRPr="001B34D0" w:rsidRDefault="00833724" w:rsidP="00A92D87">
            <w:pPr>
              <w:jc w:val="center"/>
              <w:rPr>
                <w:b/>
              </w:rPr>
            </w:pPr>
            <w:r w:rsidRPr="001B34D0">
              <w:rPr>
                <w:b/>
              </w:rPr>
              <w:t>2011</w:t>
            </w:r>
          </w:p>
        </w:tc>
        <w:tc>
          <w:tcPr>
            <w:tcW w:w="1766" w:type="dxa"/>
          </w:tcPr>
          <w:p w:rsidR="00833724" w:rsidRPr="001B34D0" w:rsidRDefault="00833724" w:rsidP="00A92D87">
            <w:pPr>
              <w:jc w:val="center"/>
              <w:rPr>
                <w:b/>
              </w:rPr>
            </w:pPr>
            <w:r w:rsidRPr="001B34D0">
              <w:rPr>
                <w:b/>
              </w:rPr>
              <w:t>2012</w:t>
            </w:r>
          </w:p>
        </w:tc>
        <w:tc>
          <w:tcPr>
            <w:tcW w:w="1766" w:type="dxa"/>
          </w:tcPr>
          <w:p w:rsidR="00833724" w:rsidRPr="001B34D0" w:rsidRDefault="00833724" w:rsidP="00A92D87">
            <w:pPr>
              <w:jc w:val="center"/>
              <w:rPr>
                <w:b/>
              </w:rPr>
            </w:pPr>
            <w:r w:rsidRPr="001B34D0">
              <w:rPr>
                <w:b/>
              </w:rPr>
              <w:t>2013</w:t>
            </w:r>
          </w:p>
        </w:tc>
        <w:tc>
          <w:tcPr>
            <w:tcW w:w="1766" w:type="dxa"/>
          </w:tcPr>
          <w:p w:rsidR="00833724" w:rsidRPr="001B34D0" w:rsidRDefault="00833724" w:rsidP="00A92D87">
            <w:pPr>
              <w:jc w:val="center"/>
              <w:rPr>
                <w:b/>
              </w:rPr>
            </w:pPr>
            <w:r w:rsidRPr="001B34D0">
              <w:rPr>
                <w:b/>
              </w:rPr>
              <w:t>2014</w:t>
            </w:r>
          </w:p>
        </w:tc>
      </w:tr>
      <w:tr w:rsidR="00833724" w:rsidRPr="001B34D0" w:rsidTr="00000F81">
        <w:tc>
          <w:tcPr>
            <w:tcW w:w="2196" w:type="dxa"/>
          </w:tcPr>
          <w:p w:rsidR="00833724" w:rsidRPr="001B34D0" w:rsidRDefault="00833724" w:rsidP="00A92D87">
            <w:r w:rsidRPr="001B34D0">
              <w:t>Tasa de violencia de pareja cuando la víctima está entre los 18 y 28 años</w:t>
            </w:r>
          </w:p>
        </w:tc>
        <w:tc>
          <w:tcPr>
            <w:tcW w:w="1765" w:type="dxa"/>
          </w:tcPr>
          <w:p w:rsidR="00833724" w:rsidRPr="001B34D0" w:rsidRDefault="00833724" w:rsidP="00A92D87">
            <w:pPr>
              <w:jc w:val="center"/>
            </w:pPr>
          </w:p>
          <w:p w:rsidR="00833724" w:rsidRPr="001B34D0" w:rsidRDefault="00833724" w:rsidP="00A92D87">
            <w:pPr>
              <w:jc w:val="center"/>
            </w:pPr>
            <w:r w:rsidRPr="001B34D0">
              <w:t>655 x 100000 Hbts</w:t>
            </w:r>
          </w:p>
        </w:tc>
        <w:tc>
          <w:tcPr>
            <w:tcW w:w="1766" w:type="dxa"/>
          </w:tcPr>
          <w:p w:rsidR="00833724" w:rsidRPr="001B34D0" w:rsidRDefault="00833724" w:rsidP="00A92D87">
            <w:pPr>
              <w:jc w:val="center"/>
            </w:pPr>
          </w:p>
          <w:p w:rsidR="00833724" w:rsidRPr="001B34D0" w:rsidRDefault="00833724" w:rsidP="00A92D87">
            <w:pPr>
              <w:jc w:val="center"/>
            </w:pPr>
            <w:r w:rsidRPr="001B34D0">
              <w:t>421 x 100000 Hbts</w:t>
            </w:r>
          </w:p>
        </w:tc>
        <w:tc>
          <w:tcPr>
            <w:tcW w:w="1766" w:type="dxa"/>
          </w:tcPr>
          <w:p w:rsidR="00833724" w:rsidRPr="001B34D0" w:rsidRDefault="00833724" w:rsidP="00A92D87">
            <w:pPr>
              <w:jc w:val="center"/>
            </w:pPr>
          </w:p>
          <w:p w:rsidR="00833724" w:rsidRPr="001B34D0" w:rsidRDefault="00833724" w:rsidP="00A92D87">
            <w:pPr>
              <w:jc w:val="center"/>
            </w:pPr>
            <w:r w:rsidRPr="001B34D0">
              <w:t>452 x 100000 Hbts</w:t>
            </w:r>
          </w:p>
        </w:tc>
        <w:tc>
          <w:tcPr>
            <w:tcW w:w="1766" w:type="dxa"/>
          </w:tcPr>
          <w:p w:rsidR="00833724" w:rsidRPr="001B34D0" w:rsidRDefault="00833724" w:rsidP="00A92D87">
            <w:pPr>
              <w:jc w:val="center"/>
            </w:pPr>
          </w:p>
          <w:p w:rsidR="00833724" w:rsidRPr="001B34D0" w:rsidRDefault="00833724" w:rsidP="00A92D87">
            <w:pPr>
              <w:jc w:val="center"/>
            </w:pPr>
            <w:r w:rsidRPr="001B34D0">
              <w:t>644 x 100000 Hbts</w:t>
            </w:r>
          </w:p>
        </w:tc>
      </w:tr>
      <w:tr w:rsidR="00833724" w:rsidRPr="001B34D0" w:rsidTr="00000F81">
        <w:tc>
          <w:tcPr>
            <w:tcW w:w="9259" w:type="dxa"/>
            <w:gridSpan w:val="5"/>
          </w:tcPr>
          <w:p w:rsidR="00833724" w:rsidRPr="001B34D0" w:rsidRDefault="00833724" w:rsidP="00A92D87">
            <w:pPr>
              <w:rPr>
                <w:b/>
              </w:rPr>
            </w:pPr>
            <w:r w:rsidRPr="001B34D0">
              <w:rPr>
                <w:b/>
              </w:rPr>
              <w:t>Fuente y año:  OBSERVATORIO DEL DELITO</w:t>
            </w:r>
          </w:p>
        </w:tc>
      </w:tr>
    </w:tbl>
    <w:p w:rsidR="00833724" w:rsidRPr="001B34D0" w:rsidRDefault="00833724" w:rsidP="00A92D87">
      <w:pPr>
        <w:spacing w:line="240" w:lineRule="auto"/>
      </w:pPr>
    </w:p>
    <w:p w:rsidR="00833724" w:rsidRPr="001B34D0" w:rsidRDefault="00833724" w:rsidP="00A92D87">
      <w:pPr>
        <w:spacing w:line="240" w:lineRule="auto"/>
        <w:rPr>
          <w:b/>
        </w:rPr>
      </w:pPr>
      <w:r w:rsidRPr="001B34D0">
        <w:rPr>
          <w:b/>
        </w:rPr>
        <w:lastRenderedPageBreak/>
        <w:t xml:space="preserve">Gráfico: </w:t>
      </w:r>
    </w:p>
    <w:p w:rsidR="00833724" w:rsidRPr="001B34D0" w:rsidRDefault="00833724" w:rsidP="00A92D87">
      <w:pPr>
        <w:spacing w:line="240" w:lineRule="auto"/>
        <w:rPr>
          <w:b/>
        </w:rPr>
      </w:pPr>
      <w:r w:rsidRPr="001B34D0">
        <w:rPr>
          <w:noProof/>
          <w:lang w:val="es-ES" w:eastAsia="es-ES"/>
        </w:rPr>
        <w:drawing>
          <wp:inline distT="0" distB="0" distL="0" distR="0">
            <wp:extent cx="5534025" cy="2286000"/>
            <wp:effectExtent l="0" t="0" r="9525"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833724" w:rsidRPr="001B34D0" w:rsidRDefault="00833724" w:rsidP="00A92D87">
      <w:pPr>
        <w:spacing w:line="240" w:lineRule="auto"/>
        <w:ind w:left="360"/>
        <w:jc w:val="both"/>
      </w:pPr>
      <w:r w:rsidRPr="001B34D0">
        <w:t xml:space="preserve">Para este indicador se tuvo en cuenta cuando el tipo de agresor es el conyugue  o compañero permanente, donde se observa claramente que el año 2011 y 2014, se presentan las tasa más elevada con el 655 y 644 por 100.000 habitantes. </w:t>
      </w:r>
    </w:p>
    <w:p w:rsidR="00833724" w:rsidRPr="001B34D0" w:rsidRDefault="00833724" w:rsidP="00A92D87">
      <w:pPr>
        <w:spacing w:line="240" w:lineRule="auto"/>
        <w:jc w:val="both"/>
        <w:rPr>
          <w:b/>
        </w:rPr>
      </w:pPr>
      <w:r w:rsidRPr="001B34D0">
        <w:rPr>
          <w:b/>
        </w:rPr>
        <w:t xml:space="preserve">Insumos: </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833724" w:rsidRPr="001B34D0" w:rsidRDefault="00833724" w:rsidP="00A92D87">
      <w:pPr>
        <w:spacing w:after="0" w:line="240" w:lineRule="auto"/>
        <w:ind w:left="1080"/>
        <w:contextualSpacing/>
        <w:rPr>
          <w:rFonts w:eastAsia="Times New Roman" w:cs="Times New Roman"/>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833724" w:rsidRPr="001B34D0" w:rsidRDefault="00833724" w:rsidP="00A92D87">
      <w:pPr>
        <w:spacing w:line="240" w:lineRule="auto"/>
        <w:ind w:left="360"/>
        <w:jc w:val="both"/>
        <w:rPr>
          <w:b/>
        </w:rPr>
      </w:pPr>
      <w:r w:rsidRPr="001B34D0">
        <w:t xml:space="preserve">El Observatorio del Delito, hace parte de la Red de atención al buen trato, donde hacen parte instituciones a nivel local y nacional que tienen que ver con las problemáticas de violencia intrafamiliar, sexual, contra la mujer y maltrato infantil.  Además envía la información a la dirección de </w:t>
      </w:r>
      <w:r w:rsidR="007C3396" w:rsidRPr="001B34D0">
        <w:t>género</w:t>
      </w:r>
      <w:r w:rsidRPr="001B34D0">
        <w:t xml:space="preserve"> para que ellos puedan realizar sus planes de acción.</w:t>
      </w: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lastRenderedPageBreak/>
        <w:t>La violencia en la pareja suele manifestarse de forma gradual a medida que aumenta el compromiso y en este rango de edad por lo general ya se tiene conformada una familia y se evidencia el poder económico que por lo general ejercen los hombres sobre sus parejas.</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A92D87">
      <w:pPr>
        <w:spacing w:after="0" w:line="240" w:lineRule="auto"/>
        <w:ind w:left="360"/>
        <w:contextualSpacing/>
        <w:jc w:val="both"/>
        <w:rPr>
          <w:rFonts w:eastAsia="Times New Roman" w:cs="Times New Roman"/>
          <w:b/>
          <w:lang w:eastAsia="es-CO"/>
        </w:rPr>
      </w:pPr>
      <w:r w:rsidRPr="001B34D0">
        <w:rPr>
          <w:rFonts w:eastAsia="Times New Roman" w:cs="Times New Roman"/>
          <w:b/>
          <w:lang w:eastAsia="es-CO"/>
        </w:rPr>
        <w:t xml:space="preserve">Impacto: </w:t>
      </w:r>
    </w:p>
    <w:p w:rsidR="00833724" w:rsidRPr="001B34D0" w:rsidRDefault="00833724" w:rsidP="00A92D87">
      <w:pPr>
        <w:spacing w:line="240" w:lineRule="auto"/>
        <w:ind w:left="360"/>
        <w:jc w:val="both"/>
      </w:pPr>
      <w:r w:rsidRPr="001B34D0">
        <w:t>El sistema de vigilancia de violencia interpersonal en familia, violencia sexual y maltrato infantil, se viene observando desde el año 2005, pero la línea base comienza realmente en el año 2007, donde todas las instituciones se vinculan al sistema; para este análisis el promedio se lo toma para los diez años monitoreados entre el año 2005 hasta el año 2014.</w:t>
      </w:r>
    </w:p>
    <w:p w:rsidR="00833724" w:rsidRPr="001B34D0" w:rsidRDefault="00833724" w:rsidP="00A92D87">
      <w:pPr>
        <w:spacing w:line="240" w:lineRule="auto"/>
        <w:ind w:left="360"/>
        <w:jc w:val="both"/>
      </w:pPr>
      <w:r w:rsidRPr="001B34D0">
        <w:t>Permite una descripción más exacta del problema.</w:t>
      </w:r>
    </w:p>
    <w:p w:rsidR="00833724" w:rsidRPr="001B34D0" w:rsidRDefault="00833724" w:rsidP="00A92D87">
      <w:pPr>
        <w:numPr>
          <w:ilvl w:val="0"/>
          <w:numId w:val="16"/>
        </w:numPr>
        <w:spacing w:after="0" w:line="240" w:lineRule="auto"/>
        <w:contextualSpacing/>
        <w:rPr>
          <w:rFonts w:eastAsia="Times New Roman" w:cs="Times New Roman"/>
          <w:lang w:eastAsia="es-CO"/>
        </w:rPr>
      </w:pPr>
      <w:r w:rsidRPr="001B34D0">
        <w:rPr>
          <w:rFonts w:eastAsia="Times New Roman" w:cs="Times New Roman"/>
          <w:lang w:eastAsia="es-CO"/>
        </w:rPr>
        <w:t>Nos obliga a ser claros y exactos en materia de priorizar acciones preventivas y correctivas.</w:t>
      </w:r>
    </w:p>
    <w:p w:rsidR="00833724" w:rsidRPr="001B34D0" w:rsidRDefault="00833724" w:rsidP="00A92D87">
      <w:pPr>
        <w:numPr>
          <w:ilvl w:val="0"/>
          <w:numId w:val="16"/>
        </w:numPr>
        <w:spacing w:after="0" w:line="240" w:lineRule="auto"/>
        <w:contextualSpacing/>
        <w:rPr>
          <w:rFonts w:eastAsia="Times New Roman" w:cs="Times New Roman"/>
          <w:lang w:eastAsia="es-CO"/>
        </w:rPr>
      </w:pPr>
      <w:r w:rsidRPr="001B34D0">
        <w:rPr>
          <w:rFonts w:eastAsia="Times New Roman" w:cs="Times New Roman"/>
          <w:lang w:eastAsia="es-CO"/>
        </w:rPr>
        <w:t>Permite identificar factores de riesgo.</w:t>
      </w:r>
    </w:p>
    <w:p w:rsidR="00833724" w:rsidRPr="001B34D0" w:rsidRDefault="00833724" w:rsidP="00A92D87">
      <w:pPr>
        <w:numPr>
          <w:ilvl w:val="0"/>
          <w:numId w:val="16"/>
        </w:numPr>
        <w:spacing w:after="0" w:line="240" w:lineRule="auto"/>
        <w:contextualSpacing/>
        <w:rPr>
          <w:rFonts w:eastAsia="Times New Roman" w:cs="Times New Roman"/>
          <w:lang w:eastAsia="es-CO"/>
        </w:rPr>
      </w:pPr>
      <w:r w:rsidRPr="001B34D0">
        <w:rPr>
          <w:rFonts w:eastAsia="Times New Roman" w:cs="Times New Roman"/>
          <w:lang w:eastAsia="es-CO"/>
        </w:rPr>
        <w:t>Nos permite tomar decisiones en base a la evidencia.</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A92D87">
      <w:pPr>
        <w:spacing w:line="240" w:lineRule="auto"/>
        <w:jc w:val="both"/>
      </w:pPr>
      <w:r w:rsidRPr="001B34D0">
        <w:t>A través de la Red de Atención al buen trato, se viene realizando seguimiento y evaluación a todas las instituciones de salud, justicia y protección que atienden la problemática de violencia intrafamiliar, violencia sexual y maltrato infantil, en lo referente a las guías y protocolos de atención, con el fin de garantizar la debida atención de los casos y brindar a las víctimas un acompañamiento psicosocial, brindar medidas de protección y restablecimiento de derechos.</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Prioridades</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Si bien es cierto por parte de la Administración se viene realizando un trabajo importante en el tema de género, todavía existe la desigualdad histórica de las relaciones de poder entre el hombre y la mujer y la discriminación generalizada contra la mujer en los sectores tanto público como privado. Esta violencia contra la mujer es uno de los principales medios que permiten al hombre mantener el control sobre la capacidad de acción y la sexualidad de la mujer, con  el uso de la fuerza para resolver conflictos, las doctrinas sobre la intimidad, los patrones de conducta personales y familiares, incluidos los antecedentes de malos tratos, se han relacionado también con un aumento del riesgo de violencia.</w:t>
      </w:r>
    </w:p>
    <w:p w:rsidR="00833724" w:rsidRPr="001B34D0" w:rsidRDefault="00833724" w:rsidP="00A92D87">
      <w:pPr>
        <w:spacing w:after="0" w:line="240" w:lineRule="auto"/>
        <w:ind w:left="360"/>
        <w:contextualSpacing/>
        <w:jc w:val="both"/>
        <w:rPr>
          <w:rFonts w:eastAsia="Times New Roman" w:cs="Times New Roman"/>
          <w:b/>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Recomendaciones</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Tomar la información de Observatorio del Delito como herramienta fundamental al momento de implementar planes y/o acciones dentro del Municipio.</w:t>
      </w:r>
    </w:p>
    <w:p w:rsidR="00833724" w:rsidRPr="001B34D0" w:rsidRDefault="00833724" w:rsidP="00A92D87">
      <w:pPr>
        <w:spacing w:line="240" w:lineRule="auto"/>
        <w:rPr>
          <w:b/>
        </w:rPr>
      </w:pPr>
    </w:p>
    <w:p w:rsidR="00833724" w:rsidRPr="001B34D0" w:rsidRDefault="00833724" w:rsidP="00A92D87">
      <w:pPr>
        <w:spacing w:line="240" w:lineRule="auto"/>
        <w:rPr>
          <w:b/>
        </w:rPr>
      </w:pPr>
    </w:p>
    <w:p w:rsidR="00833724" w:rsidRPr="001B34D0" w:rsidRDefault="00833724"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1B34D0">
        <w:rPr>
          <w:b/>
          <w:i/>
          <w:iCs/>
        </w:rPr>
        <w:t>DESCRIPCIÓN DEL INDICADOR No. 119</w:t>
      </w:r>
    </w:p>
    <w:tbl>
      <w:tblPr>
        <w:tblStyle w:val="Tabladecuadrcula2-nfasis51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833724" w:rsidRPr="001B34D0" w:rsidRDefault="00833724" w:rsidP="00A92D87">
            <w:r w:rsidRPr="001B34D0">
              <w:lastRenderedPageBreak/>
              <w:t>MUNICIPIO:  PASTO</w:t>
            </w:r>
          </w:p>
        </w:tc>
      </w:tr>
      <w:tr w:rsidR="00833724" w:rsidRPr="001B34D0" w:rsidTr="00000F81">
        <w:trPr>
          <w:cnfStyle w:val="000000100000"/>
          <w:trHeight w:val="579"/>
          <w:jc w:val="center"/>
        </w:trPr>
        <w:tc>
          <w:tcPr>
            <w:cnfStyle w:val="001000000000"/>
            <w:tcW w:w="8828" w:type="dxa"/>
          </w:tcPr>
          <w:p w:rsidR="00833724" w:rsidRPr="001B34D0" w:rsidRDefault="00833724" w:rsidP="00A92D87">
            <w:r w:rsidRPr="001B34D0">
              <w:t>Nombre del indicador: Tasa de violencia entre otros familiares  cuando la víctima está entre los 18 y 28 años</w:t>
            </w:r>
          </w:p>
        </w:tc>
      </w:tr>
      <w:tr w:rsidR="00833724" w:rsidRPr="001B34D0" w:rsidTr="00000F81">
        <w:trPr>
          <w:trHeight w:val="332"/>
          <w:jc w:val="center"/>
        </w:trPr>
        <w:tc>
          <w:tcPr>
            <w:cnfStyle w:val="001000000000"/>
            <w:tcW w:w="8828" w:type="dxa"/>
          </w:tcPr>
          <w:p w:rsidR="00833724" w:rsidRPr="001B34D0" w:rsidRDefault="00833724" w:rsidP="00A92D87">
            <w:r w:rsidRPr="001B34D0">
              <w:t xml:space="preserve">Fuente Nacional: </w:t>
            </w:r>
          </w:p>
          <w:p w:rsidR="00833724" w:rsidRPr="001B34D0" w:rsidRDefault="00833724" w:rsidP="00A92D87">
            <w:r w:rsidRPr="001B34D0">
              <w:t>Otra Fuente: OBSERVATORIO DEL DELITO MUNICIPIO DE PASTO</w:t>
            </w:r>
          </w:p>
        </w:tc>
      </w:tr>
      <w:tr w:rsidR="00833724" w:rsidRPr="001B34D0" w:rsidTr="00000F81">
        <w:trPr>
          <w:cnfStyle w:val="000000100000"/>
          <w:trHeight w:val="458"/>
          <w:jc w:val="center"/>
        </w:trPr>
        <w:tc>
          <w:tcPr>
            <w:cnfStyle w:val="001000000000"/>
            <w:tcW w:w="8828" w:type="dxa"/>
          </w:tcPr>
          <w:p w:rsidR="00833724" w:rsidRPr="001B34D0" w:rsidRDefault="00833724" w:rsidP="00A92D87">
            <w:r w:rsidRPr="001B34D0">
              <w:t xml:space="preserve">Categoría de derechos: </w:t>
            </w:r>
          </w:p>
        </w:tc>
      </w:tr>
      <w:tr w:rsidR="00833724" w:rsidRPr="001B34D0" w:rsidTr="00000F81">
        <w:trPr>
          <w:trHeight w:val="458"/>
          <w:jc w:val="center"/>
        </w:trPr>
        <w:tc>
          <w:tcPr>
            <w:cnfStyle w:val="001000000000"/>
            <w:tcW w:w="8828" w:type="dxa"/>
          </w:tcPr>
          <w:p w:rsidR="00833724" w:rsidRPr="001B34D0" w:rsidRDefault="00833724" w:rsidP="00A92D87">
            <w:r w:rsidRPr="001B34D0">
              <w:t>Metodología: Análisis de la información a partir de la cadena de resultados</w:t>
            </w:r>
          </w:p>
        </w:tc>
      </w:tr>
    </w:tbl>
    <w:p w:rsidR="00833724" w:rsidRPr="001B34D0" w:rsidRDefault="00833724" w:rsidP="00DF63E8">
      <w:pPr>
        <w:numPr>
          <w:ilvl w:val="0"/>
          <w:numId w:val="41"/>
        </w:numPr>
        <w:spacing w:after="0" w:line="240" w:lineRule="auto"/>
        <w:contextualSpacing/>
        <w:rPr>
          <w:rFonts w:eastAsia="Times New Roman" w:cs="Times New Roman"/>
          <w:b/>
          <w:lang w:eastAsia="es-CO"/>
        </w:rPr>
      </w:pPr>
      <w:r w:rsidRPr="001B34D0">
        <w:rPr>
          <w:rFonts w:eastAsia="Times New Roman" w:cs="Times New Roman"/>
          <w:b/>
          <w:lang w:eastAsia="es-CO"/>
        </w:rPr>
        <w:t>Información estadística</w:t>
      </w:r>
    </w:p>
    <w:p w:rsidR="00833724" w:rsidRPr="001B34D0" w:rsidRDefault="00833724" w:rsidP="00A92D87">
      <w:pPr>
        <w:spacing w:after="0" w:line="240" w:lineRule="auto"/>
        <w:ind w:left="1080"/>
        <w:contextualSpacing/>
        <w:rPr>
          <w:rFonts w:eastAsia="Times New Roman" w:cs="Times New Roman"/>
          <w:b/>
          <w:lang w:eastAsia="es-CO"/>
        </w:rPr>
      </w:pPr>
    </w:p>
    <w:tbl>
      <w:tblPr>
        <w:tblStyle w:val="Tablaconcuadrcula7"/>
        <w:tblW w:w="0" w:type="auto"/>
        <w:tblInd w:w="-431" w:type="dxa"/>
        <w:tblLook w:val="04A0"/>
      </w:tblPr>
      <w:tblGrid>
        <w:gridCol w:w="2196"/>
        <w:gridCol w:w="1765"/>
        <w:gridCol w:w="1766"/>
        <w:gridCol w:w="1766"/>
        <w:gridCol w:w="1766"/>
      </w:tblGrid>
      <w:tr w:rsidR="00833724" w:rsidRPr="001B34D0" w:rsidTr="00000F81">
        <w:tc>
          <w:tcPr>
            <w:tcW w:w="2196" w:type="dxa"/>
          </w:tcPr>
          <w:p w:rsidR="00833724" w:rsidRPr="001B34D0" w:rsidRDefault="00833724" w:rsidP="00A92D87">
            <w:pPr>
              <w:jc w:val="center"/>
              <w:rPr>
                <w:b/>
              </w:rPr>
            </w:pPr>
            <w:r w:rsidRPr="001B34D0">
              <w:rPr>
                <w:b/>
              </w:rPr>
              <w:t>Indicador</w:t>
            </w:r>
          </w:p>
        </w:tc>
        <w:tc>
          <w:tcPr>
            <w:tcW w:w="1765" w:type="dxa"/>
          </w:tcPr>
          <w:p w:rsidR="00833724" w:rsidRPr="001B34D0" w:rsidRDefault="00833724" w:rsidP="00A92D87">
            <w:pPr>
              <w:jc w:val="center"/>
              <w:rPr>
                <w:b/>
              </w:rPr>
            </w:pPr>
            <w:r w:rsidRPr="001B34D0">
              <w:rPr>
                <w:b/>
              </w:rPr>
              <w:t>2011</w:t>
            </w:r>
          </w:p>
        </w:tc>
        <w:tc>
          <w:tcPr>
            <w:tcW w:w="1766" w:type="dxa"/>
          </w:tcPr>
          <w:p w:rsidR="00833724" w:rsidRPr="001B34D0" w:rsidRDefault="00833724" w:rsidP="00A92D87">
            <w:pPr>
              <w:jc w:val="center"/>
              <w:rPr>
                <w:b/>
              </w:rPr>
            </w:pPr>
            <w:r w:rsidRPr="001B34D0">
              <w:rPr>
                <w:b/>
              </w:rPr>
              <w:t>2012</w:t>
            </w:r>
          </w:p>
        </w:tc>
        <w:tc>
          <w:tcPr>
            <w:tcW w:w="1766" w:type="dxa"/>
          </w:tcPr>
          <w:p w:rsidR="00833724" w:rsidRPr="001B34D0" w:rsidRDefault="00833724" w:rsidP="00A92D87">
            <w:pPr>
              <w:jc w:val="center"/>
              <w:rPr>
                <w:b/>
              </w:rPr>
            </w:pPr>
            <w:r w:rsidRPr="001B34D0">
              <w:rPr>
                <w:b/>
              </w:rPr>
              <w:t>2013</w:t>
            </w:r>
          </w:p>
        </w:tc>
        <w:tc>
          <w:tcPr>
            <w:tcW w:w="1766" w:type="dxa"/>
          </w:tcPr>
          <w:p w:rsidR="00833724" w:rsidRPr="001B34D0" w:rsidRDefault="00833724" w:rsidP="00A92D87">
            <w:pPr>
              <w:jc w:val="center"/>
              <w:rPr>
                <w:b/>
              </w:rPr>
            </w:pPr>
            <w:r w:rsidRPr="001B34D0">
              <w:rPr>
                <w:b/>
              </w:rPr>
              <w:t>2014</w:t>
            </w:r>
          </w:p>
        </w:tc>
      </w:tr>
      <w:tr w:rsidR="00833724" w:rsidRPr="001B34D0" w:rsidTr="00000F81">
        <w:tc>
          <w:tcPr>
            <w:tcW w:w="2196" w:type="dxa"/>
          </w:tcPr>
          <w:p w:rsidR="00833724" w:rsidRPr="001B34D0" w:rsidRDefault="00833724" w:rsidP="00A92D87">
            <w:r w:rsidRPr="001B34D0">
              <w:t>Tasa de violencia entre otros familiares  cuando la víctima está entre los 18 y 28 años</w:t>
            </w:r>
          </w:p>
        </w:tc>
        <w:tc>
          <w:tcPr>
            <w:tcW w:w="1765" w:type="dxa"/>
          </w:tcPr>
          <w:p w:rsidR="00833724" w:rsidRPr="001B34D0" w:rsidRDefault="00833724" w:rsidP="00A92D87">
            <w:pPr>
              <w:jc w:val="center"/>
            </w:pPr>
          </w:p>
          <w:p w:rsidR="00833724" w:rsidRPr="001B34D0" w:rsidRDefault="00833724" w:rsidP="00A92D87">
            <w:pPr>
              <w:jc w:val="center"/>
            </w:pPr>
            <w:r w:rsidRPr="001B34D0">
              <w:t>1883 x 100000 Hbts</w:t>
            </w:r>
          </w:p>
        </w:tc>
        <w:tc>
          <w:tcPr>
            <w:tcW w:w="1766" w:type="dxa"/>
          </w:tcPr>
          <w:p w:rsidR="00833724" w:rsidRPr="001B34D0" w:rsidRDefault="00833724" w:rsidP="00A92D87">
            <w:pPr>
              <w:jc w:val="center"/>
            </w:pPr>
          </w:p>
          <w:p w:rsidR="00833724" w:rsidRPr="001B34D0" w:rsidRDefault="00833724" w:rsidP="00A92D87">
            <w:pPr>
              <w:jc w:val="center"/>
            </w:pPr>
            <w:r w:rsidRPr="001B34D0">
              <w:t>3914 x 100000 Hbts</w:t>
            </w:r>
          </w:p>
        </w:tc>
        <w:tc>
          <w:tcPr>
            <w:tcW w:w="1766" w:type="dxa"/>
          </w:tcPr>
          <w:p w:rsidR="00833724" w:rsidRPr="001B34D0" w:rsidRDefault="00833724" w:rsidP="00A92D87">
            <w:pPr>
              <w:jc w:val="center"/>
            </w:pPr>
          </w:p>
          <w:p w:rsidR="00833724" w:rsidRPr="001B34D0" w:rsidRDefault="00833724" w:rsidP="00A92D87">
            <w:pPr>
              <w:jc w:val="center"/>
            </w:pPr>
            <w:r w:rsidRPr="001B34D0">
              <w:t>2181 x 100000 Hbts</w:t>
            </w:r>
          </w:p>
        </w:tc>
        <w:tc>
          <w:tcPr>
            <w:tcW w:w="1766" w:type="dxa"/>
          </w:tcPr>
          <w:p w:rsidR="00833724" w:rsidRPr="001B34D0" w:rsidRDefault="00833724" w:rsidP="00A92D87">
            <w:pPr>
              <w:jc w:val="center"/>
            </w:pPr>
          </w:p>
          <w:p w:rsidR="00833724" w:rsidRPr="001B34D0" w:rsidRDefault="00833724" w:rsidP="00A92D87">
            <w:pPr>
              <w:jc w:val="center"/>
            </w:pPr>
            <w:r w:rsidRPr="001B34D0">
              <w:t>1910 x 100000 Hbts</w:t>
            </w:r>
          </w:p>
        </w:tc>
      </w:tr>
      <w:tr w:rsidR="00833724" w:rsidRPr="001B34D0" w:rsidTr="00000F81">
        <w:tc>
          <w:tcPr>
            <w:tcW w:w="9259" w:type="dxa"/>
            <w:gridSpan w:val="5"/>
          </w:tcPr>
          <w:p w:rsidR="00833724" w:rsidRPr="001B34D0" w:rsidRDefault="00833724" w:rsidP="00A92D87">
            <w:pPr>
              <w:rPr>
                <w:b/>
              </w:rPr>
            </w:pPr>
            <w:r w:rsidRPr="001B34D0">
              <w:rPr>
                <w:b/>
              </w:rPr>
              <w:t>Fuente y año:  OBSERVATORIO DEL DELITO</w:t>
            </w:r>
          </w:p>
        </w:tc>
      </w:tr>
    </w:tbl>
    <w:p w:rsidR="00833724" w:rsidRPr="001B34D0" w:rsidRDefault="00833724" w:rsidP="00A92D87">
      <w:pPr>
        <w:spacing w:line="240" w:lineRule="auto"/>
      </w:pPr>
    </w:p>
    <w:p w:rsidR="00833724" w:rsidRPr="001B34D0" w:rsidRDefault="00833724" w:rsidP="00A92D87">
      <w:pPr>
        <w:spacing w:line="240" w:lineRule="auto"/>
        <w:rPr>
          <w:b/>
        </w:rPr>
      </w:pPr>
      <w:r w:rsidRPr="001B34D0">
        <w:rPr>
          <w:b/>
        </w:rPr>
        <w:t xml:space="preserve">Gráfico: </w:t>
      </w:r>
    </w:p>
    <w:p w:rsidR="00833724" w:rsidRPr="001B34D0" w:rsidRDefault="00833724" w:rsidP="00A92D87">
      <w:pPr>
        <w:spacing w:line="240" w:lineRule="auto"/>
        <w:rPr>
          <w:b/>
        </w:rPr>
      </w:pPr>
      <w:r w:rsidRPr="001B34D0">
        <w:rPr>
          <w:noProof/>
          <w:lang w:val="es-ES" w:eastAsia="es-ES"/>
        </w:rPr>
        <w:drawing>
          <wp:inline distT="0" distB="0" distL="0" distR="0">
            <wp:extent cx="5619750" cy="2295525"/>
            <wp:effectExtent l="0" t="0" r="0" b="952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064BA9" w:rsidRDefault="00833724" w:rsidP="00A92D87">
      <w:pPr>
        <w:spacing w:line="240" w:lineRule="auto"/>
        <w:ind w:left="360"/>
        <w:jc w:val="both"/>
      </w:pPr>
      <w:r w:rsidRPr="001B34D0">
        <w:t xml:space="preserve">En este indicador el año con la tasa más elevada es el año 2012 con una tasa de 2080 x 100000 habitantes y el año con la mayor reducción es el año 2014 con una tasa de 650 x 100000 habitantes 91 puntos menos en la tasa con respecto al año 2013. </w:t>
      </w:r>
    </w:p>
    <w:p w:rsidR="00064BA9" w:rsidRDefault="00064BA9">
      <w:r>
        <w:br w:type="page"/>
      </w:r>
    </w:p>
    <w:p w:rsidR="00833724" w:rsidRPr="001B34D0" w:rsidRDefault="00833724" w:rsidP="00A92D87">
      <w:pPr>
        <w:spacing w:line="240" w:lineRule="auto"/>
        <w:ind w:left="360"/>
        <w:jc w:val="both"/>
      </w:pPr>
    </w:p>
    <w:p w:rsidR="00833724" w:rsidRPr="001B34D0" w:rsidRDefault="00833724" w:rsidP="00A92D87">
      <w:pPr>
        <w:spacing w:line="240" w:lineRule="auto"/>
        <w:jc w:val="both"/>
        <w:rPr>
          <w:b/>
        </w:rPr>
      </w:pPr>
      <w:r w:rsidRPr="001B34D0">
        <w:rPr>
          <w:b/>
        </w:rPr>
        <w:t xml:space="preserve">Insumos: </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833724" w:rsidRPr="001B34D0" w:rsidRDefault="00833724" w:rsidP="00A92D87">
      <w:pPr>
        <w:spacing w:after="0" w:line="240" w:lineRule="auto"/>
        <w:ind w:left="1080"/>
        <w:contextualSpacing/>
        <w:rPr>
          <w:rFonts w:eastAsia="Times New Roman" w:cs="Times New Roman"/>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833724" w:rsidRPr="001B34D0" w:rsidRDefault="00833724" w:rsidP="00A92D87">
      <w:pPr>
        <w:spacing w:line="240" w:lineRule="auto"/>
        <w:ind w:left="360"/>
        <w:jc w:val="both"/>
        <w:rPr>
          <w:b/>
        </w:rPr>
      </w:pPr>
      <w:r w:rsidRPr="001B34D0">
        <w:t xml:space="preserve">El Observatorio del Delito, hace parte de la Red de atención al buen trato, donde hacen parte instituciones a nivel local y nacional que tienen que ver con las problemáticas de violencia intrafamiliar, sexual, contra la mujer y maltrato infantil.  Además envía la información a la dirección de </w:t>
      </w:r>
      <w:r w:rsidR="007C3396" w:rsidRPr="001B34D0">
        <w:t>género</w:t>
      </w:r>
      <w:r w:rsidRPr="001B34D0">
        <w:t xml:space="preserve"> para que ellos puedan realizar sus planes de acción.</w:t>
      </w: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En este tipo de violencia es más evidente el maltrato físico y psicológico entre los miembros de la familia, por lo general, un comportamiento violento busca obtener o imponer algo por la fuerza</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A92D87">
      <w:pPr>
        <w:spacing w:after="0" w:line="240" w:lineRule="auto"/>
        <w:ind w:left="360"/>
        <w:contextualSpacing/>
        <w:jc w:val="both"/>
        <w:rPr>
          <w:rFonts w:eastAsia="Times New Roman" w:cs="Times New Roman"/>
          <w:b/>
          <w:lang w:eastAsia="es-CO"/>
        </w:rPr>
      </w:pPr>
      <w:r w:rsidRPr="001B34D0">
        <w:rPr>
          <w:rFonts w:eastAsia="Times New Roman" w:cs="Times New Roman"/>
          <w:b/>
          <w:lang w:eastAsia="es-CO"/>
        </w:rPr>
        <w:t xml:space="preserve">Impacto: </w:t>
      </w:r>
    </w:p>
    <w:p w:rsidR="00833724" w:rsidRPr="001B34D0" w:rsidRDefault="00833724" w:rsidP="00A92D87">
      <w:pPr>
        <w:spacing w:line="240" w:lineRule="auto"/>
        <w:ind w:left="360"/>
        <w:jc w:val="both"/>
      </w:pPr>
      <w:r w:rsidRPr="001B34D0">
        <w:t>El sistema de vigilancia de violencia interpersonal en familia, violencia sexual y maltrato infantil, se viene observando desde el año 2005, pero la línea base comienza realmente en el año 2007, donde todas las instituciones se vinculan al sistema; para este análisis el promedio se lo toma para los diez años monitoreados entre el año 2005 hasta el año 2014.</w:t>
      </w:r>
    </w:p>
    <w:p w:rsidR="00833724" w:rsidRPr="001B34D0" w:rsidRDefault="00833724" w:rsidP="00A92D87">
      <w:pPr>
        <w:spacing w:line="240" w:lineRule="auto"/>
        <w:ind w:left="360"/>
        <w:jc w:val="both"/>
      </w:pPr>
      <w:r w:rsidRPr="001B34D0">
        <w:t>Permite una descripción más exacta del problema.</w:t>
      </w:r>
    </w:p>
    <w:p w:rsidR="00833724" w:rsidRPr="001B34D0" w:rsidRDefault="00833724" w:rsidP="00A92D87">
      <w:pPr>
        <w:numPr>
          <w:ilvl w:val="0"/>
          <w:numId w:val="16"/>
        </w:numPr>
        <w:spacing w:after="0" w:line="240" w:lineRule="auto"/>
        <w:contextualSpacing/>
        <w:rPr>
          <w:rFonts w:eastAsia="Times New Roman" w:cs="Times New Roman"/>
          <w:lang w:eastAsia="es-CO"/>
        </w:rPr>
      </w:pPr>
      <w:r w:rsidRPr="001B34D0">
        <w:rPr>
          <w:rFonts w:eastAsia="Times New Roman" w:cs="Times New Roman"/>
          <w:lang w:eastAsia="es-CO"/>
        </w:rPr>
        <w:t>Nos obliga a ser claros y exactos en materia de priorizar acciones preventivas y correctivas.</w:t>
      </w:r>
    </w:p>
    <w:p w:rsidR="00833724" w:rsidRPr="001B34D0" w:rsidRDefault="00833724" w:rsidP="00A92D87">
      <w:pPr>
        <w:numPr>
          <w:ilvl w:val="0"/>
          <w:numId w:val="16"/>
        </w:numPr>
        <w:spacing w:after="0" w:line="240" w:lineRule="auto"/>
        <w:contextualSpacing/>
        <w:rPr>
          <w:rFonts w:eastAsia="Times New Roman" w:cs="Times New Roman"/>
          <w:lang w:eastAsia="es-CO"/>
        </w:rPr>
      </w:pPr>
      <w:r w:rsidRPr="001B34D0">
        <w:rPr>
          <w:rFonts w:eastAsia="Times New Roman" w:cs="Times New Roman"/>
          <w:lang w:eastAsia="es-CO"/>
        </w:rPr>
        <w:t>Permite identificar factores de riesgo.</w:t>
      </w:r>
    </w:p>
    <w:p w:rsidR="00833724" w:rsidRPr="001B34D0" w:rsidRDefault="00833724" w:rsidP="00A92D87">
      <w:pPr>
        <w:numPr>
          <w:ilvl w:val="0"/>
          <w:numId w:val="16"/>
        </w:numPr>
        <w:spacing w:after="0" w:line="240" w:lineRule="auto"/>
        <w:contextualSpacing/>
        <w:rPr>
          <w:rFonts w:eastAsia="Times New Roman" w:cs="Times New Roman"/>
          <w:lang w:eastAsia="es-CO"/>
        </w:rPr>
      </w:pPr>
      <w:r w:rsidRPr="001B34D0">
        <w:rPr>
          <w:rFonts w:eastAsia="Times New Roman" w:cs="Times New Roman"/>
          <w:lang w:eastAsia="es-CO"/>
        </w:rPr>
        <w:t>Nos permite tomar decisiones en base a la evidencia.</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A92D87">
      <w:pPr>
        <w:spacing w:line="240" w:lineRule="auto"/>
        <w:jc w:val="both"/>
      </w:pPr>
      <w:r w:rsidRPr="001B34D0">
        <w:t xml:space="preserve">A través de la Red de Atención al buen trato, se viene realizando seguimiento y evaluación a todas las instituciones de salud, justicia y protección que atienden la problemática de violencia intrafamiliar, violencia sexual y maltrato infantil, en lo referente a las guías y protocolos de </w:t>
      </w:r>
      <w:r w:rsidRPr="001B34D0">
        <w:lastRenderedPageBreak/>
        <w:t>atención, con el fin de garantizar la debida atención de los casos y brindar a las víctimas un acompañamiento psicosocial, brindar medidas de protección y restablecimiento de derechos.</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Prioridades</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Sea como sea, la agresividad se torna en violencia a la que estamos expuestos todos los días. Lo más triste, es que ésta se produce aun en el lugar que debería ser el más seguro: el propio hogar. La violencia familiar se produce cuando uno de los integrantes de la familia, abusando de su autoridad, su fuerza física y su poder, maltrata física, emocional o sexualmente a otro de sus miembros. Por lo es claro el trabajo que se debe abordar desde la familia.</w:t>
      </w:r>
    </w:p>
    <w:p w:rsidR="00833724" w:rsidRPr="001B34D0" w:rsidRDefault="00833724" w:rsidP="00A92D87">
      <w:pPr>
        <w:spacing w:after="0" w:line="240" w:lineRule="auto"/>
        <w:ind w:left="360"/>
        <w:contextualSpacing/>
        <w:jc w:val="both"/>
        <w:rPr>
          <w:rFonts w:eastAsia="Times New Roman" w:cs="Times New Roman"/>
          <w:b/>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Recomendaciones</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Tomar la información de Observatorio del Delito como herramienta fundamental al momento de implementar planes y/o acciones dentro del Municipio.</w:t>
      </w:r>
    </w:p>
    <w:p w:rsidR="00833724" w:rsidRPr="001B34D0" w:rsidRDefault="00833724" w:rsidP="00A92D87">
      <w:pPr>
        <w:pBdr>
          <w:top w:val="single" w:sz="4" w:space="10" w:color="5B9BD5" w:themeColor="accent1"/>
          <w:bottom w:val="single" w:sz="4" w:space="10" w:color="5B9BD5" w:themeColor="accent1"/>
        </w:pBdr>
        <w:spacing w:before="360" w:after="360" w:line="240" w:lineRule="auto"/>
        <w:ind w:left="864" w:right="864"/>
        <w:jc w:val="center"/>
        <w:rPr>
          <w:b/>
          <w:i/>
          <w:iCs/>
        </w:rPr>
      </w:pPr>
      <w:r w:rsidRPr="001B34D0">
        <w:rPr>
          <w:b/>
          <w:i/>
          <w:iCs/>
        </w:rPr>
        <w:t>DESCRIPCIÓN DEL INDICADOR No. 120</w:t>
      </w:r>
    </w:p>
    <w:tbl>
      <w:tblPr>
        <w:tblStyle w:val="Tabladecuadrcula2-nfasis51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833724" w:rsidRPr="001B34D0" w:rsidRDefault="00833724" w:rsidP="00A92D87">
            <w:r w:rsidRPr="001B34D0">
              <w:t>MUNICIPIO:  PASTO</w:t>
            </w:r>
          </w:p>
        </w:tc>
      </w:tr>
      <w:tr w:rsidR="00833724" w:rsidRPr="001B34D0" w:rsidTr="00000F81">
        <w:trPr>
          <w:cnfStyle w:val="000000100000"/>
          <w:trHeight w:val="579"/>
          <w:jc w:val="center"/>
        </w:trPr>
        <w:tc>
          <w:tcPr>
            <w:cnfStyle w:val="001000000000"/>
            <w:tcW w:w="8828" w:type="dxa"/>
          </w:tcPr>
          <w:p w:rsidR="00833724" w:rsidRPr="001B34D0" w:rsidRDefault="00833724" w:rsidP="00A92D87">
            <w:r w:rsidRPr="001B34D0">
              <w:t>Nombre del indicador: Tasa de violencia interpersonal  cuando la víctima está entre los 18 y 28 años</w:t>
            </w:r>
          </w:p>
        </w:tc>
      </w:tr>
      <w:tr w:rsidR="00833724" w:rsidRPr="001B34D0" w:rsidTr="00000F81">
        <w:trPr>
          <w:trHeight w:val="332"/>
          <w:jc w:val="center"/>
        </w:trPr>
        <w:tc>
          <w:tcPr>
            <w:cnfStyle w:val="001000000000"/>
            <w:tcW w:w="8828" w:type="dxa"/>
          </w:tcPr>
          <w:p w:rsidR="00833724" w:rsidRPr="001B34D0" w:rsidRDefault="00833724" w:rsidP="00A92D87">
            <w:r w:rsidRPr="001B34D0">
              <w:t xml:space="preserve">Fuente Nacional: </w:t>
            </w:r>
          </w:p>
          <w:p w:rsidR="00833724" w:rsidRPr="001B34D0" w:rsidRDefault="00833724" w:rsidP="00A92D87">
            <w:r w:rsidRPr="001B34D0">
              <w:t>Otra Fuente: OBSERVATORIO DEL DELITO MUNICIPIO DE PASTO</w:t>
            </w:r>
          </w:p>
        </w:tc>
      </w:tr>
      <w:tr w:rsidR="00833724" w:rsidRPr="001B34D0" w:rsidTr="00000F81">
        <w:trPr>
          <w:cnfStyle w:val="000000100000"/>
          <w:trHeight w:val="458"/>
          <w:jc w:val="center"/>
        </w:trPr>
        <w:tc>
          <w:tcPr>
            <w:cnfStyle w:val="001000000000"/>
            <w:tcW w:w="8828" w:type="dxa"/>
          </w:tcPr>
          <w:p w:rsidR="00833724" w:rsidRPr="001B34D0" w:rsidRDefault="00833724" w:rsidP="00A92D87">
            <w:r w:rsidRPr="001B34D0">
              <w:t xml:space="preserve">Categoría de derechos: </w:t>
            </w:r>
          </w:p>
        </w:tc>
      </w:tr>
      <w:tr w:rsidR="00833724" w:rsidRPr="001B34D0" w:rsidTr="00000F81">
        <w:trPr>
          <w:trHeight w:val="458"/>
          <w:jc w:val="center"/>
        </w:trPr>
        <w:tc>
          <w:tcPr>
            <w:cnfStyle w:val="001000000000"/>
            <w:tcW w:w="8828" w:type="dxa"/>
          </w:tcPr>
          <w:p w:rsidR="00833724" w:rsidRPr="001B34D0" w:rsidRDefault="00833724" w:rsidP="00A92D87">
            <w:r w:rsidRPr="001B34D0">
              <w:t>Metodología: Análisis de la información a partir de la cadena de resultados</w:t>
            </w:r>
          </w:p>
        </w:tc>
      </w:tr>
    </w:tbl>
    <w:p w:rsidR="00833724" w:rsidRPr="001B34D0" w:rsidRDefault="00833724" w:rsidP="00DF63E8">
      <w:pPr>
        <w:numPr>
          <w:ilvl w:val="0"/>
          <w:numId w:val="41"/>
        </w:numPr>
        <w:spacing w:after="0" w:line="240" w:lineRule="auto"/>
        <w:contextualSpacing/>
        <w:rPr>
          <w:rFonts w:eastAsia="Times New Roman" w:cs="Times New Roman"/>
          <w:b/>
          <w:lang w:eastAsia="es-CO"/>
        </w:rPr>
      </w:pPr>
      <w:r w:rsidRPr="001B34D0">
        <w:rPr>
          <w:rFonts w:eastAsia="Times New Roman" w:cs="Times New Roman"/>
          <w:b/>
          <w:lang w:eastAsia="es-CO"/>
        </w:rPr>
        <w:t>Información estadística</w:t>
      </w:r>
    </w:p>
    <w:p w:rsidR="00833724" w:rsidRPr="001B34D0" w:rsidRDefault="00833724" w:rsidP="00A92D87">
      <w:pPr>
        <w:spacing w:after="0" w:line="240" w:lineRule="auto"/>
        <w:ind w:left="1080"/>
        <w:contextualSpacing/>
        <w:rPr>
          <w:rFonts w:eastAsia="Times New Roman" w:cs="Times New Roman"/>
          <w:b/>
          <w:lang w:eastAsia="es-CO"/>
        </w:rPr>
      </w:pPr>
    </w:p>
    <w:tbl>
      <w:tblPr>
        <w:tblStyle w:val="Tablaconcuadrcula7"/>
        <w:tblW w:w="0" w:type="auto"/>
        <w:tblInd w:w="-431" w:type="dxa"/>
        <w:tblLook w:val="04A0"/>
      </w:tblPr>
      <w:tblGrid>
        <w:gridCol w:w="2196"/>
        <w:gridCol w:w="1765"/>
        <w:gridCol w:w="1766"/>
        <w:gridCol w:w="1766"/>
        <w:gridCol w:w="1766"/>
      </w:tblGrid>
      <w:tr w:rsidR="00833724" w:rsidRPr="001B34D0" w:rsidTr="00000F81">
        <w:tc>
          <w:tcPr>
            <w:tcW w:w="2196" w:type="dxa"/>
          </w:tcPr>
          <w:p w:rsidR="00833724" w:rsidRPr="001B34D0" w:rsidRDefault="00833724" w:rsidP="00A92D87">
            <w:pPr>
              <w:jc w:val="center"/>
              <w:rPr>
                <w:b/>
              </w:rPr>
            </w:pPr>
            <w:r w:rsidRPr="001B34D0">
              <w:rPr>
                <w:b/>
              </w:rPr>
              <w:t>Indicador</w:t>
            </w:r>
          </w:p>
        </w:tc>
        <w:tc>
          <w:tcPr>
            <w:tcW w:w="1765" w:type="dxa"/>
          </w:tcPr>
          <w:p w:rsidR="00833724" w:rsidRPr="001B34D0" w:rsidRDefault="00833724" w:rsidP="00A92D87">
            <w:pPr>
              <w:jc w:val="center"/>
              <w:rPr>
                <w:b/>
              </w:rPr>
            </w:pPr>
            <w:r w:rsidRPr="001B34D0">
              <w:rPr>
                <w:b/>
              </w:rPr>
              <w:t>2011</w:t>
            </w:r>
          </w:p>
        </w:tc>
        <w:tc>
          <w:tcPr>
            <w:tcW w:w="1766" w:type="dxa"/>
          </w:tcPr>
          <w:p w:rsidR="00833724" w:rsidRPr="001B34D0" w:rsidRDefault="00833724" w:rsidP="00A92D87">
            <w:pPr>
              <w:jc w:val="center"/>
              <w:rPr>
                <w:b/>
              </w:rPr>
            </w:pPr>
            <w:r w:rsidRPr="001B34D0">
              <w:rPr>
                <w:b/>
              </w:rPr>
              <w:t>2012</w:t>
            </w:r>
          </w:p>
        </w:tc>
        <w:tc>
          <w:tcPr>
            <w:tcW w:w="1766" w:type="dxa"/>
          </w:tcPr>
          <w:p w:rsidR="00833724" w:rsidRPr="001B34D0" w:rsidRDefault="00833724" w:rsidP="00A92D87">
            <w:pPr>
              <w:jc w:val="center"/>
              <w:rPr>
                <w:b/>
              </w:rPr>
            </w:pPr>
            <w:r w:rsidRPr="001B34D0">
              <w:rPr>
                <w:b/>
              </w:rPr>
              <w:t>2013</w:t>
            </w:r>
          </w:p>
        </w:tc>
        <w:tc>
          <w:tcPr>
            <w:tcW w:w="1766" w:type="dxa"/>
          </w:tcPr>
          <w:p w:rsidR="00833724" w:rsidRPr="001B34D0" w:rsidRDefault="00833724" w:rsidP="00A92D87">
            <w:pPr>
              <w:jc w:val="center"/>
              <w:rPr>
                <w:b/>
              </w:rPr>
            </w:pPr>
            <w:r w:rsidRPr="001B34D0">
              <w:rPr>
                <w:b/>
              </w:rPr>
              <w:t>2014</w:t>
            </w:r>
          </w:p>
        </w:tc>
      </w:tr>
      <w:tr w:rsidR="00833724" w:rsidRPr="001B34D0" w:rsidTr="00000F81">
        <w:tc>
          <w:tcPr>
            <w:tcW w:w="2196" w:type="dxa"/>
          </w:tcPr>
          <w:p w:rsidR="00833724" w:rsidRPr="001B34D0" w:rsidRDefault="00833724" w:rsidP="00A92D87">
            <w:r w:rsidRPr="001B34D0">
              <w:t>Tasa de violencia interpersonal  cuando la víctima está entre los 18 y 28 años</w:t>
            </w:r>
          </w:p>
        </w:tc>
        <w:tc>
          <w:tcPr>
            <w:tcW w:w="1765" w:type="dxa"/>
          </w:tcPr>
          <w:p w:rsidR="00833724" w:rsidRPr="001B34D0" w:rsidRDefault="00833724" w:rsidP="00A92D87">
            <w:pPr>
              <w:jc w:val="center"/>
            </w:pPr>
          </w:p>
          <w:p w:rsidR="00833724" w:rsidRPr="001B34D0" w:rsidRDefault="00833724" w:rsidP="00A92D87">
            <w:pPr>
              <w:jc w:val="center"/>
            </w:pPr>
            <w:r w:rsidRPr="001B34D0">
              <w:t>1932 x 100000 Hbts</w:t>
            </w:r>
          </w:p>
        </w:tc>
        <w:tc>
          <w:tcPr>
            <w:tcW w:w="1766" w:type="dxa"/>
          </w:tcPr>
          <w:p w:rsidR="00833724" w:rsidRPr="001B34D0" w:rsidRDefault="00833724" w:rsidP="00A92D87">
            <w:pPr>
              <w:jc w:val="center"/>
            </w:pPr>
          </w:p>
          <w:p w:rsidR="00833724" w:rsidRPr="001B34D0" w:rsidRDefault="00833724" w:rsidP="00A92D87">
            <w:pPr>
              <w:jc w:val="center"/>
            </w:pPr>
            <w:r w:rsidRPr="001B34D0">
              <w:t>1019 x 100000 Hbts</w:t>
            </w:r>
          </w:p>
        </w:tc>
        <w:tc>
          <w:tcPr>
            <w:tcW w:w="1766" w:type="dxa"/>
          </w:tcPr>
          <w:p w:rsidR="00833724" w:rsidRPr="001B34D0" w:rsidRDefault="00833724" w:rsidP="00A92D87">
            <w:pPr>
              <w:jc w:val="center"/>
            </w:pPr>
          </w:p>
          <w:p w:rsidR="00833724" w:rsidRPr="001B34D0" w:rsidRDefault="00833724" w:rsidP="00A92D87">
            <w:pPr>
              <w:jc w:val="center"/>
            </w:pPr>
            <w:r w:rsidRPr="001B34D0">
              <w:t>1395 x 100000 Hbts</w:t>
            </w:r>
          </w:p>
        </w:tc>
        <w:tc>
          <w:tcPr>
            <w:tcW w:w="1766" w:type="dxa"/>
          </w:tcPr>
          <w:p w:rsidR="00833724" w:rsidRPr="001B34D0" w:rsidRDefault="00833724" w:rsidP="00A92D87">
            <w:pPr>
              <w:jc w:val="center"/>
            </w:pPr>
          </w:p>
          <w:p w:rsidR="00833724" w:rsidRPr="001B34D0" w:rsidRDefault="00833724" w:rsidP="00A92D87">
            <w:pPr>
              <w:jc w:val="center"/>
            </w:pPr>
            <w:r w:rsidRPr="001B34D0">
              <w:t>976 x 100000 Hbts</w:t>
            </w:r>
          </w:p>
        </w:tc>
      </w:tr>
      <w:tr w:rsidR="00833724" w:rsidRPr="001B34D0" w:rsidTr="00000F81">
        <w:tc>
          <w:tcPr>
            <w:tcW w:w="9259" w:type="dxa"/>
            <w:gridSpan w:val="5"/>
          </w:tcPr>
          <w:p w:rsidR="00833724" w:rsidRPr="001B34D0" w:rsidRDefault="00833724" w:rsidP="00A92D87">
            <w:pPr>
              <w:rPr>
                <w:b/>
              </w:rPr>
            </w:pPr>
            <w:r w:rsidRPr="001B34D0">
              <w:rPr>
                <w:b/>
              </w:rPr>
              <w:t>Fuente y año:  OBSERVATORIO DEL DELITO</w:t>
            </w:r>
          </w:p>
        </w:tc>
      </w:tr>
    </w:tbl>
    <w:p w:rsidR="00064BA9" w:rsidRDefault="00064BA9" w:rsidP="00A92D87">
      <w:pPr>
        <w:spacing w:line="240" w:lineRule="auto"/>
      </w:pPr>
    </w:p>
    <w:p w:rsidR="00064BA9" w:rsidRDefault="00064BA9">
      <w:r>
        <w:br w:type="page"/>
      </w:r>
    </w:p>
    <w:p w:rsidR="00833724" w:rsidRPr="001B34D0" w:rsidRDefault="00833724" w:rsidP="00A92D87">
      <w:pPr>
        <w:spacing w:line="240" w:lineRule="auto"/>
      </w:pPr>
    </w:p>
    <w:p w:rsidR="00833724" w:rsidRPr="001B34D0" w:rsidRDefault="00833724" w:rsidP="00A92D87">
      <w:pPr>
        <w:spacing w:line="240" w:lineRule="auto"/>
        <w:rPr>
          <w:b/>
        </w:rPr>
      </w:pPr>
      <w:r w:rsidRPr="001B34D0">
        <w:rPr>
          <w:b/>
        </w:rPr>
        <w:t xml:space="preserve">Gráfico: </w:t>
      </w:r>
    </w:p>
    <w:p w:rsidR="00833724" w:rsidRPr="001B34D0" w:rsidRDefault="00833724" w:rsidP="00A92D87">
      <w:pPr>
        <w:spacing w:line="240" w:lineRule="auto"/>
        <w:rPr>
          <w:b/>
        </w:rPr>
      </w:pPr>
      <w:r w:rsidRPr="001B34D0">
        <w:rPr>
          <w:noProof/>
          <w:lang w:val="es-ES" w:eastAsia="es-ES"/>
        </w:rPr>
        <w:drawing>
          <wp:inline distT="0" distB="0" distL="0" distR="0">
            <wp:extent cx="5686425" cy="2219325"/>
            <wp:effectExtent l="0" t="0" r="9525" b="9525"/>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833724" w:rsidRPr="001B34D0" w:rsidRDefault="00833724" w:rsidP="00A92D87">
      <w:pPr>
        <w:spacing w:line="240" w:lineRule="auto"/>
        <w:ind w:left="360"/>
        <w:jc w:val="both"/>
      </w:pPr>
      <w:r w:rsidRPr="001B34D0">
        <w:t>La violencia interpersonal es un fenómeno que se presenta con mayor frecuencia en la zona urbana, especialmente el espacio o vía publica los fines de semana en horas de la noche  y madrugada. De igual manera, se evidencia el fenómeno en actividades de tomando licor,  en labores personales y en  actividades deportivas y/o relacionadas con el disfrute del tiempo libre.</w:t>
      </w:r>
    </w:p>
    <w:p w:rsidR="00833724" w:rsidRPr="001B34D0" w:rsidRDefault="00833724" w:rsidP="00A92D87">
      <w:pPr>
        <w:spacing w:line="240" w:lineRule="auto"/>
        <w:ind w:left="360"/>
        <w:jc w:val="both"/>
      </w:pPr>
      <w:r w:rsidRPr="001B34D0">
        <w:t>El contexto del hecho las lesiones en su mayoría se presentan por riñas y robos; las cuales han sido provocadas en su mayoría por cortes y golpes; donde los lesionados estaban bajo efectos del alcohol. La violencia interpersonal es un fenómeno de la juventud, ocurre principalmente en hombres. En relación al presunto agresor la variable Desconocido y Amigo y/o conocido.</w:t>
      </w: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Insumos: </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El Observatorio del Delito, es un programa de la Secretaria de Gobierno, el cual monitorea el comportamiento ciudadano a nivel de seguridad y conflictividades (estadísticas de lesiones de causa externa fatal, no fatal y violencia intrafamiliar).  Adicionalmente se cuenta con un equipo de tres profesionales (Ingeniero de sistemas, Geógrafa y Socióloga) y cuatro personas de apoyo a la gestión contratistas quienes desarrollan cada una de las actividades que tienen que ver con la medición de los indicadores propuestos en el Plan de Desarrollo Local.</w:t>
      </w:r>
    </w:p>
    <w:p w:rsidR="00833724" w:rsidRPr="001B34D0" w:rsidRDefault="00833724" w:rsidP="00A92D87">
      <w:pPr>
        <w:spacing w:after="0" w:line="240" w:lineRule="auto"/>
        <w:ind w:left="1080"/>
        <w:contextualSpacing/>
        <w:rPr>
          <w:rFonts w:eastAsia="Times New Roman" w:cs="Times New Roman"/>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833724" w:rsidRPr="001B34D0" w:rsidRDefault="00833724" w:rsidP="00A92D87">
      <w:pPr>
        <w:spacing w:line="240" w:lineRule="auto"/>
        <w:ind w:left="360"/>
        <w:jc w:val="both"/>
        <w:rPr>
          <w:b/>
          <w:u w:val="words"/>
        </w:rPr>
      </w:pPr>
      <w:r w:rsidRPr="001B34D0">
        <w:t xml:space="preserve">El Observatorio del Delito, realiza mesas temáticas de seguridad con las instituciones que tienen que ver con este tema como Policía Nacional, el grupo operativo de </w:t>
      </w:r>
      <w:r w:rsidR="007C3396" w:rsidRPr="001B34D0">
        <w:t>P</w:t>
      </w:r>
      <w:r w:rsidR="007C3396" w:rsidRPr="001B34D0">
        <w:rPr>
          <w:u w:val="words"/>
        </w:rPr>
        <w:t>asto</w:t>
      </w:r>
      <w:r w:rsidRPr="001B34D0">
        <w:rPr>
          <w:u w:val="words"/>
        </w:rPr>
        <w:t xml:space="preserve"> </w:t>
      </w:r>
      <w:r w:rsidRPr="001B34D0">
        <w:t xml:space="preserve">Seguro, subsecretaria de convivencia, con el fin de realizar un análisis de la situación en el Municipio y dirigir los operativos conjuntos de prevención y control.  La Policía metropolitana con su </w:t>
      </w:r>
      <w:r w:rsidRPr="001B34D0">
        <w:lastRenderedPageBreak/>
        <w:t>estrategia de cuadrantes ha logrado disminuir los indicies de violencia, todo este trabajo acompañado de la intervención por parte de la Administración Municipal.</w:t>
      </w: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El Observatorio del Delito, produce informes semanales, mensuales y anuales de todos los eventos monitoreados, se realiza boletines informativos trimestrales y anuales, esto con el fin de identificar población a riesgo, sectores vulnerables a nivel de barrio, comuna y cuadrante y priorizar acciones de prevención y control.</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Las comunas más afectadas por este tipo de violencia son la comuna uno, la comuna cinco y las comunas diez. En cuanto a la zona rural los corregimientos involucrados en este tipo de violencia son los corregimientos de Catambuco.  Este tipo de lesiones por violencia involucran lesiones que pueden requerir atención hospitalaria, daños a la salud mental, discapacidad y muerte.</w:t>
      </w:r>
    </w:p>
    <w:p w:rsidR="00833724" w:rsidRPr="001B34D0" w:rsidRDefault="00833724" w:rsidP="00A92D87">
      <w:pPr>
        <w:spacing w:after="0" w:line="240" w:lineRule="auto"/>
        <w:ind w:left="360"/>
        <w:contextualSpacing/>
        <w:jc w:val="both"/>
        <w:rPr>
          <w:rFonts w:eastAsia="Times New Roman" w:cs="Times New Roman"/>
          <w:b/>
          <w:lang w:eastAsia="es-CO"/>
        </w:rPr>
      </w:pPr>
    </w:p>
    <w:p w:rsidR="00833724" w:rsidRPr="001B34D0" w:rsidRDefault="00833724" w:rsidP="00A92D87">
      <w:pPr>
        <w:spacing w:after="0" w:line="240" w:lineRule="auto"/>
        <w:ind w:left="360"/>
        <w:contextualSpacing/>
        <w:jc w:val="both"/>
        <w:rPr>
          <w:rFonts w:eastAsia="Times New Roman" w:cs="Times New Roman"/>
          <w:b/>
          <w:lang w:eastAsia="es-CO"/>
        </w:rPr>
      </w:pPr>
      <w:r w:rsidRPr="001B34D0">
        <w:rPr>
          <w:rFonts w:eastAsia="Times New Roman" w:cs="Times New Roman"/>
          <w:b/>
          <w:lang w:eastAsia="es-CO"/>
        </w:rPr>
        <w:t xml:space="preserve">Impacto: </w:t>
      </w:r>
    </w:p>
    <w:p w:rsidR="00833724" w:rsidRPr="001B34D0" w:rsidRDefault="00833724" w:rsidP="00A92D87">
      <w:pPr>
        <w:spacing w:line="240" w:lineRule="auto"/>
        <w:ind w:left="360"/>
        <w:jc w:val="both"/>
      </w:pPr>
      <w:r w:rsidRPr="001B34D0">
        <w:t>El sistema de vigilancia de lesiones de causa externa no fatal, al cual hace parte las lesiones por violencia interpersonal e, se viene observando desde el año 2005, involucrando a todas las instituciones de salud públicas y privadas con servicio de urgencias, donde el reporte es permanente y la mayoría de las instituciones tienen incluida la ficha de notificación en la historia clínica sistematizada, lo cual garantiza la permanencia del sistema.</w:t>
      </w:r>
    </w:p>
    <w:p w:rsidR="00833724" w:rsidRPr="001B34D0" w:rsidRDefault="00833724" w:rsidP="00A92D87">
      <w:pPr>
        <w:spacing w:line="240" w:lineRule="auto"/>
        <w:ind w:left="360"/>
        <w:jc w:val="both"/>
      </w:pPr>
      <w:r w:rsidRPr="001B34D0">
        <w:t>Permite una descripción más exacta del problema.</w:t>
      </w:r>
    </w:p>
    <w:p w:rsidR="00833724" w:rsidRPr="001B34D0" w:rsidRDefault="00833724" w:rsidP="00A92D87">
      <w:pPr>
        <w:numPr>
          <w:ilvl w:val="0"/>
          <w:numId w:val="16"/>
        </w:numPr>
        <w:spacing w:after="0" w:line="240" w:lineRule="auto"/>
        <w:contextualSpacing/>
        <w:rPr>
          <w:rFonts w:eastAsia="Times New Roman" w:cs="Times New Roman"/>
          <w:lang w:eastAsia="es-CO"/>
        </w:rPr>
      </w:pPr>
      <w:r w:rsidRPr="001B34D0">
        <w:rPr>
          <w:rFonts w:eastAsia="Times New Roman" w:cs="Times New Roman"/>
          <w:lang w:eastAsia="es-CO"/>
        </w:rPr>
        <w:t>Nos obliga a ser claros y exactos en materia de priorizar acciones preventivas y correctivas.</w:t>
      </w:r>
    </w:p>
    <w:p w:rsidR="00833724" w:rsidRPr="001B34D0" w:rsidRDefault="00833724" w:rsidP="00A92D87">
      <w:pPr>
        <w:numPr>
          <w:ilvl w:val="0"/>
          <w:numId w:val="16"/>
        </w:numPr>
        <w:spacing w:after="0" w:line="240" w:lineRule="auto"/>
        <w:contextualSpacing/>
        <w:rPr>
          <w:rFonts w:eastAsia="Times New Roman" w:cs="Times New Roman"/>
          <w:lang w:eastAsia="es-CO"/>
        </w:rPr>
      </w:pPr>
      <w:r w:rsidRPr="001B34D0">
        <w:rPr>
          <w:rFonts w:eastAsia="Times New Roman" w:cs="Times New Roman"/>
          <w:lang w:eastAsia="es-CO"/>
        </w:rPr>
        <w:t>Permite identificar factores de riesgo.</w:t>
      </w:r>
    </w:p>
    <w:p w:rsidR="00833724" w:rsidRPr="001B34D0" w:rsidRDefault="00833724" w:rsidP="00A92D87">
      <w:pPr>
        <w:numPr>
          <w:ilvl w:val="0"/>
          <w:numId w:val="16"/>
        </w:numPr>
        <w:spacing w:after="0" w:line="240" w:lineRule="auto"/>
        <w:contextualSpacing/>
        <w:rPr>
          <w:rFonts w:eastAsia="Times New Roman" w:cs="Times New Roman"/>
          <w:lang w:eastAsia="es-CO"/>
        </w:rPr>
      </w:pPr>
      <w:r w:rsidRPr="001B34D0">
        <w:rPr>
          <w:rFonts w:eastAsia="Times New Roman" w:cs="Times New Roman"/>
          <w:lang w:eastAsia="es-CO"/>
        </w:rPr>
        <w:t>Nos permite tomar decisiones en base a la evidencia.</w:t>
      </w:r>
    </w:p>
    <w:p w:rsidR="00833724" w:rsidRPr="001B34D0" w:rsidRDefault="00833724" w:rsidP="00A92D87">
      <w:pPr>
        <w:spacing w:after="0" w:line="240" w:lineRule="auto"/>
        <w:ind w:left="1440"/>
        <w:contextualSpacing/>
        <w:rPr>
          <w:rFonts w:eastAsia="Times New Roman" w:cs="Times New Roman"/>
          <w:lang w:eastAsia="es-CO"/>
        </w:rPr>
      </w:pPr>
    </w:p>
    <w:p w:rsidR="00833724" w:rsidRPr="001B34D0" w:rsidRDefault="00833724" w:rsidP="00A92D87">
      <w:pPr>
        <w:spacing w:line="240" w:lineRule="auto"/>
        <w:jc w:val="both"/>
      </w:pPr>
      <w:r w:rsidRPr="001B34D0">
        <w:t>De acuerdo a los resultados este indicador presenta un impacto positivo para el año 2014, al disminuir 419 puntos en la tasa con respecto al año inmediatamente anterior; disminución que obedece a todas las estrategias que por parte de la Secretaria de Gobierno, conjuntamente con Policía Nacional, Ejercito, Fiscalía, como es la implementación de la Policía Metropolitana y el trabajo por cuadrantes que se implementó en la ciudad, la creación de los comités de paz y convivencia, las jornadas de convivencia, ciudad segura para las mujeres, los operativos de control realizados por el Decreto 0400 y Pazto Seguro, lo cual ha mejorado considerablemente la seguridad en el Municipio.</w:t>
      </w:r>
    </w:p>
    <w:p w:rsidR="00833724" w:rsidRPr="001B34D0" w:rsidRDefault="00833724" w:rsidP="00A92D87">
      <w:pPr>
        <w:spacing w:after="0" w:line="240" w:lineRule="auto"/>
        <w:ind w:left="360"/>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Prioridades</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t xml:space="preserve">Generar impacto en las estrategias para la prevención del consumo de alcohol, sobre todo en menores de edad, ya que este factor es el desencadenante o generador de riñas por las cuales son atendidos la mayoría de los lesionados. </w:t>
      </w:r>
    </w:p>
    <w:p w:rsidR="00833724" w:rsidRPr="001B34D0" w:rsidRDefault="00833724" w:rsidP="00A92D87">
      <w:pPr>
        <w:spacing w:after="0" w:line="240" w:lineRule="auto"/>
        <w:ind w:left="360"/>
        <w:contextualSpacing/>
        <w:jc w:val="both"/>
        <w:rPr>
          <w:rFonts w:eastAsia="Times New Roman" w:cs="Times New Roman"/>
          <w:b/>
          <w:lang w:eastAsia="es-CO"/>
        </w:rPr>
      </w:pPr>
    </w:p>
    <w:p w:rsidR="00833724" w:rsidRPr="001B34D0" w:rsidRDefault="00833724" w:rsidP="00DF63E8">
      <w:pPr>
        <w:numPr>
          <w:ilvl w:val="0"/>
          <w:numId w:val="41"/>
        </w:numPr>
        <w:spacing w:after="0" w:line="240" w:lineRule="auto"/>
        <w:contextualSpacing/>
        <w:jc w:val="both"/>
        <w:rPr>
          <w:rFonts w:eastAsia="Times New Roman" w:cs="Times New Roman"/>
          <w:b/>
          <w:lang w:eastAsia="es-CO"/>
        </w:rPr>
      </w:pPr>
      <w:r w:rsidRPr="001B34D0">
        <w:rPr>
          <w:rFonts w:eastAsia="Times New Roman" w:cs="Times New Roman"/>
          <w:b/>
          <w:lang w:eastAsia="es-CO"/>
        </w:rPr>
        <w:t>Recomendaciones</w:t>
      </w:r>
    </w:p>
    <w:p w:rsidR="00833724" w:rsidRPr="001B34D0" w:rsidRDefault="00833724" w:rsidP="00A92D87">
      <w:pPr>
        <w:spacing w:after="0" w:line="240" w:lineRule="auto"/>
        <w:ind w:left="360"/>
        <w:contextualSpacing/>
        <w:jc w:val="both"/>
        <w:rPr>
          <w:rFonts w:eastAsia="Times New Roman" w:cs="Times New Roman"/>
          <w:lang w:eastAsia="es-CO"/>
        </w:rPr>
      </w:pPr>
      <w:r w:rsidRPr="001B34D0">
        <w:rPr>
          <w:rFonts w:eastAsia="Times New Roman" w:cs="Times New Roman"/>
          <w:lang w:eastAsia="es-CO"/>
        </w:rPr>
        <w:lastRenderedPageBreak/>
        <w:t>Tomar la información de Observatorio del Delito como herramienta fundamental al momento de implementar planes y/o acciones dentro del Municipio.</w:t>
      </w:r>
    </w:p>
    <w:p w:rsidR="00833724" w:rsidRPr="001B34D0" w:rsidRDefault="00833724" w:rsidP="00A92D87">
      <w:pPr>
        <w:spacing w:line="240" w:lineRule="auto"/>
        <w:rPr>
          <w:b/>
        </w:rPr>
      </w:pPr>
    </w:p>
    <w:p w:rsidR="00833724" w:rsidRPr="001B34D0" w:rsidRDefault="00833724"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122</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833724" w:rsidRPr="001B34D0" w:rsidRDefault="00833724" w:rsidP="00A92D87">
            <w:r w:rsidRPr="001B34D0">
              <w:t>MUNICIPIO:  PASTO</w:t>
            </w:r>
          </w:p>
        </w:tc>
      </w:tr>
      <w:tr w:rsidR="00833724" w:rsidRPr="001B34D0" w:rsidTr="00000F81">
        <w:trPr>
          <w:cnfStyle w:val="000000100000"/>
          <w:trHeight w:val="579"/>
          <w:jc w:val="center"/>
        </w:trPr>
        <w:tc>
          <w:tcPr>
            <w:cnfStyle w:val="001000000000"/>
            <w:tcW w:w="8828" w:type="dxa"/>
          </w:tcPr>
          <w:p w:rsidR="00833724" w:rsidRPr="001B34D0" w:rsidRDefault="00833724" w:rsidP="00A92D87">
            <w:r w:rsidRPr="001B34D0">
              <w:t>Nombre del indicador: Porcentaje de jóvenes (18 - 28 años) víctimas de acto terrorista /Atentados/Combates/ Hostigamiento</w:t>
            </w:r>
          </w:p>
        </w:tc>
      </w:tr>
      <w:tr w:rsidR="00833724" w:rsidRPr="001B34D0" w:rsidTr="00000F81">
        <w:trPr>
          <w:trHeight w:val="332"/>
          <w:jc w:val="center"/>
        </w:trPr>
        <w:tc>
          <w:tcPr>
            <w:cnfStyle w:val="001000000000"/>
            <w:tcW w:w="8828" w:type="dxa"/>
          </w:tcPr>
          <w:p w:rsidR="00833724" w:rsidRPr="001B34D0" w:rsidRDefault="00833724" w:rsidP="00A92D87">
            <w:r w:rsidRPr="001B34D0">
              <w:t xml:space="preserve">Fuente Nacional: </w:t>
            </w:r>
          </w:p>
          <w:p w:rsidR="00833724" w:rsidRPr="001B34D0" w:rsidRDefault="00833724" w:rsidP="00A92D87">
            <w:r w:rsidRPr="001B34D0">
              <w:t>Otra Fuente: UNIDAD DE VICTIMAS Y RED NACIONAL DE INFORMACION</w:t>
            </w:r>
          </w:p>
        </w:tc>
      </w:tr>
      <w:tr w:rsidR="00833724" w:rsidRPr="001B34D0" w:rsidTr="00000F81">
        <w:trPr>
          <w:cnfStyle w:val="000000100000"/>
          <w:trHeight w:val="458"/>
          <w:jc w:val="center"/>
        </w:trPr>
        <w:tc>
          <w:tcPr>
            <w:cnfStyle w:val="001000000000"/>
            <w:tcW w:w="8828" w:type="dxa"/>
          </w:tcPr>
          <w:p w:rsidR="00833724" w:rsidRPr="001B34D0" w:rsidRDefault="00833724" w:rsidP="00A92D87">
            <w:r w:rsidRPr="001B34D0">
              <w:t>Categoría de derechos: DERECHO A LA VIDA</w:t>
            </w:r>
          </w:p>
        </w:tc>
      </w:tr>
      <w:tr w:rsidR="00833724" w:rsidRPr="001B34D0" w:rsidTr="00000F81">
        <w:trPr>
          <w:trHeight w:val="458"/>
          <w:jc w:val="center"/>
        </w:trPr>
        <w:tc>
          <w:tcPr>
            <w:cnfStyle w:val="001000000000"/>
            <w:tcW w:w="8828" w:type="dxa"/>
          </w:tcPr>
          <w:p w:rsidR="00833724" w:rsidRPr="001B34D0" w:rsidRDefault="00833724" w:rsidP="00A92D87">
            <w:r w:rsidRPr="001B34D0">
              <w:t>Metodología: Análisis de la información a partir de la cadena de resultados</w:t>
            </w: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833724" w:rsidRPr="001B34D0" w:rsidRDefault="00833724"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293"/>
        <w:gridCol w:w="1765"/>
        <w:gridCol w:w="1766"/>
        <w:gridCol w:w="1766"/>
        <w:gridCol w:w="1766"/>
      </w:tblGrid>
      <w:tr w:rsidR="00833724" w:rsidRPr="001B34D0" w:rsidTr="00000F81">
        <w:tc>
          <w:tcPr>
            <w:tcW w:w="2196" w:type="dxa"/>
          </w:tcPr>
          <w:p w:rsidR="00833724" w:rsidRPr="001B34D0" w:rsidRDefault="00833724" w:rsidP="00A92D87">
            <w:pPr>
              <w:jc w:val="center"/>
              <w:rPr>
                <w:b/>
              </w:rPr>
            </w:pPr>
            <w:r w:rsidRPr="001B34D0">
              <w:rPr>
                <w:b/>
              </w:rPr>
              <w:t>Indicador</w:t>
            </w:r>
          </w:p>
        </w:tc>
        <w:tc>
          <w:tcPr>
            <w:tcW w:w="1765" w:type="dxa"/>
          </w:tcPr>
          <w:p w:rsidR="00833724" w:rsidRPr="001B34D0" w:rsidRDefault="00833724" w:rsidP="00A92D87">
            <w:pPr>
              <w:jc w:val="center"/>
              <w:rPr>
                <w:b/>
              </w:rPr>
            </w:pPr>
            <w:r w:rsidRPr="001B34D0">
              <w:rPr>
                <w:b/>
              </w:rPr>
              <w:t>2011</w:t>
            </w:r>
          </w:p>
        </w:tc>
        <w:tc>
          <w:tcPr>
            <w:tcW w:w="1766" w:type="dxa"/>
          </w:tcPr>
          <w:p w:rsidR="00833724" w:rsidRPr="001B34D0" w:rsidRDefault="00833724" w:rsidP="00A92D87">
            <w:pPr>
              <w:jc w:val="center"/>
              <w:rPr>
                <w:b/>
              </w:rPr>
            </w:pPr>
            <w:r w:rsidRPr="001B34D0">
              <w:rPr>
                <w:b/>
              </w:rPr>
              <w:t>2012</w:t>
            </w:r>
          </w:p>
        </w:tc>
        <w:tc>
          <w:tcPr>
            <w:tcW w:w="1766" w:type="dxa"/>
          </w:tcPr>
          <w:p w:rsidR="00833724" w:rsidRPr="001B34D0" w:rsidRDefault="00833724" w:rsidP="00A92D87">
            <w:pPr>
              <w:jc w:val="center"/>
              <w:rPr>
                <w:b/>
              </w:rPr>
            </w:pPr>
            <w:r w:rsidRPr="001B34D0">
              <w:rPr>
                <w:b/>
              </w:rPr>
              <w:t>2013</w:t>
            </w:r>
          </w:p>
        </w:tc>
        <w:tc>
          <w:tcPr>
            <w:tcW w:w="1766" w:type="dxa"/>
          </w:tcPr>
          <w:p w:rsidR="00833724" w:rsidRPr="001B34D0" w:rsidRDefault="00833724" w:rsidP="00A92D87">
            <w:pPr>
              <w:jc w:val="center"/>
              <w:rPr>
                <w:b/>
              </w:rPr>
            </w:pPr>
            <w:r w:rsidRPr="001B34D0">
              <w:rPr>
                <w:b/>
              </w:rPr>
              <w:t>2014</w:t>
            </w:r>
          </w:p>
        </w:tc>
      </w:tr>
      <w:tr w:rsidR="00833724" w:rsidRPr="001B34D0" w:rsidTr="00000F81">
        <w:tc>
          <w:tcPr>
            <w:tcW w:w="2196" w:type="dxa"/>
          </w:tcPr>
          <w:p w:rsidR="00833724" w:rsidRPr="001B34D0" w:rsidRDefault="00833724" w:rsidP="00A92D87">
            <w:r w:rsidRPr="001B34D0">
              <w:t>Porcentaje de jóvenes (18 - 28 años) víctimas de acto terrorista /Atentados/Combates/ Hostigamiento</w:t>
            </w:r>
          </w:p>
        </w:tc>
        <w:tc>
          <w:tcPr>
            <w:tcW w:w="1765" w:type="dxa"/>
          </w:tcPr>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p>
        </w:tc>
        <w:tc>
          <w:tcPr>
            <w:tcW w:w="1766" w:type="dxa"/>
          </w:tcPr>
          <w:p w:rsidR="00833724" w:rsidRPr="001B34D0" w:rsidRDefault="00833724" w:rsidP="00A92D87">
            <w:pPr>
              <w:jc w:val="center"/>
            </w:pPr>
          </w:p>
          <w:tbl>
            <w:tblPr>
              <w:tblW w:w="1200" w:type="dxa"/>
              <w:tblCellMar>
                <w:left w:w="70" w:type="dxa"/>
                <w:right w:w="70" w:type="dxa"/>
              </w:tblCellMar>
              <w:tblLook w:val="04A0"/>
            </w:tblPr>
            <w:tblGrid>
              <w:gridCol w:w="1200"/>
            </w:tblGrid>
            <w:tr w:rsidR="00833724" w:rsidRPr="001B34D0"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w:t>
                  </w:r>
                </w:p>
              </w:tc>
            </w:tr>
          </w:tbl>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p>
        </w:tc>
      </w:tr>
      <w:tr w:rsidR="00833724" w:rsidRPr="001B34D0" w:rsidTr="00000F81">
        <w:tc>
          <w:tcPr>
            <w:tcW w:w="9259" w:type="dxa"/>
            <w:gridSpan w:val="5"/>
          </w:tcPr>
          <w:p w:rsidR="00833724" w:rsidRPr="001B34D0" w:rsidRDefault="00833724" w:rsidP="00A92D87">
            <w:pPr>
              <w:rPr>
                <w:b/>
              </w:rPr>
            </w:pPr>
            <w:r w:rsidRPr="001B34D0">
              <w:rPr>
                <w:b/>
              </w:rPr>
              <w:t>Fuente y año:  UNIDAD DE VICTIMAS</w:t>
            </w:r>
          </w:p>
        </w:tc>
      </w:tr>
    </w:tbl>
    <w:p w:rsidR="00833724" w:rsidRPr="001B34D0" w:rsidRDefault="00833724" w:rsidP="00A92D87">
      <w:pPr>
        <w:spacing w:line="240" w:lineRule="auto"/>
        <w:rPr>
          <w:b/>
        </w:rPr>
      </w:pPr>
    </w:p>
    <w:p w:rsidR="00833724" w:rsidRPr="001B34D0" w:rsidRDefault="00833724" w:rsidP="00A92D87">
      <w:pPr>
        <w:spacing w:line="240" w:lineRule="auto"/>
        <w:rPr>
          <w:b/>
        </w:rPr>
      </w:pPr>
      <w:r w:rsidRPr="001B34D0">
        <w:rPr>
          <w:b/>
        </w:rPr>
        <w:t xml:space="preserve">Gráfico: </w:t>
      </w:r>
    </w:p>
    <w:tbl>
      <w:tblPr>
        <w:tblW w:w="6361" w:type="dxa"/>
        <w:tblInd w:w="55" w:type="dxa"/>
        <w:tblCellMar>
          <w:left w:w="70" w:type="dxa"/>
          <w:right w:w="70" w:type="dxa"/>
        </w:tblCellMar>
        <w:tblLook w:val="04A0"/>
      </w:tblPr>
      <w:tblGrid>
        <w:gridCol w:w="1045"/>
        <w:gridCol w:w="715"/>
        <w:gridCol w:w="1485"/>
        <w:gridCol w:w="1717"/>
        <w:gridCol w:w="1399"/>
      </w:tblGrid>
      <w:tr w:rsidR="00833724" w:rsidRPr="001B34D0"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1,69</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w:t>
            </w:r>
          </w:p>
        </w:tc>
        <w:tc>
          <w:tcPr>
            <w:tcW w:w="1717"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90</w:t>
            </w:r>
          </w:p>
        </w:tc>
        <w:tc>
          <w:tcPr>
            <w:tcW w:w="1399"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2,22</w:t>
            </w: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Teniendo en cuenta la información suministrada por la Unidad para la atención y reparación integral a las víctimas, Se evidencia que fueron reparadas  integralmente por las afectaciones a los </w:t>
      </w:r>
      <w:r w:rsidRPr="001B34D0">
        <w:rPr>
          <w:rFonts w:eastAsia="Times New Roman" w:cs="Times New Roman"/>
          <w:lang w:eastAsia="es-CO"/>
        </w:rPr>
        <w:lastRenderedPageBreak/>
        <w:t xml:space="preserve">derechos a la vida, 2 jóvenes entre los 18 y 28 años que se vieron afectados por ataques terroristas.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833724" w:rsidRPr="001B34D0" w:rsidRDefault="00833724" w:rsidP="00A92D87">
      <w:pPr>
        <w:spacing w:after="0" w:line="240" w:lineRule="auto"/>
        <w:contextualSpacing/>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833724" w:rsidRPr="001B34D0" w:rsidRDefault="00833724" w:rsidP="00A92D87">
      <w:pPr>
        <w:spacing w:after="0" w:line="240" w:lineRule="auto"/>
        <w:contextualSpacing/>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lastRenderedPageBreak/>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Desde el programa de atención a víctimas se orientan a NNA afectadas por este hecho victimizantes para que inicien la ruta única de atención con la Unidad Nacional de Protección.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w:t>
      </w:r>
      <w:r w:rsidRPr="001B34D0">
        <w:rPr>
          <w:rFonts w:eastAsia="Times New Roman" w:cs="Times New Roman"/>
          <w:lang w:eastAsia="es-CO"/>
        </w:rPr>
        <w:lastRenderedPageBreak/>
        <w:t xml:space="preserve">desplazamiento forzado. Esta estrategia debe contemplar, como mínimo, los siguientes mecanismos: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atención humanitaria a </w:t>
      </w:r>
      <w:r w:rsidR="007C3396" w:rsidRPr="001B34D0">
        <w:rPr>
          <w:rFonts w:eastAsia="Times New Roman" w:cs="Times New Roman"/>
          <w:lang w:eastAsia="es-CO"/>
        </w:rPr>
        <w:t>Víctimas</w:t>
      </w:r>
      <w:r w:rsidRPr="001B34D0">
        <w:rPr>
          <w:rFonts w:eastAsia="Times New Roman" w:cs="Times New Roman"/>
          <w:lang w:eastAsia="es-CO"/>
        </w:rPr>
        <w:t xml:space="preserve"> del conflicto armado de Colombia se realiza por demanda y de acuerdo a la dinámica del conflicto armado que existe en el momento.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line="240" w:lineRule="auto"/>
        <w:jc w:val="both"/>
      </w:pPr>
      <w:r w:rsidRPr="001B34D0">
        <w:t>Se atendieron a la totalidad de población de NNA víctimas del desplazamiento forzado causado por el conflicto armado que requirieron atención y orientación dentro de la etapa inmediata de atención en las siguientes proporciones:</w:t>
      </w: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2013: 2 Jóvenes de 18 – 28 años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Calibri"/>
          <w:color w:val="000000"/>
          <w:lang w:eastAsia="es-CO"/>
        </w:rPr>
      </w:pPr>
      <w:r w:rsidRPr="001B34D0">
        <w:rPr>
          <w:rFonts w:eastAsia="Times New Roman" w:cs="Times New Roman"/>
          <w:b/>
          <w:lang w:eastAsia="es-CO"/>
        </w:rPr>
        <w:t xml:space="preserve">Impacto:   </w:t>
      </w:r>
    </w:p>
    <w:p w:rsidR="00833724" w:rsidRPr="001B34D0" w:rsidRDefault="00833724" w:rsidP="00A92D87">
      <w:pPr>
        <w:spacing w:line="240" w:lineRule="auto"/>
        <w:rPr>
          <w:rFonts w:cs="Calibri"/>
          <w:color w:val="000000"/>
        </w:rPr>
      </w:pP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Cobertura de las necesidades básicas (pañales, ropa, leche, cobijas) a través de la oficina de Bienestar Social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Educación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Subsidios en libros, textos y útiles escolares desde la Secretaria de Educación Municipal.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Salud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Acceso a una educación superior  de más fácil acceso.</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Espacios para crear y desarrollar un proyecto de vida.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lastRenderedPageBreak/>
        <w:t>Actividades en las Instituciones Educativas que permitan disminuir la discriminación, el matoneo o el acoso a NNA por ser víctimas</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Cursos de aprendizaje en el SENA con más facilidad en su acceso o prioridad.</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Generar espacios deportivos de aprendizaje, en diferentes áreas basadas en las habilidades de los niños, niñas y adolescentes con Secretaria de Cultura.</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Subsidio  para  jóvenes víctimas que ingresen a la universidad, en articulación con DPS</w:t>
      </w:r>
    </w:p>
    <w:p w:rsidR="00833724" w:rsidRPr="001B34D0" w:rsidRDefault="00833724" w:rsidP="00A92D87">
      <w:pPr>
        <w:numPr>
          <w:ilvl w:val="0"/>
          <w:numId w:val="35"/>
        </w:numPr>
        <w:spacing w:after="200" w:line="240" w:lineRule="auto"/>
        <w:contextualSpacing/>
      </w:pPr>
      <w:r w:rsidRPr="001B34D0">
        <w:rPr>
          <w:rFonts w:eastAsia="Times New Roman" w:cs="Calibri"/>
          <w:color w:val="000000"/>
          <w:lang w:eastAsia="es-CO"/>
        </w:rPr>
        <w:t>Cumplimiento en las medidas de atención prioritaria en lugares como Banco Agrario PAV y EPS.</w:t>
      </w:r>
    </w:p>
    <w:p w:rsidR="00833724" w:rsidRPr="001B34D0" w:rsidRDefault="00833724" w:rsidP="00A92D87">
      <w:pPr>
        <w:numPr>
          <w:ilvl w:val="0"/>
          <w:numId w:val="35"/>
        </w:numPr>
        <w:spacing w:after="200" w:line="240" w:lineRule="auto"/>
        <w:contextualSpacing/>
        <w:rPr>
          <w:rFonts w:eastAsia="Times New Roman" w:cs="Times New Roman"/>
          <w:lang w:eastAsia="es-CO"/>
        </w:rPr>
      </w:pPr>
      <w:r w:rsidRPr="001B34D0">
        <w:rPr>
          <w:rFonts w:eastAsia="Times New Roman" w:cs="Calibri"/>
          <w:color w:val="000000"/>
          <w:lang w:eastAsia="es-CO"/>
        </w:rPr>
        <w:t>Se garantiza en articulación con la Registraduria Nacional del Estado Civil, el acceso al derecho a la identificación.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Prioridades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En el presente indicador, resulta insuficiente establecer prioridades debido a que no se presentan víctimas en un mayor numerador, esto debido a que solo se presentaron 2 víctimas en el año 2013.</w:t>
      </w: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833724" w:rsidRPr="001B34D0" w:rsidRDefault="00833724"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128</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833724" w:rsidRPr="001B34D0" w:rsidRDefault="00833724" w:rsidP="00A92D87">
            <w:r w:rsidRPr="001B34D0">
              <w:t>MUNICIPIO:  PASTO</w:t>
            </w:r>
          </w:p>
        </w:tc>
      </w:tr>
      <w:tr w:rsidR="00833724" w:rsidRPr="001B34D0" w:rsidTr="00000F81">
        <w:trPr>
          <w:cnfStyle w:val="000000100000"/>
          <w:trHeight w:val="579"/>
          <w:jc w:val="center"/>
        </w:trPr>
        <w:tc>
          <w:tcPr>
            <w:cnfStyle w:val="001000000000"/>
            <w:tcW w:w="8828" w:type="dxa"/>
          </w:tcPr>
          <w:p w:rsidR="00833724" w:rsidRPr="001B34D0" w:rsidRDefault="00833724" w:rsidP="00A92D87">
            <w:r w:rsidRPr="001B34D0">
              <w:t>Nombre del indicador : Porcentaje de jóvenes (18 - 28 años) víctimas del desplazamiento forzado</w:t>
            </w:r>
          </w:p>
        </w:tc>
      </w:tr>
      <w:tr w:rsidR="00833724" w:rsidRPr="001B34D0" w:rsidTr="00000F81">
        <w:trPr>
          <w:trHeight w:val="332"/>
          <w:jc w:val="center"/>
        </w:trPr>
        <w:tc>
          <w:tcPr>
            <w:cnfStyle w:val="001000000000"/>
            <w:tcW w:w="8828" w:type="dxa"/>
          </w:tcPr>
          <w:p w:rsidR="00833724" w:rsidRPr="001B34D0" w:rsidRDefault="00833724" w:rsidP="00A92D87">
            <w:r w:rsidRPr="001B34D0">
              <w:t xml:space="preserve">Fuente Nacional: </w:t>
            </w:r>
          </w:p>
          <w:p w:rsidR="00833724" w:rsidRPr="001B34D0" w:rsidRDefault="00833724" w:rsidP="00A92D87">
            <w:r w:rsidRPr="001B34D0">
              <w:t>Otra Fuente: UNIDAD DE VICTIMAS Y RED NACIONAL DE INFORMACION</w:t>
            </w:r>
          </w:p>
        </w:tc>
      </w:tr>
      <w:tr w:rsidR="00833724" w:rsidRPr="001B34D0" w:rsidTr="00000F81">
        <w:trPr>
          <w:cnfStyle w:val="000000100000"/>
          <w:trHeight w:val="458"/>
          <w:jc w:val="center"/>
        </w:trPr>
        <w:tc>
          <w:tcPr>
            <w:cnfStyle w:val="001000000000"/>
            <w:tcW w:w="8828" w:type="dxa"/>
          </w:tcPr>
          <w:p w:rsidR="00833724" w:rsidRPr="001B34D0" w:rsidRDefault="00833724" w:rsidP="00A92D87">
            <w:r w:rsidRPr="001B34D0">
              <w:t>Categoría de derechos: A no ser sometida/o a tortura, tratos crueles, inhumanos o degradantes</w:t>
            </w:r>
          </w:p>
        </w:tc>
      </w:tr>
      <w:tr w:rsidR="00833724" w:rsidRPr="001B34D0" w:rsidTr="00000F81">
        <w:trPr>
          <w:trHeight w:val="458"/>
          <w:jc w:val="center"/>
        </w:trPr>
        <w:tc>
          <w:tcPr>
            <w:cnfStyle w:val="001000000000"/>
            <w:tcW w:w="8828" w:type="dxa"/>
          </w:tcPr>
          <w:p w:rsidR="00833724" w:rsidRPr="001B34D0" w:rsidRDefault="00833724" w:rsidP="00A92D87">
            <w:r w:rsidRPr="001B34D0">
              <w:lastRenderedPageBreak/>
              <w:t>Metodología: Análisis de la información a partir de la cadena de resultados</w:t>
            </w: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833724" w:rsidRPr="001B34D0" w:rsidRDefault="00833724"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833724" w:rsidRPr="001B34D0" w:rsidTr="00000F81">
        <w:tc>
          <w:tcPr>
            <w:tcW w:w="2196" w:type="dxa"/>
          </w:tcPr>
          <w:p w:rsidR="00833724" w:rsidRPr="001B34D0" w:rsidRDefault="00833724" w:rsidP="00A92D87">
            <w:pPr>
              <w:jc w:val="center"/>
              <w:rPr>
                <w:b/>
              </w:rPr>
            </w:pPr>
            <w:r w:rsidRPr="001B34D0">
              <w:rPr>
                <w:b/>
              </w:rPr>
              <w:t>Indicador</w:t>
            </w:r>
          </w:p>
        </w:tc>
        <w:tc>
          <w:tcPr>
            <w:tcW w:w="1765" w:type="dxa"/>
          </w:tcPr>
          <w:p w:rsidR="00833724" w:rsidRPr="001B34D0" w:rsidRDefault="00833724" w:rsidP="00A92D87">
            <w:pPr>
              <w:jc w:val="center"/>
              <w:rPr>
                <w:b/>
              </w:rPr>
            </w:pPr>
            <w:r w:rsidRPr="001B34D0">
              <w:rPr>
                <w:b/>
              </w:rPr>
              <w:t>2011</w:t>
            </w:r>
          </w:p>
        </w:tc>
        <w:tc>
          <w:tcPr>
            <w:tcW w:w="1766" w:type="dxa"/>
          </w:tcPr>
          <w:p w:rsidR="00833724" w:rsidRPr="001B34D0" w:rsidRDefault="00833724" w:rsidP="00A92D87">
            <w:pPr>
              <w:jc w:val="center"/>
              <w:rPr>
                <w:b/>
              </w:rPr>
            </w:pPr>
            <w:r w:rsidRPr="001B34D0">
              <w:rPr>
                <w:b/>
              </w:rPr>
              <w:t>2012</w:t>
            </w:r>
          </w:p>
        </w:tc>
        <w:tc>
          <w:tcPr>
            <w:tcW w:w="1766" w:type="dxa"/>
          </w:tcPr>
          <w:p w:rsidR="00833724" w:rsidRPr="001B34D0" w:rsidRDefault="00833724" w:rsidP="00A92D87">
            <w:pPr>
              <w:jc w:val="center"/>
              <w:rPr>
                <w:b/>
              </w:rPr>
            </w:pPr>
            <w:r w:rsidRPr="001B34D0">
              <w:rPr>
                <w:b/>
              </w:rPr>
              <w:t>2013</w:t>
            </w:r>
          </w:p>
        </w:tc>
        <w:tc>
          <w:tcPr>
            <w:tcW w:w="1766" w:type="dxa"/>
          </w:tcPr>
          <w:p w:rsidR="00833724" w:rsidRPr="001B34D0" w:rsidRDefault="00833724" w:rsidP="00A92D87">
            <w:pPr>
              <w:jc w:val="center"/>
              <w:rPr>
                <w:b/>
              </w:rPr>
            </w:pPr>
            <w:r w:rsidRPr="001B34D0">
              <w:rPr>
                <w:b/>
              </w:rPr>
              <w:t>2014</w:t>
            </w:r>
          </w:p>
        </w:tc>
      </w:tr>
      <w:tr w:rsidR="00833724" w:rsidRPr="001B34D0" w:rsidTr="00000F81">
        <w:tc>
          <w:tcPr>
            <w:tcW w:w="2196" w:type="dxa"/>
          </w:tcPr>
          <w:p w:rsidR="00833724" w:rsidRPr="001B34D0" w:rsidRDefault="00833724" w:rsidP="00A92D87">
            <w:r w:rsidRPr="001B34D0">
              <w:t>Porcentaje de jóvenes (18 - 28 años) víctimas del desplazamiento forzado</w:t>
            </w:r>
          </w:p>
        </w:tc>
        <w:tc>
          <w:tcPr>
            <w:tcW w:w="1765" w:type="dxa"/>
          </w:tcPr>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r w:rsidRPr="001B34D0">
              <w:t>79</w:t>
            </w:r>
          </w:p>
        </w:tc>
        <w:tc>
          <w:tcPr>
            <w:tcW w:w="1766" w:type="dxa"/>
          </w:tcPr>
          <w:p w:rsidR="00833724" w:rsidRPr="001B34D0" w:rsidRDefault="00833724" w:rsidP="00A92D87">
            <w:pPr>
              <w:jc w:val="center"/>
            </w:pPr>
          </w:p>
          <w:tbl>
            <w:tblPr>
              <w:tblW w:w="1200" w:type="dxa"/>
              <w:tblCellMar>
                <w:left w:w="70" w:type="dxa"/>
                <w:right w:w="70" w:type="dxa"/>
              </w:tblCellMar>
              <w:tblLook w:val="04A0"/>
            </w:tblPr>
            <w:tblGrid>
              <w:gridCol w:w="1200"/>
            </w:tblGrid>
            <w:tr w:rsidR="00833724" w:rsidRPr="001B34D0"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79</w:t>
                  </w:r>
                </w:p>
              </w:tc>
            </w:tr>
          </w:tbl>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r w:rsidRPr="001B34D0">
              <w:t>50</w:t>
            </w:r>
          </w:p>
        </w:tc>
      </w:tr>
      <w:tr w:rsidR="00833724" w:rsidRPr="001B34D0" w:rsidTr="00000F81">
        <w:tc>
          <w:tcPr>
            <w:tcW w:w="9259" w:type="dxa"/>
            <w:gridSpan w:val="5"/>
          </w:tcPr>
          <w:p w:rsidR="00833724" w:rsidRPr="001B34D0" w:rsidRDefault="00833724" w:rsidP="00A92D87">
            <w:pPr>
              <w:rPr>
                <w:b/>
              </w:rPr>
            </w:pPr>
            <w:r w:rsidRPr="001B34D0">
              <w:rPr>
                <w:b/>
              </w:rPr>
              <w:t>Fuente y año:  UNIDAD DE VICTIMAS</w:t>
            </w:r>
          </w:p>
        </w:tc>
      </w:tr>
    </w:tbl>
    <w:p w:rsidR="00833724" w:rsidRPr="001B34D0" w:rsidRDefault="00833724" w:rsidP="00A92D87">
      <w:pPr>
        <w:spacing w:line="240" w:lineRule="auto"/>
        <w:rPr>
          <w:b/>
        </w:rPr>
      </w:pPr>
    </w:p>
    <w:p w:rsidR="00833724" w:rsidRPr="001B34D0" w:rsidRDefault="00833724" w:rsidP="00A92D87">
      <w:pPr>
        <w:spacing w:line="240" w:lineRule="auto"/>
        <w:rPr>
          <w:b/>
        </w:rPr>
      </w:pPr>
      <w:r w:rsidRPr="001B34D0">
        <w:rPr>
          <w:b/>
        </w:rPr>
        <w:t xml:space="preserve">Gráfico: </w:t>
      </w:r>
    </w:p>
    <w:tbl>
      <w:tblPr>
        <w:tblW w:w="7561" w:type="dxa"/>
        <w:tblInd w:w="55" w:type="dxa"/>
        <w:tblCellMar>
          <w:left w:w="70" w:type="dxa"/>
          <w:right w:w="70" w:type="dxa"/>
        </w:tblCellMar>
        <w:tblLook w:val="04A0"/>
      </w:tblPr>
      <w:tblGrid>
        <w:gridCol w:w="1045"/>
        <w:gridCol w:w="715"/>
        <w:gridCol w:w="1485"/>
        <w:gridCol w:w="1717"/>
        <w:gridCol w:w="1399"/>
        <w:gridCol w:w="1200"/>
      </w:tblGrid>
      <w:tr w:rsidR="00833724" w:rsidRPr="001B34D0"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25</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42,37</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2011</w:t>
            </w:r>
          </w:p>
        </w:tc>
        <w:tc>
          <w:tcPr>
            <w:tcW w:w="71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73</w:t>
            </w:r>
          </w:p>
        </w:tc>
        <w:tc>
          <w:tcPr>
            <w:tcW w:w="1717"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84</w:t>
            </w:r>
          </w:p>
        </w:tc>
        <w:tc>
          <w:tcPr>
            <w:tcW w:w="1399"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86,9</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2012</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79</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92</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85,87</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79</w:t>
            </w:r>
          </w:p>
        </w:tc>
        <w:tc>
          <w:tcPr>
            <w:tcW w:w="1717"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90</w:t>
            </w:r>
          </w:p>
        </w:tc>
        <w:tc>
          <w:tcPr>
            <w:tcW w:w="1399"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87,78</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jc w:val="right"/>
              <w:rPr>
                <w:rFonts w:eastAsia="Times New Roman" w:cs="Times New Roman"/>
                <w:color w:val="000000"/>
                <w:lang w:eastAsia="es-CO"/>
              </w:rPr>
            </w:pPr>
            <w:r w:rsidRPr="001B34D0">
              <w:rPr>
                <w:rFonts w:eastAsia="Times New Roman" w:cs="Times New Roman"/>
                <w:color w:val="000000"/>
                <w:lang w:eastAsia="es-CO"/>
              </w:rPr>
              <w:t>85,66</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2014</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50</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60</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83,33</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Teniendo en cuenta la información suministrada por la Unidad para la atención y reparación integral a las víctimas, Se evidencia que fueron reparadas  integralmente por las afectaciones a los derechos a la A no ser sometida/o a tortura, tratos crueles, inhumanos o degradantes, 2 jóvenes entre los 18 y 28 años que se vieron afectados por ataques terroristas.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 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w:t>
      </w:r>
      <w:r w:rsidRPr="001B34D0">
        <w:rPr>
          <w:rFonts w:eastAsia="Times New Roman" w:cs="Times New Roman"/>
          <w:lang w:eastAsia="es-CO"/>
        </w:rPr>
        <w:lastRenderedPageBreak/>
        <w:t>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833724" w:rsidRPr="001B34D0" w:rsidRDefault="00833724" w:rsidP="00A92D87">
      <w:pPr>
        <w:spacing w:after="0" w:line="240" w:lineRule="auto"/>
        <w:contextualSpacing/>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833724" w:rsidRPr="001B34D0" w:rsidRDefault="00833724" w:rsidP="00A92D87">
      <w:pPr>
        <w:spacing w:after="0" w:line="240" w:lineRule="auto"/>
        <w:contextualSpacing/>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Desde el programa de atención a víctimas se orientan a NNA afectadas por este hecho victimizantes para que inicien la ruta única de atención con la Unidad Nacional de Protección.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w:t>
      </w:r>
      <w:r w:rsidRPr="001B34D0">
        <w:rPr>
          <w:rFonts w:eastAsia="Times New Roman" w:cs="Times New Roman"/>
          <w:lang w:eastAsia="es-CO"/>
        </w:rPr>
        <w:lastRenderedPageBreak/>
        <w:t>HUMANITARIA INMEDIATA E INTEGRAL, hasta tanto se decida sobre la inscripción de la persona en el Registro Único de Victimas.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atención humanitaria a Victimas NNA del conflicto armado de Colombia se realiza por demanda y de acuerdo a la dinámica del conflicto armado que existe en el momento.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line="240" w:lineRule="auto"/>
        <w:jc w:val="both"/>
      </w:pPr>
      <w:r w:rsidRPr="001B34D0">
        <w:t>Se atendieron a la totalidad de población de NNA víctimas del desplazamiento forzado causado por el conflicto armado que requirieron atención y orientación dentro de la etapa inmediata de atención en las siguientes proporciones:</w:t>
      </w: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2013: 2 Jóvenes de 18 – 28 años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Calibri"/>
          <w:color w:val="000000"/>
          <w:lang w:eastAsia="es-CO"/>
        </w:rPr>
      </w:pPr>
      <w:r w:rsidRPr="001B34D0">
        <w:rPr>
          <w:rFonts w:eastAsia="Times New Roman" w:cs="Times New Roman"/>
          <w:b/>
          <w:lang w:eastAsia="es-CO"/>
        </w:rPr>
        <w:t xml:space="preserve">Impacto:   </w:t>
      </w:r>
    </w:p>
    <w:p w:rsidR="00833724" w:rsidRPr="001B34D0" w:rsidRDefault="00833724" w:rsidP="00A92D87">
      <w:pPr>
        <w:spacing w:after="0" w:line="240" w:lineRule="auto"/>
        <w:contextualSpacing/>
        <w:rPr>
          <w:rFonts w:eastAsia="Times New Roman" w:cs="Calibri"/>
          <w:color w:val="000000"/>
          <w:lang w:eastAsia="es-CO"/>
        </w:rPr>
      </w:pP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Cobertura de las necesidades básicas (pañales, ropa, leche, cobijas) a través de la oficina de Bienestar Social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Educación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Subsidios en libros, textos y útiles escolares desde la Secretaria de Educación Municipal.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Salud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Acceso a una educación superior  de más fácil acceso.</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Espacios para crear y desarrollar un proyecto de vida.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Actividades en las Instituciones Educativas que permitan disminuir la discriminación, el matoneo o el acoso a NNA por ser víctimas</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Cursos de aprendizaje en el SENA con más facilidad en su acceso o prioridad.</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Generar espacios deportivos de aprendizaje, en diferentes áreas basadas en las habilidades de los niños, niñas y adolescentes con Secretaria de Cultura.</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Subsidio  para  jóvenes víctimas que ingresen a la universidad, en articulación con DPS</w:t>
      </w:r>
    </w:p>
    <w:p w:rsidR="00833724" w:rsidRPr="001B34D0" w:rsidRDefault="00833724" w:rsidP="00A92D87">
      <w:pPr>
        <w:numPr>
          <w:ilvl w:val="0"/>
          <w:numId w:val="35"/>
        </w:numPr>
        <w:spacing w:after="200" w:line="240" w:lineRule="auto"/>
        <w:contextualSpacing/>
      </w:pPr>
      <w:r w:rsidRPr="001B34D0">
        <w:rPr>
          <w:rFonts w:eastAsia="Times New Roman" w:cs="Calibri"/>
          <w:color w:val="000000"/>
          <w:lang w:eastAsia="es-CO"/>
        </w:rPr>
        <w:t>Cumplimiento en las medidas de atención prioritaria en lugares como Banco Agrario PAV y EPS.</w:t>
      </w:r>
    </w:p>
    <w:p w:rsidR="00833724" w:rsidRPr="001B34D0" w:rsidRDefault="00833724" w:rsidP="00A92D87">
      <w:pPr>
        <w:numPr>
          <w:ilvl w:val="0"/>
          <w:numId w:val="35"/>
        </w:numPr>
        <w:spacing w:after="200" w:line="240" w:lineRule="auto"/>
        <w:contextualSpacing/>
        <w:rPr>
          <w:rFonts w:eastAsia="Times New Roman" w:cs="Times New Roman"/>
          <w:lang w:eastAsia="es-CO"/>
        </w:rPr>
      </w:pPr>
      <w:r w:rsidRPr="001B34D0">
        <w:rPr>
          <w:rFonts w:eastAsia="Times New Roman" w:cs="Calibri"/>
          <w:color w:val="000000"/>
          <w:lang w:eastAsia="es-CO"/>
        </w:rPr>
        <w:t>Se garantiza en articulación con la Registraduria Nacional del Estado Civil, el acceso al derecho a la identificación.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lastRenderedPageBreak/>
        <w:t>Prioridades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En el presente indicador, resulta insuficiente establecer prioridades debido a que no se presentan víctimas en un mayor numerador, esto debido a que solo se presentaron 2 víctimas en el año 2013.</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833724" w:rsidRPr="001B34D0" w:rsidRDefault="00833724"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132</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833724" w:rsidRPr="001B34D0" w:rsidRDefault="00833724" w:rsidP="00A92D87">
            <w:r w:rsidRPr="001B34D0">
              <w:t>MUNICIPIO:  PASTO</w:t>
            </w:r>
          </w:p>
        </w:tc>
      </w:tr>
      <w:tr w:rsidR="00833724" w:rsidRPr="001B34D0" w:rsidTr="00000F81">
        <w:trPr>
          <w:cnfStyle w:val="000000100000"/>
          <w:trHeight w:val="579"/>
          <w:jc w:val="center"/>
        </w:trPr>
        <w:tc>
          <w:tcPr>
            <w:cnfStyle w:val="001000000000"/>
            <w:tcW w:w="8828" w:type="dxa"/>
          </w:tcPr>
          <w:p w:rsidR="00833724" w:rsidRPr="001B34D0" w:rsidRDefault="00833724" w:rsidP="00A92D87">
            <w:r w:rsidRPr="001B34D0">
              <w:t>Nombre del indicador Porcentaje de jóvenes (18 - 28 años) víctimas de delitos contra la libertad y la integridad sexual</w:t>
            </w:r>
          </w:p>
        </w:tc>
      </w:tr>
      <w:tr w:rsidR="00833724" w:rsidRPr="001B34D0" w:rsidTr="00000F81">
        <w:trPr>
          <w:trHeight w:val="332"/>
          <w:jc w:val="center"/>
        </w:trPr>
        <w:tc>
          <w:tcPr>
            <w:cnfStyle w:val="001000000000"/>
            <w:tcW w:w="8828" w:type="dxa"/>
          </w:tcPr>
          <w:p w:rsidR="00833724" w:rsidRPr="001B34D0" w:rsidRDefault="00833724" w:rsidP="00A92D87">
            <w:r w:rsidRPr="001B34D0">
              <w:t xml:space="preserve">Fuente Nacional: </w:t>
            </w:r>
          </w:p>
          <w:p w:rsidR="00833724" w:rsidRPr="001B34D0" w:rsidRDefault="00833724" w:rsidP="00A92D87">
            <w:r w:rsidRPr="001B34D0">
              <w:t>Otra Fuente: UNIDAD DE VICTIMAS Y RED NACIONAL DE INFORMACION</w:t>
            </w:r>
          </w:p>
        </w:tc>
      </w:tr>
      <w:tr w:rsidR="00833724" w:rsidRPr="001B34D0" w:rsidTr="00000F81">
        <w:trPr>
          <w:cnfStyle w:val="000000100000"/>
          <w:trHeight w:val="458"/>
          <w:jc w:val="center"/>
        </w:trPr>
        <w:tc>
          <w:tcPr>
            <w:cnfStyle w:val="001000000000"/>
            <w:tcW w:w="8828" w:type="dxa"/>
          </w:tcPr>
          <w:p w:rsidR="00833724" w:rsidRPr="001B34D0" w:rsidRDefault="00833724" w:rsidP="00A92D87">
            <w:r w:rsidRPr="001B34D0">
              <w:t>Categoría de derechos: A no ser sometida/o a tortura, tratos crueles, inhumanos o degradantes</w:t>
            </w:r>
          </w:p>
        </w:tc>
      </w:tr>
      <w:tr w:rsidR="00833724" w:rsidRPr="001B34D0" w:rsidTr="00000F81">
        <w:trPr>
          <w:trHeight w:val="458"/>
          <w:jc w:val="center"/>
        </w:trPr>
        <w:tc>
          <w:tcPr>
            <w:cnfStyle w:val="001000000000"/>
            <w:tcW w:w="8828" w:type="dxa"/>
          </w:tcPr>
          <w:p w:rsidR="00833724" w:rsidRPr="001B34D0" w:rsidRDefault="00833724" w:rsidP="00A92D87">
            <w:r w:rsidRPr="001B34D0">
              <w:t>Metodología: Análisis de la información a partir de la cadena de resultados</w:t>
            </w: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833724" w:rsidRPr="001B34D0" w:rsidRDefault="00833724"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833724" w:rsidRPr="001B34D0" w:rsidTr="00000F81">
        <w:tc>
          <w:tcPr>
            <w:tcW w:w="2196" w:type="dxa"/>
          </w:tcPr>
          <w:p w:rsidR="00833724" w:rsidRPr="001B34D0" w:rsidRDefault="00833724" w:rsidP="00A92D87">
            <w:pPr>
              <w:jc w:val="center"/>
              <w:rPr>
                <w:b/>
              </w:rPr>
            </w:pPr>
            <w:r w:rsidRPr="001B34D0">
              <w:rPr>
                <w:b/>
              </w:rPr>
              <w:t>Indicador</w:t>
            </w:r>
          </w:p>
        </w:tc>
        <w:tc>
          <w:tcPr>
            <w:tcW w:w="1765" w:type="dxa"/>
          </w:tcPr>
          <w:p w:rsidR="00833724" w:rsidRPr="001B34D0" w:rsidRDefault="00833724" w:rsidP="00A92D87">
            <w:pPr>
              <w:jc w:val="center"/>
              <w:rPr>
                <w:b/>
              </w:rPr>
            </w:pPr>
            <w:r w:rsidRPr="001B34D0">
              <w:rPr>
                <w:b/>
              </w:rPr>
              <w:t>2011</w:t>
            </w:r>
          </w:p>
        </w:tc>
        <w:tc>
          <w:tcPr>
            <w:tcW w:w="1766" w:type="dxa"/>
          </w:tcPr>
          <w:p w:rsidR="00833724" w:rsidRPr="001B34D0" w:rsidRDefault="00833724" w:rsidP="00A92D87">
            <w:pPr>
              <w:jc w:val="center"/>
              <w:rPr>
                <w:b/>
              </w:rPr>
            </w:pPr>
            <w:r w:rsidRPr="001B34D0">
              <w:rPr>
                <w:b/>
              </w:rPr>
              <w:t>2012</w:t>
            </w:r>
          </w:p>
        </w:tc>
        <w:tc>
          <w:tcPr>
            <w:tcW w:w="1766" w:type="dxa"/>
          </w:tcPr>
          <w:p w:rsidR="00833724" w:rsidRPr="001B34D0" w:rsidRDefault="00833724" w:rsidP="00A92D87">
            <w:pPr>
              <w:jc w:val="center"/>
              <w:rPr>
                <w:b/>
              </w:rPr>
            </w:pPr>
            <w:r w:rsidRPr="001B34D0">
              <w:rPr>
                <w:b/>
              </w:rPr>
              <w:t>2013</w:t>
            </w:r>
          </w:p>
        </w:tc>
        <w:tc>
          <w:tcPr>
            <w:tcW w:w="1766" w:type="dxa"/>
          </w:tcPr>
          <w:p w:rsidR="00833724" w:rsidRPr="001B34D0" w:rsidRDefault="00833724" w:rsidP="00A92D87">
            <w:pPr>
              <w:jc w:val="center"/>
              <w:rPr>
                <w:b/>
              </w:rPr>
            </w:pPr>
            <w:r w:rsidRPr="001B34D0">
              <w:rPr>
                <w:b/>
              </w:rPr>
              <w:t>2014</w:t>
            </w:r>
          </w:p>
        </w:tc>
      </w:tr>
      <w:tr w:rsidR="00833724" w:rsidRPr="001B34D0" w:rsidTr="00000F81">
        <w:tc>
          <w:tcPr>
            <w:tcW w:w="2196" w:type="dxa"/>
          </w:tcPr>
          <w:p w:rsidR="00833724" w:rsidRPr="001B34D0" w:rsidRDefault="00833724" w:rsidP="00A92D87">
            <w:r w:rsidRPr="001B34D0">
              <w:t>Porcentaje de jóvenes (18 - 28 años) víctimas de delitos contra la libertad y la integridad sexual</w:t>
            </w:r>
          </w:p>
        </w:tc>
        <w:tc>
          <w:tcPr>
            <w:tcW w:w="1765" w:type="dxa"/>
          </w:tcPr>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p>
        </w:tc>
        <w:tc>
          <w:tcPr>
            <w:tcW w:w="1766" w:type="dxa"/>
          </w:tcPr>
          <w:p w:rsidR="00833724" w:rsidRPr="001B34D0" w:rsidRDefault="00833724" w:rsidP="00A92D87">
            <w:pPr>
              <w:jc w:val="center"/>
            </w:pPr>
          </w:p>
          <w:tbl>
            <w:tblPr>
              <w:tblW w:w="1200" w:type="dxa"/>
              <w:tblCellMar>
                <w:left w:w="70" w:type="dxa"/>
                <w:right w:w="70" w:type="dxa"/>
              </w:tblCellMar>
              <w:tblLook w:val="04A0"/>
            </w:tblPr>
            <w:tblGrid>
              <w:gridCol w:w="1200"/>
            </w:tblGrid>
            <w:tr w:rsidR="00833724" w:rsidRPr="001B34D0"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center"/>
                    <w:rPr>
                      <w:rFonts w:eastAsia="Times New Roman" w:cs="Arial"/>
                      <w:color w:val="000000"/>
                      <w:lang w:eastAsia="es-CO"/>
                    </w:rPr>
                  </w:pPr>
                </w:p>
              </w:tc>
            </w:tr>
          </w:tbl>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p>
        </w:tc>
      </w:tr>
      <w:tr w:rsidR="00833724" w:rsidRPr="001B34D0" w:rsidTr="00000F81">
        <w:tc>
          <w:tcPr>
            <w:tcW w:w="9259" w:type="dxa"/>
            <w:gridSpan w:val="5"/>
          </w:tcPr>
          <w:p w:rsidR="00833724" w:rsidRPr="001B34D0" w:rsidRDefault="00833724" w:rsidP="00A92D87">
            <w:pPr>
              <w:rPr>
                <w:b/>
              </w:rPr>
            </w:pPr>
            <w:r w:rsidRPr="001B34D0">
              <w:rPr>
                <w:b/>
              </w:rPr>
              <w:t>Fuente y año:  UNIDAD DE VICTIMAS</w:t>
            </w:r>
          </w:p>
        </w:tc>
      </w:tr>
    </w:tbl>
    <w:p w:rsidR="00833724" w:rsidRPr="001B34D0" w:rsidRDefault="00833724" w:rsidP="00A92D87">
      <w:pPr>
        <w:spacing w:line="240" w:lineRule="auto"/>
        <w:rPr>
          <w:b/>
        </w:rPr>
      </w:pPr>
    </w:p>
    <w:p w:rsidR="00833724" w:rsidRPr="001B34D0" w:rsidRDefault="00833724" w:rsidP="00A92D87">
      <w:pPr>
        <w:spacing w:line="240" w:lineRule="auto"/>
        <w:rPr>
          <w:b/>
        </w:rPr>
      </w:pPr>
      <w:r w:rsidRPr="001B34D0">
        <w:rPr>
          <w:b/>
        </w:rPr>
        <w:lastRenderedPageBreak/>
        <w:t xml:space="preserve">Gráfico: </w:t>
      </w:r>
    </w:p>
    <w:p w:rsidR="00833724" w:rsidRPr="001B34D0" w:rsidRDefault="00833724" w:rsidP="00A92D87">
      <w:pPr>
        <w:spacing w:line="240" w:lineRule="auto"/>
        <w:rPr>
          <w:b/>
        </w:rPr>
      </w:pPr>
    </w:p>
    <w:tbl>
      <w:tblPr>
        <w:tblW w:w="7038" w:type="dxa"/>
        <w:tblInd w:w="-72" w:type="dxa"/>
        <w:tblCellMar>
          <w:left w:w="70" w:type="dxa"/>
          <w:right w:w="70" w:type="dxa"/>
        </w:tblCellMar>
        <w:tblLook w:val="04A0"/>
      </w:tblPr>
      <w:tblGrid>
        <w:gridCol w:w="1282"/>
        <w:gridCol w:w="825"/>
        <w:gridCol w:w="1595"/>
        <w:gridCol w:w="1827"/>
        <w:gridCol w:w="1509"/>
      </w:tblGrid>
      <w:tr w:rsidR="00833724" w:rsidRPr="001B34D0" w:rsidTr="00000F81">
        <w:trPr>
          <w:trHeight w:val="684"/>
        </w:trPr>
        <w:tc>
          <w:tcPr>
            <w:tcW w:w="1282"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PERIODO</w:t>
            </w:r>
          </w:p>
        </w:tc>
        <w:tc>
          <w:tcPr>
            <w:tcW w:w="82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59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827"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509"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r>
      <w:tr w:rsidR="00833724" w:rsidRPr="001B34D0" w:rsidTr="00000F81">
        <w:trPr>
          <w:trHeight w:val="552"/>
        </w:trPr>
        <w:tc>
          <w:tcPr>
            <w:tcW w:w="1282"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2013</w:t>
            </w:r>
          </w:p>
        </w:tc>
        <w:tc>
          <w:tcPr>
            <w:tcW w:w="82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59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82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90</w:t>
            </w:r>
          </w:p>
        </w:tc>
        <w:tc>
          <w:tcPr>
            <w:tcW w:w="150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1,11</w:t>
            </w: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Teniendo en cuenta la información suministrada por la Unidad para la atención y reparación integral a las víctimas, Se evidencia que fueron reparadas  integralmente por las afectaciones a los derechos a la vida, 1 jóvenes entre los 18 y 28 años que se vieron afectados sus derechos a la libertad e integridad sexual.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 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064BA9" w:rsidRDefault="00064BA9">
      <w:pPr>
        <w:rPr>
          <w:rFonts w:eastAsia="Times New Roman" w:cs="Times New Roman"/>
          <w:lang w:eastAsia="es-CO"/>
        </w:rPr>
      </w:pPr>
      <w:r>
        <w:rPr>
          <w:rFonts w:eastAsia="Times New Roman" w:cs="Times New Roman"/>
          <w:lang w:eastAsia="es-CO"/>
        </w:rPr>
        <w:br w:type="page"/>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833724" w:rsidRPr="001B34D0" w:rsidRDefault="00833724" w:rsidP="00A92D87">
      <w:pPr>
        <w:spacing w:after="0" w:line="240" w:lineRule="auto"/>
        <w:contextualSpacing/>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833724" w:rsidRPr="001B34D0" w:rsidRDefault="00833724" w:rsidP="00A92D87">
      <w:pPr>
        <w:spacing w:after="0" w:line="240" w:lineRule="auto"/>
        <w:contextualSpacing/>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Desde el programa de atención a víctimas se orientan a NNA afectadas por este hecho victimizantes para que inicien la ruta única de atención con la Unidad Nacional de Protección.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w:t>
      </w:r>
      <w:r w:rsidRPr="001B34D0">
        <w:rPr>
          <w:rFonts w:eastAsia="Times New Roman" w:cs="Times New Roman"/>
          <w:lang w:eastAsia="es-CO"/>
        </w:rPr>
        <w:lastRenderedPageBreak/>
        <w:t>para la recepción de las declaraciones. Una vez la persona rinda la declaración y esta sea remitida por el funcionario correspondiente a las oficinas de la Unidad para la Atención y Reparación Integral a las Víctimas.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atención humanitaria a Víctimas del conflicto armado de Colombia se realiza por demanda y de acuerdo a la dinámica del conflicto armado que existe en el momento.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line="240" w:lineRule="auto"/>
        <w:jc w:val="both"/>
      </w:pPr>
      <w:r w:rsidRPr="001B34D0">
        <w:t>Se atendieron a la totalidad de población de víctimas del desplazamiento forzado causado por el conflicto armado que requirieron atención y orientación dentro de la etapa inmediata de atención en las siguientes proporciones:</w:t>
      </w: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lastRenderedPageBreak/>
        <w:t xml:space="preserve">2013: 1 </w:t>
      </w:r>
      <w:r w:rsidR="007C3396" w:rsidRPr="001B34D0">
        <w:rPr>
          <w:rFonts w:eastAsia="Times New Roman" w:cs="Times New Roman"/>
          <w:lang w:eastAsia="es-CO"/>
        </w:rPr>
        <w:t>Joven</w:t>
      </w:r>
      <w:r w:rsidRPr="001B34D0">
        <w:rPr>
          <w:rFonts w:eastAsia="Times New Roman" w:cs="Times New Roman"/>
          <w:lang w:eastAsia="es-CO"/>
        </w:rPr>
        <w:t xml:space="preserve"> de 18 – 28 años</w:t>
      </w:r>
    </w:p>
    <w:p w:rsidR="00833724" w:rsidRPr="001B34D0" w:rsidRDefault="00833724" w:rsidP="00DF63E8">
      <w:pPr>
        <w:numPr>
          <w:ilvl w:val="0"/>
          <w:numId w:val="41"/>
        </w:numPr>
        <w:spacing w:after="0" w:line="240" w:lineRule="auto"/>
        <w:ind w:left="644"/>
        <w:contextualSpacing/>
        <w:rPr>
          <w:rFonts w:eastAsia="Times New Roman" w:cs="Calibri"/>
          <w:color w:val="000000"/>
          <w:lang w:eastAsia="es-CO"/>
        </w:rPr>
      </w:pPr>
      <w:r w:rsidRPr="001B34D0">
        <w:rPr>
          <w:rFonts w:eastAsia="Times New Roman" w:cs="Times New Roman"/>
          <w:b/>
          <w:lang w:eastAsia="es-CO"/>
        </w:rPr>
        <w:t xml:space="preserve">Impacto:   </w:t>
      </w:r>
    </w:p>
    <w:p w:rsidR="00833724" w:rsidRPr="001B34D0" w:rsidRDefault="00833724" w:rsidP="00A92D87">
      <w:pPr>
        <w:spacing w:after="0" w:line="240" w:lineRule="auto"/>
        <w:contextualSpacing/>
        <w:rPr>
          <w:rFonts w:eastAsia="Times New Roman" w:cs="Calibri"/>
          <w:color w:val="000000"/>
          <w:lang w:eastAsia="es-CO"/>
        </w:rPr>
      </w:pP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Cobertura de las necesidades básicas (pañales, ropa, leche, cobijas) a través de la oficina de Bienestar Social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Educación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Subsidios en libros, textos y útiles escolares desde la Secretaria de Educación Municipal.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Salud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Acceso a una educación superior  de más fácil acceso.</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Espacios para crear y desarrollar un proyecto de vida.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Actividades en las Instituciones Educativas que permitan disminuir la discriminación, el matoneo o el acoso a NNA por ser víctimas</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Cursos de aprendizaje en el SENA con más facilidad en su acceso o prioridad.</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Generar espacios deportivos de aprendizaje, en diferentes áreas basadas en las habilidades de los niños, niñas y adolescentes con Secretaria de Cultura.</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Subsidio  para  jóvenes víctimas que ingresen a la universidad, en articulación con DPS</w:t>
      </w:r>
    </w:p>
    <w:p w:rsidR="00833724" w:rsidRPr="001B34D0" w:rsidRDefault="00833724" w:rsidP="00A92D87">
      <w:pPr>
        <w:numPr>
          <w:ilvl w:val="0"/>
          <w:numId w:val="35"/>
        </w:numPr>
        <w:spacing w:after="200" w:line="240" w:lineRule="auto"/>
        <w:contextualSpacing/>
      </w:pPr>
      <w:r w:rsidRPr="001B34D0">
        <w:rPr>
          <w:rFonts w:eastAsia="Times New Roman" w:cs="Calibri"/>
          <w:color w:val="000000"/>
          <w:lang w:eastAsia="es-CO"/>
        </w:rPr>
        <w:t>Cumplimiento en las medidas de atención prioritaria en lugares como Banco Agrario PAV y EPS.</w:t>
      </w:r>
    </w:p>
    <w:p w:rsidR="00833724" w:rsidRPr="001B34D0" w:rsidRDefault="00833724" w:rsidP="00A92D87">
      <w:pPr>
        <w:numPr>
          <w:ilvl w:val="0"/>
          <w:numId w:val="35"/>
        </w:numPr>
        <w:spacing w:after="200" w:line="240" w:lineRule="auto"/>
        <w:contextualSpacing/>
        <w:rPr>
          <w:rFonts w:eastAsia="Times New Roman" w:cs="Times New Roman"/>
          <w:lang w:eastAsia="es-CO"/>
        </w:rPr>
      </w:pPr>
      <w:r w:rsidRPr="001B34D0">
        <w:rPr>
          <w:rFonts w:eastAsia="Times New Roman" w:cs="Calibri"/>
          <w:color w:val="000000"/>
          <w:lang w:eastAsia="es-CO"/>
        </w:rPr>
        <w:t>Se garantiza en articulación con la Registraduria Nacional del Estado Civil, el acceso al derecho a la identificación.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Prioridades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En el presente indicador, resulta insuficiente establecer prioridades debido a que no se presentan víctimas en un mayor numerador, esto debido a que solo se presentó 1 víctima en el año 2013.</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Al momento de presentarse este tipo de situaciones, se recomienda de manera inminente implementar los planes de contingencia y prevención previamente establecidos por el municipio </w:t>
      </w:r>
      <w:r w:rsidRPr="001B34D0">
        <w:rPr>
          <w:rFonts w:eastAsia="Times New Roman" w:cs="Times New Roman"/>
          <w:lang w:eastAsia="es-CO"/>
        </w:rPr>
        <w:lastRenderedPageBreak/>
        <w:t>de Pasto, con la intención de menguar los efectos producidos en la población o prevenir graves afectaciones a los Derechos humanos y DIH.</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 acuerdo a la ruta previamente establecida, se recomienda de manera inmediata activar la ruta de violencia basado en género la cual se encuentra compuesta por diferentes entidades competentes legalmente.</w:t>
      </w:r>
    </w:p>
    <w:p w:rsidR="00833724" w:rsidRPr="001B34D0" w:rsidRDefault="00833724"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133</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833724" w:rsidRPr="001B34D0" w:rsidRDefault="00833724" w:rsidP="00A92D87">
            <w:r w:rsidRPr="001B34D0">
              <w:t>MUNICIPIO:  PASTO</w:t>
            </w:r>
          </w:p>
        </w:tc>
      </w:tr>
      <w:tr w:rsidR="00833724" w:rsidRPr="001B34D0" w:rsidTr="00000F81">
        <w:trPr>
          <w:cnfStyle w:val="000000100000"/>
          <w:trHeight w:val="579"/>
          <w:jc w:val="center"/>
        </w:trPr>
        <w:tc>
          <w:tcPr>
            <w:cnfStyle w:val="001000000000"/>
            <w:tcW w:w="8828" w:type="dxa"/>
          </w:tcPr>
          <w:p w:rsidR="00833724" w:rsidRPr="001B34D0" w:rsidRDefault="00833724" w:rsidP="00A92D87">
            <w:r w:rsidRPr="001B34D0">
              <w:t>Nombre del indicador:  Porcentaje de jóvenes (18 - 28 años) víctimas de amenazas</w:t>
            </w:r>
          </w:p>
        </w:tc>
      </w:tr>
      <w:tr w:rsidR="00833724" w:rsidRPr="001B34D0" w:rsidTr="00000F81">
        <w:trPr>
          <w:trHeight w:val="332"/>
          <w:jc w:val="center"/>
        </w:trPr>
        <w:tc>
          <w:tcPr>
            <w:cnfStyle w:val="001000000000"/>
            <w:tcW w:w="8828" w:type="dxa"/>
          </w:tcPr>
          <w:p w:rsidR="00833724" w:rsidRPr="001B34D0" w:rsidRDefault="00833724" w:rsidP="00A92D87">
            <w:r w:rsidRPr="001B34D0">
              <w:t xml:space="preserve">Fuente Nacional: </w:t>
            </w:r>
          </w:p>
          <w:p w:rsidR="00833724" w:rsidRPr="001B34D0" w:rsidRDefault="00833724" w:rsidP="00A92D87">
            <w:r w:rsidRPr="001B34D0">
              <w:t>Otra Fuente: UNIDAD DE VICTIMAS Y RED NACIONAL DE INFORMACION</w:t>
            </w:r>
          </w:p>
        </w:tc>
      </w:tr>
      <w:tr w:rsidR="00833724" w:rsidRPr="001B34D0" w:rsidTr="00000F81">
        <w:trPr>
          <w:cnfStyle w:val="000000100000"/>
          <w:trHeight w:val="458"/>
          <w:jc w:val="center"/>
        </w:trPr>
        <w:tc>
          <w:tcPr>
            <w:cnfStyle w:val="001000000000"/>
            <w:tcW w:w="8828" w:type="dxa"/>
          </w:tcPr>
          <w:p w:rsidR="00833724" w:rsidRPr="001B34D0" w:rsidRDefault="00833724" w:rsidP="00A92D87">
            <w:r w:rsidRPr="001B34D0">
              <w:t xml:space="preserve">Categoría de derechos: Derecho a no sufrir injerencias arbitrarias en la vida privada, domicilio, correspondencia, </w:t>
            </w:r>
            <w:r w:rsidR="007C3396" w:rsidRPr="001B34D0">
              <w:t>etc.</w:t>
            </w:r>
          </w:p>
        </w:tc>
      </w:tr>
      <w:tr w:rsidR="00833724" w:rsidRPr="001B34D0" w:rsidTr="00000F81">
        <w:trPr>
          <w:trHeight w:val="458"/>
          <w:jc w:val="center"/>
        </w:trPr>
        <w:tc>
          <w:tcPr>
            <w:cnfStyle w:val="001000000000"/>
            <w:tcW w:w="8828" w:type="dxa"/>
          </w:tcPr>
          <w:p w:rsidR="00833724" w:rsidRPr="001B34D0" w:rsidRDefault="00833724" w:rsidP="00A92D87">
            <w:r w:rsidRPr="001B34D0">
              <w:t>Metodología: Análisis de la información a partir de la cadena de resultados</w:t>
            </w: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833724" w:rsidRPr="001B34D0" w:rsidRDefault="00833724"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833724" w:rsidRPr="001B34D0" w:rsidTr="00000F81">
        <w:tc>
          <w:tcPr>
            <w:tcW w:w="2196" w:type="dxa"/>
          </w:tcPr>
          <w:p w:rsidR="00833724" w:rsidRPr="001B34D0" w:rsidRDefault="00833724" w:rsidP="00A92D87">
            <w:pPr>
              <w:jc w:val="center"/>
              <w:rPr>
                <w:b/>
              </w:rPr>
            </w:pPr>
            <w:r w:rsidRPr="001B34D0">
              <w:rPr>
                <w:b/>
              </w:rPr>
              <w:t>Indicador</w:t>
            </w:r>
          </w:p>
        </w:tc>
        <w:tc>
          <w:tcPr>
            <w:tcW w:w="1765" w:type="dxa"/>
          </w:tcPr>
          <w:p w:rsidR="00833724" w:rsidRPr="001B34D0" w:rsidRDefault="00833724" w:rsidP="00A92D87">
            <w:pPr>
              <w:jc w:val="center"/>
              <w:rPr>
                <w:b/>
              </w:rPr>
            </w:pPr>
            <w:r w:rsidRPr="001B34D0">
              <w:rPr>
                <w:b/>
              </w:rPr>
              <w:t>2011</w:t>
            </w:r>
          </w:p>
        </w:tc>
        <w:tc>
          <w:tcPr>
            <w:tcW w:w="1766" w:type="dxa"/>
          </w:tcPr>
          <w:p w:rsidR="00833724" w:rsidRPr="001B34D0" w:rsidRDefault="00833724" w:rsidP="00A92D87">
            <w:pPr>
              <w:jc w:val="center"/>
              <w:rPr>
                <w:b/>
              </w:rPr>
            </w:pPr>
            <w:r w:rsidRPr="001B34D0">
              <w:rPr>
                <w:b/>
              </w:rPr>
              <w:t>2012</w:t>
            </w:r>
          </w:p>
        </w:tc>
        <w:tc>
          <w:tcPr>
            <w:tcW w:w="1766" w:type="dxa"/>
          </w:tcPr>
          <w:p w:rsidR="00833724" w:rsidRPr="001B34D0" w:rsidRDefault="00833724" w:rsidP="00A92D87">
            <w:pPr>
              <w:jc w:val="center"/>
              <w:rPr>
                <w:b/>
              </w:rPr>
            </w:pPr>
            <w:r w:rsidRPr="001B34D0">
              <w:rPr>
                <w:b/>
              </w:rPr>
              <w:t>2013</w:t>
            </w:r>
          </w:p>
        </w:tc>
        <w:tc>
          <w:tcPr>
            <w:tcW w:w="1766" w:type="dxa"/>
          </w:tcPr>
          <w:p w:rsidR="00833724" w:rsidRPr="001B34D0" w:rsidRDefault="00833724" w:rsidP="00A92D87">
            <w:pPr>
              <w:jc w:val="center"/>
              <w:rPr>
                <w:b/>
              </w:rPr>
            </w:pPr>
            <w:r w:rsidRPr="001B34D0">
              <w:rPr>
                <w:b/>
              </w:rPr>
              <w:t>2014</w:t>
            </w:r>
          </w:p>
        </w:tc>
      </w:tr>
      <w:tr w:rsidR="00833724" w:rsidRPr="001B34D0" w:rsidTr="00000F81">
        <w:tc>
          <w:tcPr>
            <w:tcW w:w="2196" w:type="dxa"/>
          </w:tcPr>
          <w:p w:rsidR="00833724" w:rsidRPr="001B34D0" w:rsidRDefault="00833724" w:rsidP="00A92D87">
            <w:r w:rsidRPr="001B34D0">
              <w:t>Porcentaje de jóvenes (18 - 28 años) víctimas de amenazas</w:t>
            </w:r>
          </w:p>
        </w:tc>
        <w:tc>
          <w:tcPr>
            <w:tcW w:w="1765" w:type="dxa"/>
          </w:tcPr>
          <w:p w:rsidR="00833724" w:rsidRPr="001B34D0" w:rsidRDefault="00833724" w:rsidP="00A92D87">
            <w:pPr>
              <w:jc w:val="center"/>
            </w:pPr>
          </w:p>
          <w:p w:rsidR="00833724" w:rsidRPr="001B34D0" w:rsidRDefault="00833724" w:rsidP="00A92D87">
            <w:pPr>
              <w:jc w:val="center"/>
            </w:pPr>
            <w:r w:rsidRPr="001B34D0">
              <w:t>5</w:t>
            </w:r>
          </w:p>
        </w:tc>
        <w:tc>
          <w:tcPr>
            <w:tcW w:w="1766" w:type="dxa"/>
          </w:tcPr>
          <w:p w:rsidR="00833724" w:rsidRPr="001B34D0" w:rsidRDefault="00833724" w:rsidP="00A92D87">
            <w:pPr>
              <w:jc w:val="center"/>
            </w:pPr>
          </w:p>
          <w:p w:rsidR="00833724" w:rsidRPr="001B34D0" w:rsidRDefault="00833724" w:rsidP="00A92D87">
            <w:pPr>
              <w:jc w:val="center"/>
            </w:pPr>
            <w:r w:rsidRPr="001B34D0">
              <w:t>22</w:t>
            </w:r>
          </w:p>
        </w:tc>
        <w:tc>
          <w:tcPr>
            <w:tcW w:w="1766" w:type="dxa"/>
          </w:tcPr>
          <w:p w:rsidR="00833724" w:rsidRPr="001B34D0" w:rsidRDefault="00833724" w:rsidP="00A92D87">
            <w:pPr>
              <w:jc w:val="center"/>
            </w:pPr>
          </w:p>
          <w:tbl>
            <w:tblPr>
              <w:tblW w:w="1200" w:type="dxa"/>
              <w:tblCellMar>
                <w:left w:w="70" w:type="dxa"/>
                <w:right w:w="70" w:type="dxa"/>
              </w:tblCellMar>
              <w:tblLook w:val="04A0"/>
            </w:tblPr>
            <w:tblGrid>
              <w:gridCol w:w="1200"/>
            </w:tblGrid>
            <w:tr w:rsidR="00833724" w:rsidRPr="001B34D0"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center"/>
                    <w:rPr>
                      <w:rFonts w:eastAsia="Times New Roman" w:cs="Arial"/>
                      <w:color w:val="000000"/>
                      <w:lang w:eastAsia="es-CO"/>
                    </w:rPr>
                  </w:pPr>
                  <w:r w:rsidRPr="001B34D0">
                    <w:rPr>
                      <w:rFonts w:eastAsia="Times New Roman" w:cs="Arial"/>
                      <w:color w:val="000000"/>
                      <w:lang w:eastAsia="es-CO"/>
                    </w:rPr>
                    <w:t>10</w:t>
                  </w:r>
                </w:p>
              </w:tc>
            </w:tr>
          </w:tbl>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r w:rsidRPr="001B34D0">
              <w:t>17</w:t>
            </w:r>
          </w:p>
        </w:tc>
      </w:tr>
      <w:tr w:rsidR="00833724" w:rsidRPr="001B34D0" w:rsidTr="00000F81">
        <w:tc>
          <w:tcPr>
            <w:tcW w:w="9259" w:type="dxa"/>
            <w:gridSpan w:val="5"/>
          </w:tcPr>
          <w:p w:rsidR="00833724" w:rsidRPr="001B34D0" w:rsidRDefault="00833724" w:rsidP="00A92D87">
            <w:pPr>
              <w:rPr>
                <w:b/>
              </w:rPr>
            </w:pPr>
            <w:r w:rsidRPr="001B34D0">
              <w:rPr>
                <w:b/>
              </w:rPr>
              <w:t>Fuente y año:  UNIDAD DE VICTIMAS</w:t>
            </w:r>
          </w:p>
        </w:tc>
      </w:tr>
    </w:tbl>
    <w:p w:rsidR="00833724" w:rsidRPr="001B34D0" w:rsidRDefault="00833724" w:rsidP="00A92D87">
      <w:pPr>
        <w:spacing w:line="240" w:lineRule="auto"/>
        <w:rPr>
          <w:b/>
        </w:rPr>
      </w:pPr>
    </w:p>
    <w:p w:rsidR="00833724" w:rsidRPr="001B34D0" w:rsidRDefault="00833724" w:rsidP="00A92D87">
      <w:pPr>
        <w:spacing w:line="240" w:lineRule="auto"/>
        <w:rPr>
          <w:b/>
        </w:rPr>
      </w:pPr>
      <w:r w:rsidRPr="001B34D0">
        <w:rPr>
          <w:b/>
        </w:rPr>
        <w:t xml:space="preserve">Gráfico: </w:t>
      </w:r>
    </w:p>
    <w:p w:rsidR="00833724" w:rsidRPr="001B34D0" w:rsidRDefault="00833724" w:rsidP="00A92D87">
      <w:pPr>
        <w:spacing w:line="240" w:lineRule="auto"/>
        <w:rPr>
          <w:b/>
        </w:rPr>
      </w:pPr>
    </w:p>
    <w:tbl>
      <w:tblPr>
        <w:tblW w:w="6361" w:type="dxa"/>
        <w:tblInd w:w="55" w:type="dxa"/>
        <w:tblCellMar>
          <w:left w:w="70" w:type="dxa"/>
          <w:right w:w="70" w:type="dxa"/>
        </w:tblCellMar>
        <w:tblLook w:val="04A0"/>
      </w:tblPr>
      <w:tblGrid>
        <w:gridCol w:w="1045"/>
        <w:gridCol w:w="715"/>
        <w:gridCol w:w="1485"/>
        <w:gridCol w:w="1717"/>
        <w:gridCol w:w="1399"/>
      </w:tblGrid>
      <w:tr w:rsidR="00833724" w:rsidRPr="001B34D0"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4</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6,78</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2011</w:t>
            </w:r>
          </w:p>
        </w:tc>
        <w:tc>
          <w:tcPr>
            <w:tcW w:w="71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w:t>
            </w:r>
          </w:p>
        </w:tc>
        <w:tc>
          <w:tcPr>
            <w:tcW w:w="1717"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84</w:t>
            </w:r>
          </w:p>
        </w:tc>
        <w:tc>
          <w:tcPr>
            <w:tcW w:w="1399"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5,95</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2012</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22</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92</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23,91</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10</w:t>
            </w:r>
          </w:p>
        </w:tc>
        <w:tc>
          <w:tcPr>
            <w:tcW w:w="1717"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90</w:t>
            </w:r>
          </w:p>
        </w:tc>
        <w:tc>
          <w:tcPr>
            <w:tcW w:w="1399"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11,11</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2014</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17</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60</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28,33</w:t>
            </w:r>
          </w:p>
        </w:tc>
      </w:tr>
      <w:tr w:rsidR="00833724" w:rsidRPr="001B34D0" w:rsidTr="00000F81">
        <w:trPr>
          <w:trHeight w:val="300"/>
        </w:trPr>
        <w:tc>
          <w:tcPr>
            <w:tcW w:w="1045"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c>
          <w:tcPr>
            <w:tcW w:w="715"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c>
          <w:tcPr>
            <w:tcW w:w="1485"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c>
          <w:tcPr>
            <w:tcW w:w="1717"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c>
          <w:tcPr>
            <w:tcW w:w="1399"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Teniendo en cuenta la información suministrada por la Unidad para la atención y reparación integral a las víctimas, Se evidencia que fueron reparadas  integralmente por las afectaciones a los derechos a la vida, 1 jóvenes entre los 18 y 28 años que se vieron afectados sus derechos a la libertad e integridad sexual.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 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833724" w:rsidRPr="001B34D0" w:rsidRDefault="00833724" w:rsidP="00A92D87">
      <w:pPr>
        <w:spacing w:after="0" w:line="240" w:lineRule="auto"/>
        <w:contextualSpacing/>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w:t>
      </w:r>
      <w:r w:rsidRPr="001B34D0">
        <w:rPr>
          <w:rFonts w:eastAsia="Times New Roman" w:cs="Times New Roman"/>
          <w:lang w:eastAsia="es-CO"/>
        </w:rPr>
        <w:lastRenderedPageBreak/>
        <w:t>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833724" w:rsidRPr="001B34D0" w:rsidRDefault="00833724" w:rsidP="00A92D87">
      <w:pPr>
        <w:spacing w:after="0" w:line="240" w:lineRule="auto"/>
        <w:contextualSpacing/>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Desde el programa de atención a víctimas se orientan a NNA afectadas por este hecho victimizantes para que inicien la ruta única de atención con la Unidad Nacional de Protección.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w:t>
      </w:r>
      <w:r w:rsidRPr="001B34D0">
        <w:rPr>
          <w:rFonts w:eastAsia="Times New Roman" w:cs="Times New Roman"/>
          <w:lang w:eastAsia="es-CO"/>
        </w:rPr>
        <w:lastRenderedPageBreak/>
        <w:t xml:space="preserve">y alojamiento transitorio, mientras se realiza el trámite de inscripción en el Registro Único de Víctimas.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atención humanitaria a Víctimas del conflicto armado de Colombia se realiza por demanda y de acuerdo a la dinámica del conflicto armado que existe en el momento.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line="240" w:lineRule="auto"/>
        <w:jc w:val="both"/>
      </w:pPr>
      <w:r w:rsidRPr="001B34D0">
        <w:t>Se atendieron a la totalidad de población de víctimas de amenazas causado por el conflicto armado que requirieron atención y orientación dentro de la etapa inmediata de atención en las siguientes proporciones:</w:t>
      </w: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2011: 5 jóvenes de 18-28 años</w:t>
      </w: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2012: 22 jóvenes de 18 a 28 años</w:t>
      </w: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2013: 10 Jóvenes de 18 – 28 años</w:t>
      </w: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2014: 17 jóvenes de 18-28 años</w:t>
      </w:r>
    </w:p>
    <w:p w:rsidR="00AB2385" w:rsidRDefault="00AB2385">
      <w:pPr>
        <w:rPr>
          <w:rFonts w:eastAsia="Times New Roman" w:cs="Times New Roman"/>
          <w:lang w:eastAsia="es-CO"/>
        </w:rPr>
      </w:pPr>
      <w:r>
        <w:rPr>
          <w:rFonts w:eastAsia="Times New Roman" w:cs="Times New Roman"/>
          <w:lang w:eastAsia="es-CO"/>
        </w:rPr>
        <w:br w:type="page"/>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Calibri"/>
          <w:color w:val="000000"/>
          <w:lang w:eastAsia="es-CO"/>
        </w:rPr>
      </w:pPr>
      <w:r w:rsidRPr="001B34D0">
        <w:rPr>
          <w:rFonts w:eastAsia="Times New Roman" w:cs="Times New Roman"/>
          <w:b/>
          <w:lang w:eastAsia="es-CO"/>
        </w:rPr>
        <w:t xml:space="preserve">Impacto:   </w:t>
      </w:r>
    </w:p>
    <w:p w:rsidR="00833724" w:rsidRPr="001B34D0" w:rsidRDefault="00833724" w:rsidP="00A92D87">
      <w:pPr>
        <w:spacing w:after="0" w:line="240" w:lineRule="auto"/>
        <w:contextualSpacing/>
        <w:rPr>
          <w:rFonts w:eastAsia="Times New Roman" w:cs="Calibri"/>
          <w:color w:val="000000"/>
          <w:lang w:eastAsia="es-CO"/>
        </w:rPr>
      </w:pP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Cobertura de las necesidades básicas (pañales, ropa, leche, cobijas) a través de la oficina de Bienestar Social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Educación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Subsidios en libros, textos y útiles escolares desde la Secretaria de Educación Municipal.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Salud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Acceso a una educación superior  de más fácil acceso.</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Espacios para crear y desarrollar un proyecto de vida.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Actividades en las Instituciones Educativas que permitan disminuir la discriminación, el matoneo o el acoso a NNA por ser víctimas</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Cursos de aprendizaje en el SENA con más facilidad en su acceso o prioridad.</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Generar espacios deportivos de aprendizaje, en diferentes áreas basadas en las habilidades de los niños, niñas y adolescentes con Secretaria de Cultura.</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Subsidio  para  jóvenes víctimas que ingresen a la universidad, en articulación con DPS</w:t>
      </w:r>
    </w:p>
    <w:p w:rsidR="00833724" w:rsidRPr="001B34D0" w:rsidRDefault="00833724" w:rsidP="00A92D87">
      <w:pPr>
        <w:numPr>
          <w:ilvl w:val="0"/>
          <w:numId w:val="35"/>
        </w:numPr>
        <w:spacing w:after="200" w:line="240" w:lineRule="auto"/>
        <w:contextualSpacing/>
      </w:pPr>
      <w:r w:rsidRPr="001B34D0">
        <w:rPr>
          <w:rFonts w:eastAsia="Times New Roman" w:cs="Calibri"/>
          <w:color w:val="000000"/>
          <w:lang w:eastAsia="es-CO"/>
        </w:rPr>
        <w:t>Cumplimiento en las medidas de atención prioritaria en lugares como Banco Agrario PAV y EPS.</w:t>
      </w:r>
    </w:p>
    <w:p w:rsidR="00833724" w:rsidRPr="001B34D0" w:rsidRDefault="00833724" w:rsidP="00A92D87">
      <w:pPr>
        <w:numPr>
          <w:ilvl w:val="0"/>
          <w:numId w:val="35"/>
        </w:numPr>
        <w:spacing w:after="200" w:line="240" w:lineRule="auto"/>
        <w:contextualSpacing/>
        <w:rPr>
          <w:rFonts w:eastAsia="Times New Roman" w:cs="Times New Roman"/>
          <w:lang w:eastAsia="es-CO"/>
        </w:rPr>
      </w:pPr>
      <w:r w:rsidRPr="001B34D0">
        <w:rPr>
          <w:rFonts w:eastAsia="Times New Roman" w:cs="Calibri"/>
          <w:color w:val="000000"/>
          <w:lang w:eastAsia="es-CO"/>
        </w:rPr>
        <w:t>Se garantiza en articulación con la Registraduria Nacional del Estado Civil, el acceso al derecho a la identificación.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Prioridades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En el periodo analizado del año 2011 – 2014, se evidencia que el mayor número de jóvenes afectados por amenazas a causa del conflicto armado, se presentó durante el año 2012, con un numero de 22 jóvenes atendidos y asesorados para tal condición, visibilizándose que durante este periodo mencionado, el 21.1% de las victimas atendidas, eran jóvenes que se encontraban entre los 18-28 años.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lastRenderedPageBreak/>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 acuerdo a la ruta previamente establecida, se recomienda de manera inmediata activar la ruta de violencia basado en género la cual se encuentra compuesta por diferentes entidades competentes legalmente.</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recomienda de manera inmediata iniciar la ruta única establecida con la Unidad Nacional de Protección con la intención de salvaguardar el derecho a la vida e integridad personal.</w:t>
      </w:r>
    </w:p>
    <w:p w:rsidR="00833724" w:rsidRPr="001B34D0" w:rsidRDefault="00833724"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135</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833724" w:rsidRPr="001B34D0" w:rsidRDefault="00833724" w:rsidP="00A92D87">
            <w:r w:rsidRPr="001B34D0">
              <w:t>MUNICIPIO:  PASTO</w:t>
            </w:r>
          </w:p>
        </w:tc>
      </w:tr>
      <w:tr w:rsidR="00833724" w:rsidRPr="001B34D0" w:rsidTr="00000F81">
        <w:trPr>
          <w:cnfStyle w:val="000000100000"/>
          <w:trHeight w:val="579"/>
          <w:jc w:val="center"/>
        </w:trPr>
        <w:tc>
          <w:tcPr>
            <w:cnfStyle w:val="001000000000"/>
            <w:tcW w:w="8828" w:type="dxa"/>
          </w:tcPr>
          <w:p w:rsidR="00833724" w:rsidRPr="001B34D0" w:rsidRDefault="00833724" w:rsidP="00A92D87">
            <w:r w:rsidRPr="001B34D0">
              <w:t>Nombre del indicador:  Porcentaje de jóvenes (18 - 28 años) víctimas de secuestro</w:t>
            </w:r>
          </w:p>
        </w:tc>
      </w:tr>
      <w:tr w:rsidR="00833724" w:rsidRPr="001B34D0" w:rsidTr="00000F81">
        <w:trPr>
          <w:trHeight w:val="332"/>
          <w:jc w:val="center"/>
        </w:trPr>
        <w:tc>
          <w:tcPr>
            <w:cnfStyle w:val="001000000000"/>
            <w:tcW w:w="8828" w:type="dxa"/>
          </w:tcPr>
          <w:p w:rsidR="00833724" w:rsidRPr="001B34D0" w:rsidRDefault="00833724" w:rsidP="00A92D87">
            <w:r w:rsidRPr="001B34D0">
              <w:t xml:space="preserve">Fuente Nacional: </w:t>
            </w:r>
          </w:p>
          <w:p w:rsidR="00833724" w:rsidRPr="001B34D0" w:rsidRDefault="00833724" w:rsidP="00A92D87">
            <w:r w:rsidRPr="001B34D0">
              <w:t>Otra Fuente: UNIDAD DE VICTIMAS Y RED NACIONAL DE INFORMACION</w:t>
            </w:r>
          </w:p>
        </w:tc>
      </w:tr>
      <w:tr w:rsidR="00833724" w:rsidRPr="001B34D0" w:rsidTr="00000F81">
        <w:trPr>
          <w:cnfStyle w:val="000000100000"/>
          <w:trHeight w:val="458"/>
          <w:jc w:val="center"/>
        </w:trPr>
        <w:tc>
          <w:tcPr>
            <w:cnfStyle w:val="001000000000"/>
            <w:tcW w:w="8828" w:type="dxa"/>
          </w:tcPr>
          <w:p w:rsidR="00833724" w:rsidRPr="001B34D0" w:rsidRDefault="00833724" w:rsidP="00A92D87">
            <w:r w:rsidRPr="001B34D0">
              <w:t>Categoría de derechos: Derecho a la libertad y a la seguridad personales ( a no ser arrestada/o arbitrariamente)</w:t>
            </w:r>
          </w:p>
        </w:tc>
      </w:tr>
      <w:tr w:rsidR="00833724" w:rsidRPr="001B34D0" w:rsidTr="00000F81">
        <w:trPr>
          <w:trHeight w:val="458"/>
          <w:jc w:val="center"/>
        </w:trPr>
        <w:tc>
          <w:tcPr>
            <w:cnfStyle w:val="001000000000"/>
            <w:tcW w:w="8828" w:type="dxa"/>
          </w:tcPr>
          <w:p w:rsidR="00833724" w:rsidRPr="001B34D0" w:rsidRDefault="00833724" w:rsidP="00A92D87">
            <w:r w:rsidRPr="001B34D0">
              <w:t>Metodología: Análisis de la información a partir de la cadena de resultados</w:t>
            </w: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833724" w:rsidRPr="001B34D0" w:rsidRDefault="00833724"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833724" w:rsidRPr="001B34D0" w:rsidTr="00000F81">
        <w:tc>
          <w:tcPr>
            <w:tcW w:w="2196" w:type="dxa"/>
          </w:tcPr>
          <w:p w:rsidR="00833724" w:rsidRPr="001B34D0" w:rsidRDefault="00833724" w:rsidP="00A92D87">
            <w:pPr>
              <w:jc w:val="center"/>
              <w:rPr>
                <w:b/>
              </w:rPr>
            </w:pPr>
            <w:r w:rsidRPr="001B34D0">
              <w:rPr>
                <w:b/>
              </w:rPr>
              <w:t>Indicador</w:t>
            </w:r>
          </w:p>
        </w:tc>
        <w:tc>
          <w:tcPr>
            <w:tcW w:w="1765" w:type="dxa"/>
          </w:tcPr>
          <w:p w:rsidR="00833724" w:rsidRPr="001B34D0" w:rsidRDefault="00833724" w:rsidP="00A92D87">
            <w:pPr>
              <w:jc w:val="center"/>
              <w:rPr>
                <w:b/>
              </w:rPr>
            </w:pPr>
            <w:r w:rsidRPr="001B34D0">
              <w:rPr>
                <w:b/>
              </w:rPr>
              <w:t>2011</w:t>
            </w:r>
          </w:p>
        </w:tc>
        <w:tc>
          <w:tcPr>
            <w:tcW w:w="1766" w:type="dxa"/>
          </w:tcPr>
          <w:p w:rsidR="00833724" w:rsidRPr="001B34D0" w:rsidRDefault="00833724" w:rsidP="00A92D87">
            <w:pPr>
              <w:jc w:val="center"/>
              <w:rPr>
                <w:b/>
              </w:rPr>
            </w:pPr>
            <w:r w:rsidRPr="001B34D0">
              <w:rPr>
                <w:b/>
              </w:rPr>
              <w:t>2012</w:t>
            </w:r>
          </w:p>
        </w:tc>
        <w:tc>
          <w:tcPr>
            <w:tcW w:w="1766" w:type="dxa"/>
          </w:tcPr>
          <w:p w:rsidR="00833724" w:rsidRPr="001B34D0" w:rsidRDefault="00833724" w:rsidP="00A92D87">
            <w:pPr>
              <w:jc w:val="center"/>
              <w:rPr>
                <w:b/>
              </w:rPr>
            </w:pPr>
            <w:r w:rsidRPr="001B34D0">
              <w:rPr>
                <w:b/>
              </w:rPr>
              <w:t>2013</w:t>
            </w:r>
          </w:p>
        </w:tc>
        <w:tc>
          <w:tcPr>
            <w:tcW w:w="1766" w:type="dxa"/>
          </w:tcPr>
          <w:p w:rsidR="00833724" w:rsidRPr="001B34D0" w:rsidRDefault="00833724" w:rsidP="00A92D87">
            <w:pPr>
              <w:jc w:val="center"/>
              <w:rPr>
                <w:b/>
              </w:rPr>
            </w:pPr>
            <w:r w:rsidRPr="001B34D0">
              <w:rPr>
                <w:b/>
              </w:rPr>
              <w:t>2014</w:t>
            </w:r>
          </w:p>
        </w:tc>
      </w:tr>
      <w:tr w:rsidR="00833724" w:rsidRPr="001B34D0" w:rsidTr="00000F81">
        <w:tc>
          <w:tcPr>
            <w:tcW w:w="2196" w:type="dxa"/>
          </w:tcPr>
          <w:p w:rsidR="00833724" w:rsidRPr="001B34D0" w:rsidRDefault="00833724" w:rsidP="00A92D87">
            <w:r w:rsidRPr="001B34D0">
              <w:t>Porcentaje de jóvenes (18 - 28 años) víctimas de secuestro</w:t>
            </w:r>
          </w:p>
        </w:tc>
        <w:tc>
          <w:tcPr>
            <w:tcW w:w="1765" w:type="dxa"/>
          </w:tcPr>
          <w:p w:rsidR="00833724" w:rsidRPr="001B34D0" w:rsidRDefault="00833724" w:rsidP="00A92D87">
            <w:pPr>
              <w:jc w:val="center"/>
            </w:pPr>
          </w:p>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r w:rsidRPr="001B34D0">
              <w:t>1</w:t>
            </w:r>
          </w:p>
        </w:tc>
        <w:tc>
          <w:tcPr>
            <w:tcW w:w="1766" w:type="dxa"/>
          </w:tcPr>
          <w:p w:rsidR="00833724" w:rsidRPr="001B34D0" w:rsidRDefault="00833724" w:rsidP="00A92D87">
            <w:pPr>
              <w:jc w:val="center"/>
            </w:pPr>
          </w:p>
          <w:tbl>
            <w:tblPr>
              <w:tblW w:w="1200" w:type="dxa"/>
              <w:tblCellMar>
                <w:left w:w="70" w:type="dxa"/>
                <w:right w:w="70" w:type="dxa"/>
              </w:tblCellMar>
              <w:tblLook w:val="04A0"/>
            </w:tblPr>
            <w:tblGrid>
              <w:gridCol w:w="1200"/>
            </w:tblGrid>
            <w:tr w:rsidR="00833724" w:rsidRPr="001B34D0"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center"/>
                    <w:rPr>
                      <w:rFonts w:eastAsia="Times New Roman" w:cs="Arial"/>
                      <w:color w:val="000000"/>
                      <w:lang w:eastAsia="es-CO"/>
                    </w:rPr>
                  </w:pPr>
                </w:p>
              </w:tc>
            </w:tr>
          </w:tbl>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p>
        </w:tc>
      </w:tr>
      <w:tr w:rsidR="00833724" w:rsidRPr="001B34D0" w:rsidTr="00000F81">
        <w:tc>
          <w:tcPr>
            <w:tcW w:w="9259" w:type="dxa"/>
            <w:gridSpan w:val="5"/>
          </w:tcPr>
          <w:p w:rsidR="00833724" w:rsidRPr="001B34D0" w:rsidRDefault="00833724" w:rsidP="00A92D87">
            <w:pPr>
              <w:rPr>
                <w:b/>
              </w:rPr>
            </w:pPr>
            <w:r w:rsidRPr="001B34D0">
              <w:rPr>
                <w:b/>
              </w:rPr>
              <w:t>Fuente y año:  UNIDAD DE VICTIMAS</w:t>
            </w:r>
          </w:p>
        </w:tc>
      </w:tr>
    </w:tbl>
    <w:p w:rsidR="00833724" w:rsidRPr="001B34D0" w:rsidRDefault="00833724" w:rsidP="00A92D87">
      <w:pPr>
        <w:spacing w:line="240" w:lineRule="auto"/>
        <w:rPr>
          <w:b/>
        </w:rPr>
      </w:pPr>
    </w:p>
    <w:p w:rsidR="00833724" w:rsidRPr="001B34D0" w:rsidRDefault="00833724" w:rsidP="00A92D87">
      <w:pPr>
        <w:spacing w:line="240" w:lineRule="auto"/>
        <w:rPr>
          <w:b/>
        </w:rPr>
      </w:pPr>
      <w:r w:rsidRPr="001B34D0">
        <w:rPr>
          <w:b/>
        </w:rPr>
        <w:t xml:space="preserve">Gráfico: </w:t>
      </w:r>
    </w:p>
    <w:p w:rsidR="00833724" w:rsidRPr="001B34D0" w:rsidRDefault="00833724" w:rsidP="00A92D87">
      <w:pPr>
        <w:spacing w:line="240" w:lineRule="auto"/>
        <w:rPr>
          <w:b/>
        </w:rPr>
      </w:pPr>
    </w:p>
    <w:tbl>
      <w:tblPr>
        <w:tblW w:w="6361" w:type="dxa"/>
        <w:tblInd w:w="55" w:type="dxa"/>
        <w:tblCellMar>
          <w:left w:w="70" w:type="dxa"/>
          <w:right w:w="70" w:type="dxa"/>
        </w:tblCellMar>
        <w:tblLook w:val="04A0"/>
      </w:tblPr>
      <w:tblGrid>
        <w:gridCol w:w="1045"/>
        <w:gridCol w:w="715"/>
        <w:gridCol w:w="1485"/>
        <w:gridCol w:w="1717"/>
        <w:gridCol w:w="1399"/>
      </w:tblGrid>
      <w:tr w:rsidR="00833724" w:rsidRPr="001B34D0"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2012</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92</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1,09</w:t>
            </w: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Teniendo en cuenta la información suministrada por la Unidad para la atención y reparación integral a las víctimas, Se evidencia que fueron reparadas  integralmente por las afectaciones a los derechos a la vida, 1 jóvenes entre los 18 y 28 años que se vieron afectados sus derechos a la libertad e integridad sexual.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 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833724" w:rsidRPr="001B34D0" w:rsidRDefault="00833724" w:rsidP="00A92D87">
      <w:pPr>
        <w:spacing w:after="0" w:line="240" w:lineRule="auto"/>
        <w:contextualSpacing/>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el plan de desarrollo municipal de Pasto 2012-2015 “Pasto: Transformación Productiva”, teniendo </w:t>
      </w:r>
      <w:r w:rsidRPr="001B34D0">
        <w:rPr>
          <w:rFonts w:eastAsia="Times New Roman" w:cs="Times New Roman"/>
          <w:lang w:eastAsia="es-CO"/>
        </w:rPr>
        <w:lastRenderedPageBreak/>
        <w:t>en cuenta la complejidad de la atención integral requerida, la masificación en el número de víctimas y la aguda crisis social, psicológica y económica que ocasiona el desplazamiento forzado y los diferentes hechos victimizantes.</w:t>
      </w:r>
    </w:p>
    <w:p w:rsidR="00833724" w:rsidRPr="001B34D0" w:rsidRDefault="00833724" w:rsidP="00A92D87">
      <w:pPr>
        <w:spacing w:after="0" w:line="240" w:lineRule="auto"/>
        <w:contextualSpacing/>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Desde el programa de atención a víctimas se orientan a NNA afectadas por este hecho victimizantes para que inicien la ruta única de atención con la Unidad Nacional de Protección.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atención humanitaria a Víctimas del conflicto armado de Colombia se realiza por demanda y de acuerdo a la dinámica del conflicto armado que existe en el momento.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line="240" w:lineRule="auto"/>
        <w:jc w:val="both"/>
      </w:pPr>
      <w:r w:rsidRPr="001B34D0">
        <w:t>Se atendieron a la totalidad de población de víctimas de secuestro causados por el conflicto armado que requirieron atención y orientación dentro de la etapa inmediata de atención en las siguientes proporciones: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2012: 1 joven de 18 a 28 años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Calibri"/>
          <w:color w:val="000000"/>
          <w:lang w:eastAsia="es-CO"/>
        </w:rPr>
      </w:pPr>
      <w:r w:rsidRPr="001B34D0">
        <w:rPr>
          <w:rFonts w:eastAsia="Times New Roman" w:cs="Times New Roman"/>
          <w:b/>
          <w:lang w:eastAsia="es-CO"/>
        </w:rPr>
        <w:t xml:space="preserve">Impacto:   </w:t>
      </w:r>
    </w:p>
    <w:p w:rsidR="00833724" w:rsidRPr="001B34D0" w:rsidRDefault="00833724" w:rsidP="00A92D87">
      <w:pPr>
        <w:spacing w:after="0" w:line="240" w:lineRule="auto"/>
        <w:contextualSpacing/>
        <w:rPr>
          <w:rFonts w:eastAsia="Times New Roman" w:cs="Calibri"/>
          <w:color w:val="000000"/>
          <w:lang w:eastAsia="es-CO"/>
        </w:rPr>
      </w:pP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Cobertura de las necesidades básicas (pañales, ropa, leche, cobijas) a través de la oficina de Bienestar Social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lastRenderedPageBreak/>
        <w:t>Educación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Subsidios en libros, textos y útiles escolares desde la Secretaria de Educación Municipal.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Salud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Acceso a una educación superior  de más fácil acceso.</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Espacios para crear y desarrollar un proyecto de vida.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Actividades en las Instituciones Educativas que permitan disminuir la discriminación, el matoneo o el acoso a NNA por ser víctimas</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Cursos de aprendizaje en el SENA con más facilidad en su acceso o prioridad.</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Generar espacios deportivos de aprendizaje, en diferentes áreas basadas en las habilidades de los niños, niñas y adolescentes con Secretaria de Cultura.</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Subsidio  para  jóvenes víctimas que ingresen a la universidad, en articulación con DPS</w:t>
      </w:r>
    </w:p>
    <w:p w:rsidR="00833724" w:rsidRPr="001B34D0" w:rsidRDefault="00833724" w:rsidP="00A92D87">
      <w:pPr>
        <w:numPr>
          <w:ilvl w:val="0"/>
          <w:numId w:val="35"/>
        </w:numPr>
        <w:spacing w:after="200" w:line="240" w:lineRule="auto"/>
        <w:contextualSpacing/>
      </w:pPr>
      <w:r w:rsidRPr="001B34D0">
        <w:rPr>
          <w:rFonts w:eastAsia="Times New Roman" w:cs="Calibri"/>
          <w:color w:val="000000"/>
          <w:lang w:eastAsia="es-CO"/>
        </w:rPr>
        <w:t>Cumplimiento en las medidas de atención prioritaria en lugares como Banco Agrario PAV y EPS.</w:t>
      </w:r>
    </w:p>
    <w:p w:rsidR="00833724" w:rsidRPr="001B34D0" w:rsidRDefault="00833724" w:rsidP="00A92D87">
      <w:pPr>
        <w:numPr>
          <w:ilvl w:val="0"/>
          <w:numId w:val="35"/>
        </w:numPr>
        <w:spacing w:after="200" w:line="240" w:lineRule="auto"/>
        <w:contextualSpacing/>
        <w:rPr>
          <w:rFonts w:eastAsia="Times New Roman" w:cs="Times New Roman"/>
          <w:lang w:eastAsia="es-CO"/>
        </w:rPr>
      </w:pPr>
      <w:r w:rsidRPr="001B34D0">
        <w:rPr>
          <w:rFonts w:eastAsia="Times New Roman" w:cs="Calibri"/>
          <w:color w:val="000000"/>
          <w:lang w:eastAsia="es-CO"/>
        </w:rPr>
        <w:t>Se garantiza en articulación con la Registraduria Nacional del Estado Civil, el acceso al derecho a la identificación.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Prioridades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En el presente indicador, resulta insuficiente establecer prioridades debido a que no se presentan víctimas en un mayor numerador, esto debido a que solo se presentó 1 víctima en el año 2012.</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 acuerdo a la ruta previamente establecida, se recomienda de manera inmediata activar la ruta de violencia basado en género la cual se encuentra compuesta por diferentes entidades competentes legalmente.</w:t>
      </w:r>
    </w:p>
    <w:p w:rsidR="00833724" w:rsidRPr="001B34D0" w:rsidRDefault="00833724" w:rsidP="00A92D87">
      <w:pPr>
        <w:spacing w:line="240" w:lineRule="auto"/>
      </w:pPr>
    </w:p>
    <w:p w:rsidR="00833724" w:rsidRDefault="00833724" w:rsidP="00A92D87">
      <w:pPr>
        <w:spacing w:line="240" w:lineRule="auto"/>
        <w:rPr>
          <w:sz w:val="40"/>
          <w:szCs w:val="40"/>
        </w:rPr>
      </w:pPr>
    </w:p>
    <w:p w:rsidR="006E6C52" w:rsidRPr="00AB2385" w:rsidRDefault="006E6C52" w:rsidP="00A92D87">
      <w:pPr>
        <w:spacing w:line="240" w:lineRule="auto"/>
      </w:pPr>
    </w:p>
    <w:p w:rsidR="00833724" w:rsidRPr="00AB2385" w:rsidRDefault="00FF6BCD" w:rsidP="00FF6BCD">
      <w:pPr>
        <w:pStyle w:val="Ttulo2"/>
        <w:jc w:val="center"/>
        <w:rPr>
          <w:rFonts w:asciiTheme="minorHAnsi" w:hAnsiTheme="minorHAnsi"/>
          <w:color w:val="auto"/>
          <w:sz w:val="22"/>
          <w:szCs w:val="22"/>
        </w:rPr>
      </w:pPr>
      <w:bookmarkStart w:id="122" w:name="_Toc437376067"/>
      <w:r w:rsidRPr="00AB2385">
        <w:rPr>
          <w:rFonts w:asciiTheme="minorHAnsi" w:hAnsiTheme="minorHAnsi"/>
          <w:color w:val="auto"/>
          <w:sz w:val="22"/>
          <w:szCs w:val="22"/>
        </w:rPr>
        <w:lastRenderedPageBreak/>
        <w:t xml:space="preserve">6.4.2 </w:t>
      </w:r>
      <w:r w:rsidR="006E6C52" w:rsidRPr="00AB2385">
        <w:rPr>
          <w:rFonts w:asciiTheme="minorHAnsi" w:hAnsiTheme="minorHAnsi"/>
          <w:color w:val="auto"/>
          <w:sz w:val="22"/>
          <w:szCs w:val="22"/>
        </w:rPr>
        <w:t xml:space="preserve">CATEGORÍA </w:t>
      </w:r>
      <w:r w:rsidR="00833724" w:rsidRPr="00AB2385">
        <w:rPr>
          <w:rFonts w:asciiTheme="minorHAnsi" w:hAnsiTheme="minorHAnsi"/>
          <w:color w:val="auto"/>
          <w:sz w:val="22"/>
          <w:szCs w:val="22"/>
        </w:rPr>
        <w:t>DERECHOS ECONÓMICOS, SOCIALES, CULTURALES Y AMBIENTALES</w:t>
      </w:r>
      <w:bookmarkEnd w:id="122"/>
    </w:p>
    <w:p w:rsidR="00833724" w:rsidRPr="001B34D0" w:rsidRDefault="00833724"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1B34D0">
        <w:rPr>
          <w:rFonts w:eastAsia="Calibri" w:cs="Times New Roman"/>
          <w:b/>
          <w:i/>
          <w:iCs/>
        </w:rPr>
        <w:t>DESCRIPCIÓN DEL INDICADOR No. 148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trHeight w:val="193"/>
          <w:jc w:val="center"/>
        </w:trPr>
        <w:tc>
          <w:tcPr>
            <w:tcW w:w="8828" w:type="dxa"/>
            <w:shd w:val="clear" w:color="auto" w:fill="FFFFFF"/>
          </w:tcPr>
          <w:p w:rsidR="00833724" w:rsidRPr="001B34D0" w:rsidRDefault="00833724" w:rsidP="00A92D87">
            <w:pPr>
              <w:spacing w:after="0" w:line="240" w:lineRule="auto"/>
              <w:rPr>
                <w:rFonts w:eastAsia="Calibri" w:cs="Times New Roman"/>
                <w:b/>
                <w:bCs/>
              </w:rPr>
            </w:pPr>
            <w:r w:rsidRPr="001B34D0">
              <w:rPr>
                <w:rFonts w:eastAsia="Calibri" w:cs="Times New Roman"/>
                <w:b/>
                <w:bCs/>
              </w:rPr>
              <w:t>MUNICIPIO: PASTO</w:t>
            </w:r>
          </w:p>
        </w:tc>
      </w:tr>
      <w:tr w:rsidR="00833724" w:rsidRPr="001B34D0" w:rsidTr="00000F81">
        <w:trPr>
          <w:trHeight w:val="579"/>
          <w:jc w:val="center"/>
        </w:trPr>
        <w:tc>
          <w:tcPr>
            <w:tcW w:w="8828" w:type="dxa"/>
            <w:shd w:val="clear" w:color="auto" w:fill="D9E2F3"/>
          </w:tcPr>
          <w:p w:rsidR="00833724" w:rsidRPr="001B34D0" w:rsidRDefault="00833724" w:rsidP="00A92D87">
            <w:pPr>
              <w:spacing w:after="0" w:line="240" w:lineRule="auto"/>
              <w:rPr>
                <w:rFonts w:eastAsia="Calibri" w:cs="Times New Roman"/>
                <w:b/>
                <w:bCs/>
              </w:rPr>
            </w:pPr>
            <w:r w:rsidRPr="001B34D0">
              <w:rPr>
                <w:rFonts w:eastAsia="Calibri" w:cs="Times New Roman"/>
                <w:b/>
                <w:bCs/>
              </w:rPr>
              <w:t>Nombre del indicador: Número de jóvenes (18 - 28 años) que han sido diagnosticados con VIH</w:t>
            </w:r>
          </w:p>
        </w:tc>
      </w:tr>
      <w:tr w:rsidR="00833724" w:rsidRPr="001B34D0" w:rsidTr="00000F81">
        <w:trPr>
          <w:trHeight w:val="332"/>
          <w:jc w:val="center"/>
        </w:trPr>
        <w:tc>
          <w:tcPr>
            <w:tcW w:w="8828" w:type="dxa"/>
          </w:tcPr>
          <w:p w:rsidR="00833724" w:rsidRPr="001B34D0" w:rsidRDefault="00833724" w:rsidP="00A92D87">
            <w:pPr>
              <w:spacing w:after="0" w:line="240" w:lineRule="auto"/>
              <w:rPr>
                <w:rFonts w:eastAsia="Calibri" w:cs="Times New Roman"/>
                <w:b/>
                <w:bCs/>
              </w:rPr>
            </w:pPr>
            <w:r w:rsidRPr="001B34D0">
              <w:rPr>
                <w:rFonts w:eastAsia="Calibri" w:cs="Times New Roman"/>
                <w:b/>
                <w:bCs/>
              </w:rPr>
              <w:t xml:space="preserve">Fuente Nacional: </w:t>
            </w:r>
          </w:p>
          <w:p w:rsidR="00833724" w:rsidRPr="001B34D0" w:rsidRDefault="00833724" w:rsidP="00A92D87">
            <w:pPr>
              <w:spacing w:after="0" w:line="240" w:lineRule="auto"/>
              <w:rPr>
                <w:rFonts w:eastAsia="Calibri" w:cs="Times New Roman"/>
                <w:b/>
                <w:bCs/>
              </w:rPr>
            </w:pPr>
            <w:r w:rsidRPr="001B34D0">
              <w:rPr>
                <w:rFonts w:eastAsia="Calibri" w:cs="Times New Roman"/>
                <w:b/>
                <w:bCs/>
              </w:rPr>
              <w:t>Otra Fuente: SIVIGILA</w:t>
            </w:r>
          </w:p>
        </w:tc>
      </w:tr>
      <w:tr w:rsidR="00833724" w:rsidRPr="001B34D0" w:rsidTr="00000F81">
        <w:trPr>
          <w:trHeight w:val="282"/>
          <w:jc w:val="center"/>
        </w:trPr>
        <w:tc>
          <w:tcPr>
            <w:tcW w:w="8828" w:type="dxa"/>
            <w:shd w:val="clear" w:color="auto" w:fill="D9E2F3"/>
          </w:tcPr>
          <w:p w:rsidR="00833724" w:rsidRPr="001B34D0" w:rsidRDefault="00833724" w:rsidP="00A92D87">
            <w:pPr>
              <w:spacing w:after="0" w:line="240" w:lineRule="auto"/>
              <w:rPr>
                <w:rFonts w:eastAsia="Calibri" w:cs="Times New Roman"/>
                <w:b/>
                <w:bCs/>
              </w:rPr>
            </w:pPr>
            <w:r w:rsidRPr="001B34D0">
              <w:rPr>
                <w:rFonts w:eastAsia="Calibri" w:cs="Times New Roman"/>
                <w:b/>
                <w:bCs/>
              </w:rPr>
              <w:t xml:space="preserve">Categoría de derechos: </w:t>
            </w:r>
          </w:p>
        </w:tc>
      </w:tr>
      <w:tr w:rsidR="00833724" w:rsidRPr="001B34D0" w:rsidTr="00000F81">
        <w:trPr>
          <w:trHeight w:val="458"/>
          <w:jc w:val="center"/>
        </w:trPr>
        <w:tc>
          <w:tcPr>
            <w:tcW w:w="8828" w:type="dxa"/>
          </w:tcPr>
          <w:p w:rsidR="00833724" w:rsidRPr="001B34D0" w:rsidRDefault="00833724"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r w:rsidR="00833724" w:rsidRPr="001B34D0" w:rsidTr="00000F81">
        <w:trPr>
          <w:trHeight w:val="248"/>
          <w:jc w:val="center"/>
        </w:trPr>
        <w:tc>
          <w:tcPr>
            <w:tcW w:w="8828" w:type="dxa"/>
            <w:shd w:val="clear" w:color="auto" w:fill="D9E2F3"/>
          </w:tcPr>
          <w:p w:rsidR="00833724" w:rsidRPr="001B34D0" w:rsidRDefault="00833724" w:rsidP="00A92D87">
            <w:pPr>
              <w:spacing w:after="0" w:line="240" w:lineRule="auto"/>
              <w:rPr>
                <w:rFonts w:eastAsia="Calibri" w:cs="Times New Roman"/>
                <w:b/>
                <w:bCs/>
              </w:rPr>
            </w:pPr>
            <w:r w:rsidRPr="001B34D0">
              <w:rPr>
                <w:rFonts w:eastAsia="Calibri" w:cs="Times New Roman"/>
                <w:b/>
                <w:bCs/>
              </w:rPr>
              <w:t>Temas relacionados con el indicador: Salud sexual y reproductiva</w:t>
            </w:r>
          </w:p>
        </w:tc>
      </w:tr>
    </w:tbl>
    <w:p w:rsidR="00833724" w:rsidRPr="001B34D0" w:rsidRDefault="00833724" w:rsidP="00A92D87">
      <w:pPr>
        <w:spacing w:after="200" w:line="240" w:lineRule="auto"/>
        <w:rPr>
          <w:rFonts w:eastAsia="Calibri" w:cs="Times New Roman"/>
        </w:rPr>
      </w:pPr>
    </w:p>
    <w:p w:rsidR="00833724" w:rsidRPr="001B34D0" w:rsidRDefault="00833724" w:rsidP="00A92D87">
      <w:pPr>
        <w:numPr>
          <w:ilvl w:val="0"/>
          <w:numId w:val="60"/>
        </w:numPr>
        <w:suppressAutoHyphens/>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833724" w:rsidRPr="001B34D0" w:rsidRDefault="00833724" w:rsidP="00A92D87">
      <w:pPr>
        <w:spacing w:after="0" w:line="240" w:lineRule="auto"/>
        <w:ind w:left="360"/>
        <w:rPr>
          <w:rFonts w:eastAsia="Calibri" w:cs="Times New Roman"/>
        </w:rPr>
      </w:pPr>
    </w:p>
    <w:p w:rsidR="00833724" w:rsidRPr="001B34D0" w:rsidRDefault="00833724" w:rsidP="00A92D87">
      <w:pPr>
        <w:spacing w:after="0" w:line="240" w:lineRule="auto"/>
        <w:ind w:left="360"/>
        <w:rPr>
          <w:rFonts w:eastAsia="Calibri" w:cs="Times New Roman"/>
        </w:rPr>
      </w:pPr>
      <w:r w:rsidRPr="001B34D0">
        <w:rPr>
          <w:rFonts w:eastAsia="Calibri" w:cs="Times New Roman"/>
          <w:noProof/>
          <w:lang w:val="es-ES" w:eastAsia="es-ES"/>
        </w:rPr>
        <w:drawing>
          <wp:inline distT="0" distB="0" distL="0" distR="0">
            <wp:extent cx="5838825" cy="3257550"/>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3257550"/>
                    </a:xfrm>
                    <a:prstGeom prst="rect">
                      <a:avLst/>
                    </a:prstGeom>
                    <a:noFill/>
                    <a:ln>
                      <a:noFill/>
                    </a:ln>
                  </pic:spPr>
                </pic:pic>
              </a:graphicData>
            </a:graphic>
          </wp:inline>
        </w:drawing>
      </w:r>
    </w:p>
    <w:p w:rsidR="00833724" w:rsidRPr="001B34D0" w:rsidRDefault="00833724" w:rsidP="00A92D87">
      <w:pPr>
        <w:spacing w:after="0" w:line="240" w:lineRule="auto"/>
        <w:rPr>
          <w:rFonts w:eastAsia="Calibri" w:cs="Times New Roman"/>
        </w:rPr>
      </w:pPr>
      <w:r w:rsidRPr="001B34D0">
        <w:rPr>
          <w:rFonts w:eastAsia="Calibri" w:cs="Times New Roman"/>
        </w:rPr>
        <w:t xml:space="preserve">       FUENTE: SIVIGILA</w:t>
      </w:r>
    </w:p>
    <w:p w:rsidR="00833724" w:rsidRPr="001B34D0" w:rsidRDefault="00833724" w:rsidP="00A92D87">
      <w:pPr>
        <w:spacing w:after="0" w:line="240" w:lineRule="auto"/>
        <w:rPr>
          <w:rFonts w:eastAsia="Calibri" w:cs="Times New Roman"/>
        </w:rPr>
      </w:pPr>
    </w:p>
    <w:p w:rsidR="00AB2385" w:rsidRDefault="00AB2385">
      <w:pPr>
        <w:rPr>
          <w:rFonts w:eastAsia="Calibri" w:cs="Times New Roman"/>
        </w:rPr>
      </w:pPr>
      <w:r>
        <w:rPr>
          <w:rFonts w:eastAsia="Calibri" w:cs="Times New Roman"/>
        </w:rPr>
        <w:br w:type="page"/>
      </w:r>
    </w:p>
    <w:p w:rsidR="00833724" w:rsidRPr="001B34D0" w:rsidRDefault="00833724" w:rsidP="00A92D87">
      <w:pPr>
        <w:spacing w:after="0" w:line="240" w:lineRule="auto"/>
        <w:rPr>
          <w:rFonts w:eastAsia="Calibri" w:cs="Times New Roman"/>
        </w:rPr>
      </w:pPr>
    </w:p>
    <w:p w:rsidR="00833724" w:rsidRPr="001B34D0" w:rsidRDefault="00833724" w:rsidP="00A92D87">
      <w:pPr>
        <w:numPr>
          <w:ilvl w:val="0"/>
          <w:numId w:val="60"/>
        </w:numPr>
        <w:autoSpaceDE w:val="0"/>
        <w:autoSpaceDN w:val="0"/>
        <w:adjustRightInd w:val="0"/>
        <w:spacing w:after="0" w:line="240" w:lineRule="auto"/>
        <w:jc w:val="both"/>
        <w:rPr>
          <w:rFonts w:eastAsia="Calibri" w:cs="Arial"/>
          <w:b/>
          <w:color w:val="000000"/>
          <w:lang w:val="es-ES" w:eastAsia="es-ES"/>
        </w:rPr>
      </w:pPr>
      <w:r w:rsidRPr="001B34D0">
        <w:rPr>
          <w:rFonts w:eastAsia="Calibri" w:cs="Arial"/>
          <w:b/>
          <w:color w:val="000000"/>
          <w:lang w:val="es-ES" w:eastAsia="es-ES"/>
        </w:rPr>
        <w:t>Situación Encontrada:</w:t>
      </w:r>
    </w:p>
    <w:p w:rsidR="00833724" w:rsidRPr="001B34D0" w:rsidRDefault="00833724" w:rsidP="00A92D87">
      <w:pPr>
        <w:autoSpaceDE w:val="0"/>
        <w:autoSpaceDN w:val="0"/>
        <w:adjustRightInd w:val="0"/>
        <w:spacing w:after="0" w:line="240" w:lineRule="auto"/>
        <w:jc w:val="both"/>
        <w:rPr>
          <w:rFonts w:eastAsia="Calibri" w:cs="Arial"/>
          <w:b/>
          <w:color w:val="000000"/>
          <w:lang w:val="es-ES" w:eastAsia="es-ES"/>
        </w:rPr>
      </w:pPr>
    </w:p>
    <w:p w:rsidR="00833724" w:rsidRPr="001B34D0" w:rsidRDefault="00833724" w:rsidP="00A92D87">
      <w:pPr>
        <w:autoSpaceDE w:val="0"/>
        <w:autoSpaceDN w:val="0"/>
        <w:adjustRightInd w:val="0"/>
        <w:spacing w:after="0" w:line="240" w:lineRule="auto"/>
        <w:jc w:val="both"/>
        <w:rPr>
          <w:rFonts w:eastAsia="Calibri" w:cs="Arial"/>
          <w:color w:val="000000"/>
          <w:lang w:val="es-ES" w:eastAsia="es-ES"/>
        </w:rPr>
      </w:pPr>
      <w:r w:rsidRPr="001B34D0">
        <w:rPr>
          <w:rFonts w:eastAsia="Calibri" w:cs="Arial"/>
          <w:color w:val="000000"/>
          <w:lang w:val="es-ES" w:eastAsia="es-ES"/>
        </w:rPr>
        <w:t xml:space="preserve"> </w:t>
      </w:r>
      <w:r w:rsidRPr="001B34D0">
        <w:rPr>
          <w:rFonts w:eastAsia="Calibri" w:cs="Arial"/>
          <w:color w:val="111111"/>
          <w:lang w:val="es-ES" w:eastAsia="es-ES"/>
        </w:rPr>
        <w:t>La  prevalencia general de VIH/SIDA, estimada para Colombia es de 0.4%, con un  reporte  de notificación de 40.072 casos. Sin embargo, teniendo en cuenta otras fuentes de información, el sub - registro y el retardo en la notificación, se calcula que en la población entre 15 y 49 años, como grupo poblacional donde se concentra mayormente la infección, la prevalencia pudiese estar alrededor del 0.7%, con un estimado de 180.982 casos.</w:t>
      </w:r>
      <w:r w:rsidRPr="001B34D0">
        <w:rPr>
          <w:rFonts w:eastAsia="Calibri" w:cs="Arial"/>
          <w:color w:val="111111"/>
          <w:shd w:val="clear" w:color="auto" w:fill="FBFBF3"/>
          <w:lang w:val="es-ES" w:eastAsia="es-ES"/>
        </w:rPr>
        <w:t xml:space="preserve">  </w:t>
      </w:r>
      <w:r w:rsidRPr="001B34D0">
        <w:rPr>
          <w:rFonts w:eastAsia="Calibri" w:cs="Arial"/>
          <w:color w:val="000000"/>
          <w:lang w:val="es-ES" w:eastAsia="es-ES"/>
        </w:rPr>
        <w:t xml:space="preserve"> El análisis de las cifras permite objetivar la magnitud del riesgo de la epidemia del VIH para el país y la relación entre los casos de VIH y sida, y concluir sobre la necesidad de hacer todos los esfuerzos posibles para disminuir la transmisión del VIH. Es importante tener en cuenta las curvas de crecimiento de la infección por VIH/SIDA, por lo cual es necesario concentrar esfuerzos en el diagnóstico temprano, desmitificando la enfermedad y tratar de manera oportuna la infección para evitar su progresión hacia el sida, sus complicaciones y la muerte. Cualquier estimación resulta preocupante en términos de la incidencia y la prevalencia del VIH, pero no necesariamente en términos del sida y la muerte, si se logran importantes avances en diagnóstico temprano y el tratamiento oportuno y adecuado para evitar resistencias y frenar la progresión al sida. </w:t>
      </w:r>
    </w:p>
    <w:p w:rsidR="00833724" w:rsidRPr="001B34D0" w:rsidRDefault="00833724" w:rsidP="00A92D87">
      <w:pPr>
        <w:autoSpaceDE w:val="0"/>
        <w:autoSpaceDN w:val="0"/>
        <w:adjustRightInd w:val="0"/>
        <w:spacing w:after="0" w:line="240" w:lineRule="auto"/>
        <w:jc w:val="both"/>
        <w:rPr>
          <w:rFonts w:eastAsia="Calibri" w:cs="Arial"/>
          <w:color w:val="000000"/>
          <w:lang w:val="es-ES" w:eastAsia="es-ES"/>
        </w:rPr>
      </w:pPr>
    </w:p>
    <w:p w:rsidR="00833724" w:rsidRPr="001B34D0" w:rsidRDefault="00833724" w:rsidP="00A92D87">
      <w:pPr>
        <w:autoSpaceDE w:val="0"/>
        <w:autoSpaceDN w:val="0"/>
        <w:adjustRightInd w:val="0"/>
        <w:spacing w:after="0" w:line="240" w:lineRule="auto"/>
        <w:jc w:val="both"/>
        <w:rPr>
          <w:rFonts w:eastAsia="Calibri" w:cs="Arial"/>
          <w:color w:val="000000"/>
          <w:lang w:val="es-ES" w:eastAsia="es-ES"/>
        </w:rPr>
      </w:pPr>
      <w:r w:rsidRPr="001B34D0">
        <w:rPr>
          <w:rFonts w:eastAsia="Calibri" w:cs="Arial"/>
          <w:color w:val="000000"/>
          <w:lang w:val="es-ES" w:eastAsia="es-ES"/>
        </w:rPr>
        <w:t>En el municipio de Pasto para el 2014 se presentaron 52 casos  con una incidencia de 0.21. De estos casos, 17 son jóvenes entre 18 y 28 años, para un porcentaje de 32.6 %, lo cual evidencia que esta enfermedad también está afectando a la población joven del Municipio.</w:t>
      </w:r>
    </w:p>
    <w:p w:rsidR="00833724" w:rsidRPr="001B34D0" w:rsidRDefault="00833724" w:rsidP="00A92D87">
      <w:pPr>
        <w:spacing w:after="0" w:line="240" w:lineRule="auto"/>
        <w:jc w:val="both"/>
        <w:rPr>
          <w:rFonts w:eastAsia="Calibri" w:cs="Times New Roman"/>
          <w:b/>
        </w:rPr>
      </w:pPr>
    </w:p>
    <w:p w:rsidR="00833724" w:rsidRPr="001B34D0" w:rsidRDefault="00833724" w:rsidP="00A92D87">
      <w:pPr>
        <w:numPr>
          <w:ilvl w:val="0"/>
          <w:numId w:val="6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Insumos:</w:t>
      </w:r>
    </w:p>
    <w:p w:rsidR="00833724" w:rsidRPr="001B34D0" w:rsidRDefault="00833724" w:rsidP="00A92D87">
      <w:pPr>
        <w:spacing w:after="200" w:line="240" w:lineRule="auto"/>
        <w:jc w:val="both"/>
        <w:rPr>
          <w:rFonts w:eastAsia="Calibri" w:cs="Times New Roman"/>
          <w:b/>
        </w:rPr>
      </w:pPr>
      <w:r w:rsidRPr="001B34D0">
        <w:rPr>
          <w:rFonts w:eastAsia="Calibri" w:cs="Times New Roman"/>
          <w:b/>
        </w:rPr>
        <w:t xml:space="preserve"> </w:t>
      </w:r>
      <w:r w:rsidRPr="001B34D0">
        <w:rPr>
          <w:rFonts w:eastAsia="Calibri" w:cs="Times New Roman"/>
        </w:rPr>
        <w:t>La Secretaria Municipal de Salud de Pasto, Incluyo el indicador,  Incidencia de Infección por VIH en población de 15 a 49 años,  en los Planes de Desarrollo y Territorial de Salud del municipio, 2012 - 2015  y destino a la Prioridad de Sexualidad Derechos sexuales y derechos Reproductivos un total de</w:t>
      </w:r>
      <w:r w:rsidRPr="001B34D0">
        <w:rPr>
          <w:rFonts w:eastAsia="Times New Roman" w:cs="Calibri"/>
          <w:color w:val="000000"/>
          <w:lang w:eastAsia="es-CO"/>
        </w:rPr>
        <w:t xml:space="preserve"> </w:t>
      </w:r>
      <w:r w:rsidRPr="001B34D0">
        <w:rPr>
          <w:rFonts w:eastAsia="Times New Roman" w:cs="Calibri"/>
          <w:lang w:eastAsia="es-CO"/>
        </w:rPr>
        <w:t xml:space="preserve">$1.090.916.00, distribuidos así: año 2012, $278.849.398, año 2013  $ 278.849.398, año 2014, $308.169.560, año 2015 $ 225.048.400. </w:t>
      </w:r>
      <w:r w:rsidR="007C3396" w:rsidRPr="001B34D0">
        <w:rPr>
          <w:rFonts w:eastAsia="Calibri" w:cs="Times New Roman"/>
        </w:rPr>
        <w:t>Los</w:t>
      </w:r>
      <w:r w:rsidRPr="001B34D0">
        <w:rPr>
          <w:rFonts w:eastAsia="Calibri" w:cs="Times New Roman"/>
        </w:rPr>
        <w:t xml:space="preserve"> cuales se han invertido en el cumplimiento de las competencias de seguimiento, evaluación, vigilancia y control, asistencia técnica y articulación intersectorial en el marco de los componentes de dicha prioridad</w:t>
      </w:r>
      <w:r w:rsidR="007C3396" w:rsidRPr="001B34D0">
        <w:rPr>
          <w:rFonts w:eastAsia="Calibri" w:cs="Times New Roman"/>
        </w:rPr>
        <w:t>, promoción</w:t>
      </w:r>
      <w:r w:rsidRPr="001B34D0">
        <w:rPr>
          <w:rFonts w:eastAsia="Calibri" w:cs="Times New Roman"/>
        </w:rPr>
        <w:t xml:space="preserve"> y empoderamiento de los Derechos Sexuales y Reproductivos y la mejora de la atención </w:t>
      </w:r>
      <w:r w:rsidR="007C3396" w:rsidRPr="001B34D0">
        <w:rPr>
          <w:rFonts w:eastAsia="Calibri" w:cs="Times New Roman"/>
        </w:rPr>
        <w:t>de los</w:t>
      </w:r>
      <w:r w:rsidRPr="001B34D0">
        <w:rPr>
          <w:rFonts w:eastAsia="Calibri" w:cs="Times New Roman"/>
        </w:rPr>
        <w:t xml:space="preserve"> servicios de SSR. Adicional se cuenta con un equipo de profesionales contratistas disciplina: una médica referente del programa de ITS, VIH/SIDA,  2 enfermeras y una tecnóloga en promoción de la salud, quienes han apoyado el desarrollo de cada una de las actividades ejecutadas en el marco del Plan Operativo del Plan Territorial de Salud del Municipio. Además hay un contrato de acciones colectivas con Pasto Salud ESE, quienes con la asesoría de la Secretaria de Salud, lideran un proceso comunitario con organizaciones sociales para la formulación de una política pública de Salud Colectiva que contribuya al mejoramiento de la calidad de vida de la población del Municipio.</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numPr>
          <w:ilvl w:val="0"/>
          <w:numId w:val="6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spacing w:after="0" w:line="240" w:lineRule="auto"/>
        <w:jc w:val="both"/>
        <w:rPr>
          <w:rFonts w:eastAsia="Times New Roman" w:cs="Times New Roman"/>
          <w:lang w:val="es-ES" w:eastAsia="es-ES"/>
        </w:rPr>
      </w:pPr>
      <w:r w:rsidRPr="001B34D0">
        <w:rPr>
          <w:rFonts w:eastAsia="Times New Roman" w:cs="Times New Roman"/>
          <w:lang w:val="es-ES" w:eastAsia="es-ES"/>
        </w:rPr>
        <w:lastRenderedPageBreak/>
        <w:t xml:space="preserve">Ejecución acciones estratégicas  desde la Secretaria Municipal de Salud Prioridad SSR relacionadas con los seguimientos a Modelo de Gestión del Riesgo implementado por las EPS, que contribuya a la identificación de población vulnerable y se la canalice a los programas de promoción y prevención como el Programa de Detección de Alteraciones del Joven de 10 a 19 años, para el diagnóstico precoz de VIH y el tratamiento oportuno que evite la progresión del VIH a SIDA.-establecido en normas, guías y protocolos de la normatividad vigente del MSPS. También es importante el seguimiento que se realiza a las EPS, en el cumplimiento de la atención integral de sus afiliados VIH positivos.  </w:t>
      </w:r>
      <w:r w:rsidR="007C3396" w:rsidRPr="001B34D0">
        <w:rPr>
          <w:rFonts w:eastAsia="Times New Roman" w:cs="Times New Roman"/>
          <w:lang w:val="es-ES" w:eastAsia="es-ES"/>
        </w:rPr>
        <w:t>En</w:t>
      </w:r>
      <w:r w:rsidRPr="001B34D0">
        <w:rPr>
          <w:rFonts w:eastAsia="Times New Roman" w:cs="Times New Roman"/>
          <w:lang w:val="es-ES" w:eastAsia="es-ES"/>
        </w:rPr>
        <w:t xml:space="preserve"> el cumplimiento de indicadores A través de Sala Situacional lo </w:t>
      </w:r>
      <w:r w:rsidR="007C3396" w:rsidRPr="001B34D0">
        <w:rPr>
          <w:rFonts w:eastAsia="Times New Roman" w:cs="Times New Roman"/>
          <w:lang w:val="es-ES" w:eastAsia="es-ES"/>
        </w:rPr>
        <w:t>cual las</w:t>
      </w:r>
      <w:r w:rsidRPr="001B34D0">
        <w:rPr>
          <w:rFonts w:eastAsia="Times New Roman" w:cs="Times New Roman"/>
          <w:lang w:val="es-ES" w:eastAsia="es-ES"/>
        </w:rPr>
        <w:t xml:space="preserve"> motiva y obliga a realizar auditorías a sus IPS Contratadas para que presten un servicio de calidad que incluye la referencia a parto Institucional. Se ejecuta la estrategia de “Mapeo de Gestante” en las IPS de baja complejidad, con el objeto de monitorear permanentemente a las gestantes y lograr que su parto sea atendido en una Institución de </w:t>
      </w:r>
      <w:r w:rsidR="007C3396" w:rsidRPr="001B34D0">
        <w:rPr>
          <w:rFonts w:eastAsia="Times New Roman" w:cs="Times New Roman"/>
          <w:lang w:val="es-ES" w:eastAsia="es-ES"/>
        </w:rPr>
        <w:t>salud.</w:t>
      </w:r>
      <w:r w:rsidR="007C3396" w:rsidRPr="001B34D0">
        <w:rPr>
          <w:rFonts w:eastAsia="Times New Roman" w:cs="Arial"/>
          <w:lang w:val="es-ES"/>
        </w:rPr>
        <w:t xml:space="preserve"> También</w:t>
      </w:r>
      <w:r w:rsidRPr="001B34D0">
        <w:rPr>
          <w:rFonts w:eastAsia="Times New Roman" w:cs="Arial"/>
          <w:lang w:val="es-ES"/>
        </w:rPr>
        <w:t xml:space="preserve"> se desarrolla el Plan de Intervenciones </w:t>
      </w:r>
      <w:r w:rsidR="007C3396" w:rsidRPr="001B34D0">
        <w:rPr>
          <w:rFonts w:eastAsia="Times New Roman" w:cs="Arial"/>
          <w:lang w:val="es-ES"/>
        </w:rPr>
        <w:t>colectivas a</w:t>
      </w:r>
      <w:r w:rsidRPr="001B34D0">
        <w:rPr>
          <w:rFonts w:eastAsia="Times New Roman" w:cs="Arial"/>
          <w:lang w:val="es-ES"/>
        </w:rPr>
        <w:t xml:space="preserve"> </w:t>
      </w:r>
      <w:r w:rsidR="007C3396" w:rsidRPr="001B34D0">
        <w:rPr>
          <w:rFonts w:eastAsia="Times New Roman" w:cs="Arial"/>
          <w:lang w:val="es-ES"/>
        </w:rPr>
        <w:t>través de</w:t>
      </w:r>
      <w:r w:rsidRPr="001B34D0">
        <w:rPr>
          <w:rFonts w:eastAsia="Times New Roman" w:cs="Arial"/>
          <w:lang w:val="es-ES"/>
        </w:rPr>
        <w:t xml:space="preserve"> la estrategia de Movilización Social “Ciudad Bienestar</w:t>
      </w:r>
      <w:r w:rsidR="007C3396" w:rsidRPr="001B34D0">
        <w:rPr>
          <w:rFonts w:eastAsia="Times New Roman" w:cs="Arial"/>
          <w:lang w:val="es-ES"/>
        </w:rPr>
        <w:t>” con</w:t>
      </w:r>
      <w:r w:rsidRPr="001B34D0">
        <w:rPr>
          <w:rFonts w:eastAsia="Times New Roman" w:cs="Arial"/>
          <w:lang w:val="es-ES"/>
        </w:rPr>
        <w:t xml:space="preserve"> perspectiva de derechos, para el empoderamiento de la comunidad hacia el cuidado de su salud.</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6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Productos: </w:t>
      </w:r>
    </w:p>
    <w:p w:rsidR="00833724" w:rsidRPr="001B34D0" w:rsidRDefault="00833724" w:rsidP="00A92D87">
      <w:pPr>
        <w:suppressAutoHyphens/>
        <w:spacing w:after="0" w:line="240" w:lineRule="auto"/>
        <w:ind w:left="360"/>
        <w:contextualSpacing/>
        <w:jc w:val="both"/>
        <w:rPr>
          <w:rFonts w:eastAsia="Times New Roman" w:cs="Arial"/>
          <w:color w:val="000000"/>
          <w:lang w:val="es-ES" w:eastAsia="ar-SA"/>
        </w:rPr>
      </w:pPr>
    </w:p>
    <w:p w:rsidR="00833724" w:rsidRPr="001B34D0" w:rsidRDefault="00833724" w:rsidP="00A92D87">
      <w:pPr>
        <w:numPr>
          <w:ilvl w:val="0"/>
          <w:numId w:val="1"/>
        </w:numPr>
        <w:spacing w:after="0" w:line="240" w:lineRule="auto"/>
        <w:contextualSpacing/>
        <w:jc w:val="both"/>
        <w:rPr>
          <w:rFonts w:eastAsia="Times New Roman" w:cs="Arial"/>
          <w:b/>
          <w:bCs/>
          <w:color w:val="000000"/>
          <w:lang w:val="es-ES_tradnl" w:eastAsia="es-ES"/>
        </w:rPr>
      </w:pPr>
      <w:r w:rsidRPr="001B34D0">
        <w:rPr>
          <w:rFonts w:eastAsia="Times New Roman" w:cs="Arial"/>
          <w:color w:val="000000"/>
          <w:lang w:val="es-ES" w:eastAsia="ar-SA"/>
        </w:rPr>
        <w:t>Política pública  Nacional de Sexualidad, Derechos Sexuales y Derechos Reproductivos implementada y operando a nivel de los actores del SGSSS, en el Municipio de Pasto.</w:t>
      </w:r>
    </w:p>
    <w:p w:rsidR="00833724" w:rsidRPr="001B34D0" w:rsidRDefault="00833724" w:rsidP="00A92D87">
      <w:pPr>
        <w:numPr>
          <w:ilvl w:val="0"/>
          <w:numId w:val="1"/>
        </w:numPr>
        <w:autoSpaceDE w:val="0"/>
        <w:autoSpaceDN w:val="0"/>
        <w:adjustRightInd w:val="0"/>
        <w:spacing w:after="0" w:line="240" w:lineRule="auto"/>
        <w:jc w:val="both"/>
        <w:rPr>
          <w:rFonts w:eastAsia="Calibri" w:cs="Arial"/>
          <w:b/>
        </w:rPr>
      </w:pPr>
      <w:r w:rsidRPr="001B34D0">
        <w:rPr>
          <w:rFonts w:eastAsia="Calibri" w:cs="Arial"/>
          <w:color w:val="000000"/>
        </w:rPr>
        <w:t xml:space="preserve">Lograda la adherencia a  la  </w:t>
      </w:r>
      <w:r w:rsidRPr="001B34D0">
        <w:rPr>
          <w:rFonts w:eastAsia="Calibri" w:cs="Candara"/>
          <w:lang w:eastAsia="es-CO"/>
        </w:rPr>
        <w:t>Guía de Práctica Clínica (GPC) Basada en la Evidencia   Científica Para la Atención de la Infección por VIH/Sida  en Adolescentes (con  13 años o más de edad) y adultos.</w:t>
      </w:r>
    </w:p>
    <w:p w:rsidR="00833724" w:rsidRPr="001B34D0" w:rsidRDefault="00833724" w:rsidP="00A92D87">
      <w:pPr>
        <w:numPr>
          <w:ilvl w:val="0"/>
          <w:numId w:val="1"/>
        </w:numPr>
        <w:spacing w:after="0" w:line="240" w:lineRule="auto"/>
        <w:jc w:val="both"/>
        <w:rPr>
          <w:rFonts w:eastAsia="Calibri" w:cs="Arial"/>
          <w:b/>
        </w:rPr>
      </w:pPr>
      <w:r w:rsidRPr="001B34D0">
        <w:rPr>
          <w:rFonts w:eastAsia="Calibri" w:cs="Arial"/>
          <w:color w:val="000000"/>
        </w:rPr>
        <w:t xml:space="preserve">Implementada la estrategia de movilización social para el empoderamiento de la comunidad en el cuidado de la salud. </w:t>
      </w:r>
    </w:p>
    <w:p w:rsidR="00833724" w:rsidRPr="001B34D0" w:rsidRDefault="00833724" w:rsidP="00A92D87">
      <w:pPr>
        <w:suppressAutoHyphens/>
        <w:spacing w:after="0" w:line="240" w:lineRule="auto"/>
        <w:ind w:left="360"/>
        <w:contextualSpacing/>
        <w:jc w:val="both"/>
        <w:rPr>
          <w:rFonts w:eastAsia="Times New Roman" w:cs="Times New Roman"/>
          <w:lang w:val="es-ES" w:eastAsia="ar-SA"/>
        </w:rPr>
      </w:pPr>
    </w:p>
    <w:p w:rsidR="00833724" w:rsidRPr="001B34D0" w:rsidRDefault="00833724" w:rsidP="00A92D87">
      <w:pPr>
        <w:numPr>
          <w:ilvl w:val="0"/>
          <w:numId w:val="60"/>
        </w:numPr>
        <w:spacing w:after="200" w:line="240" w:lineRule="auto"/>
        <w:contextualSpacing/>
        <w:jc w:val="both"/>
        <w:rPr>
          <w:rFonts w:eastAsia="Times New Roman" w:cs="Times New Roman"/>
          <w:b/>
          <w:lang w:val="es-ES" w:eastAsia="ar-SA"/>
        </w:rPr>
      </w:pPr>
      <w:r w:rsidRPr="001B34D0">
        <w:rPr>
          <w:rFonts w:eastAsia="Times New Roman" w:cs="Times New Roman"/>
          <w:b/>
          <w:lang w:val="es-ES" w:eastAsia="ar-SA"/>
        </w:rPr>
        <w:t>Resultados al término de la gestión  (2012 -2014):</w:t>
      </w:r>
    </w:p>
    <w:p w:rsidR="00833724" w:rsidRPr="001B34D0" w:rsidRDefault="00833724" w:rsidP="00A92D87">
      <w:pPr>
        <w:suppressAutoHyphens/>
        <w:spacing w:line="240" w:lineRule="auto"/>
        <w:ind w:left="720"/>
        <w:contextualSpacing/>
        <w:jc w:val="both"/>
        <w:rPr>
          <w:rFonts w:eastAsia="Times New Roman" w:cs="Times New Roman"/>
          <w:lang w:val="es-ES" w:eastAsia="ar-SA"/>
        </w:rPr>
      </w:pPr>
    </w:p>
    <w:p w:rsidR="00833724" w:rsidRPr="001B34D0" w:rsidRDefault="00833724" w:rsidP="00A92D87">
      <w:pPr>
        <w:numPr>
          <w:ilvl w:val="0"/>
          <w:numId w:val="12"/>
        </w:numPr>
        <w:spacing w:after="200" w:line="240" w:lineRule="auto"/>
        <w:contextualSpacing/>
        <w:jc w:val="both"/>
        <w:rPr>
          <w:rFonts w:eastAsia="Times New Roman" w:cs="Times New Roman"/>
          <w:lang w:val="es-ES" w:eastAsia="ar-SA"/>
        </w:rPr>
      </w:pPr>
      <w:r w:rsidRPr="001B34D0">
        <w:rPr>
          <w:rFonts w:eastAsia="Times New Roman" w:cs="Times New Roman"/>
          <w:lang w:val="es-ES" w:eastAsia="ar-SA"/>
        </w:rPr>
        <w:t>Incidencia de VIH en población de 15 a 49 años 0.02 por 100.000 hb</w:t>
      </w:r>
      <w:r w:rsidRPr="001B34D0">
        <w:rPr>
          <w:rFonts w:eastAsia="Times New Roman" w:cs="Times New Roman"/>
          <w:b/>
          <w:lang w:val="es-ES" w:eastAsia="ar-SA"/>
        </w:rPr>
        <w:t>.</w:t>
      </w:r>
      <w:r w:rsidRPr="001B34D0">
        <w:rPr>
          <w:rFonts w:eastAsia="Times New Roman" w:cs="Times New Roman"/>
          <w:lang w:val="es-ES" w:eastAsia="ar-SA"/>
        </w:rPr>
        <w:t xml:space="preserve"> </w:t>
      </w:r>
    </w:p>
    <w:p w:rsidR="00833724" w:rsidRPr="001B34D0" w:rsidRDefault="00833724" w:rsidP="00A92D87">
      <w:pPr>
        <w:numPr>
          <w:ilvl w:val="0"/>
          <w:numId w:val="12"/>
        </w:numPr>
        <w:spacing w:after="200" w:line="240" w:lineRule="auto"/>
        <w:contextualSpacing/>
        <w:jc w:val="both"/>
        <w:rPr>
          <w:rFonts w:eastAsia="Times New Roman" w:cs="Times New Roman"/>
          <w:lang w:val="es-ES" w:eastAsia="ar-SA"/>
        </w:rPr>
      </w:pPr>
      <w:r w:rsidRPr="001B34D0">
        <w:rPr>
          <w:rFonts w:eastAsia="Times New Roman" w:cs="Times New Roman"/>
          <w:lang w:val="es-ES" w:eastAsia="ar-SA"/>
        </w:rPr>
        <w:t>Plan de Respuesta Positiva al VIH, implementado en el Municipio.</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numPr>
          <w:ilvl w:val="0"/>
          <w:numId w:val="60"/>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Impacto: </w:t>
      </w:r>
    </w:p>
    <w:p w:rsidR="00833724" w:rsidRPr="001B34D0" w:rsidRDefault="00833724" w:rsidP="00A92D87">
      <w:pPr>
        <w:suppressAutoHyphens/>
        <w:spacing w:after="0" w:line="240" w:lineRule="auto"/>
        <w:ind w:left="360"/>
        <w:contextualSpacing/>
        <w:jc w:val="both"/>
        <w:rPr>
          <w:rFonts w:eastAsia="Times New Roman" w:cs="Times New Roman"/>
          <w:b/>
          <w:lang w:val="es-ES" w:eastAsia="ar-SA"/>
        </w:rPr>
      </w:pPr>
    </w:p>
    <w:p w:rsidR="00833724" w:rsidRPr="001B34D0" w:rsidRDefault="00833724" w:rsidP="00A92D87">
      <w:pPr>
        <w:numPr>
          <w:ilvl w:val="0"/>
          <w:numId w:val="12"/>
        </w:numPr>
        <w:spacing w:after="200" w:line="240" w:lineRule="auto"/>
        <w:jc w:val="both"/>
        <w:rPr>
          <w:rFonts w:eastAsia="Calibri" w:cs="Times New Roman"/>
        </w:rPr>
      </w:pPr>
      <w:r w:rsidRPr="001B34D0">
        <w:rPr>
          <w:rFonts w:eastAsia="Calibri" w:cs="Times New Roman"/>
        </w:rPr>
        <w:t>Positivo: Se mantienen el indicador de acuerdo a la meta de cuatrienio en Plan de Desarrollo y Territorial  2012 – 2013,  menor  a 1 por 100.00 Hb.</w:t>
      </w:r>
    </w:p>
    <w:p w:rsidR="00833724" w:rsidRPr="001B34D0" w:rsidRDefault="00833724" w:rsidP="00A92D87">
      <w:pPr>
        <w:spacing w:after="200" w:line="240" w:lineRule="auto"/>
        <w:jc w:val="both"/>
        <w:rPr>
          <w:rFonts w:eastAsia="Calibri" w:cs="Times New Roman"/>
          <w:b/>
        </w:rPr>
      </w:pPr>
      <w:r w:rsidRPr="001B34D0">
        <w:rPr>
          <w:rFonts w:eastAsia="Calibri" w:cs="Times New Roman"/>
          <w:b/>
        </w:rPr>
        <w:t xml:space="preserve"> 8.- Prioridades</w:t>
      </w:r>
    </w:p>
    <w:p w:rsidR="00833724" w:rsidRPr="001B34D0" w:rsidRDefault="00833724" w:rsidP="00A92D87">
      <w:pPr>
        <w:spacing w:after="200" w:line="240" w:lineRule="auto"/>
        <w:jc w:val="both"/>
        <w:rPr>
          <w:rFonts w:eastAsia="Calibri" w:cs="Times New Roman"/>
        </w:rPr>
      </w:pPr>
      <w:r w:rsidRPr="001B34D0">
        <w:rPr>
          <w:rFonts w:eastAsia="Calibri" w:cs="Times New Roman"/>
        </w:rPr>
        <w:t>Es prioridad para el municipio mantener estos indicadores de impacto fortaleciendo y dando continuidad a los programas y estrategias que permitieron lograrlo, apoyados en la normatividad vigente, la coordinación Institucional e intersectorial y transectorial y Movilización Social,  en el marco de Plan Decenal 2012 – 2021.</w:t>
      </w:r>
    </w:p>
    <w:p w:rsidR="00833724" w:rsidRPr="001B34D0" w:rsidRDefault="00833724" w:rsidP="00A92D87">
      <w:pPr>
        <w:spacing w:after="200" w:line="240" w:lineRule="auto"/>
        <w:jc w:val="both"/>
        <w:rPr>
          <w:rFonts w:eastAsia="Calibri" w:cs="Times New Roman"/>
          <w:b/>
        </w:rPr>
      </w:pPr>
      <w:r w:rsidRPr="001B34D0">
        <w:rPr>
          <w:rFonts w:eastAsia="Calibri" w:cs="Times New Roman"/>
          <w:b/>
        </w:rPr>
        <w:t>9.- Recomendaciones</w:t>
      </w:r>
    </w:p>
    <w:p w:rsidR="00833724" w:rsidRPr="001B34D0" w:rsidRDefault="00833724" w:rsidP="00A92D87">
      <w:pPr>
        <w:numPr>
          <w:ilvl w:val="0"/>
          <w:numId w:val="59"/>
        </w:numPr>
        <w:spacing w:after="0" w:line="240" w:lineRule="auto"/>
        <w:ind w:left="714" w:hanging="357"/>
        <w:jc w:val="both"/>
        <w:rPr>
          <w:rFonts w:eastAsia="Calibri" w:cs="Times New Roman"/>
        </w:rPr>
      </w:pPr>
      <w:r w:rsidRPr="001B34D0">
        <w:rPr>
          <w:rFonts w:eastAsia="Calibri" w:cs="Times New Roman"/>
        </w:rPr>
        <w:lastRenderedPageBreak/>
        <w:t>Implementar y monitorear la  ejecución de la Política Nacional de Sexualidad, DSDR de Ministerio de Salud y Protección Social en el  Municipio de Pasto.</w:t>
      </w:r>
    </w:p>
    <w:p w:rsidR="00833724" w:rsidRPr="001B34D0" w:rsidRDefault="00833724" w:rsidP="00A92D87">
      <w:pPr>
        <w:numPr>
          <w:ilvl w:val="0"/>
          <w:numId w:val="59"/>
        </w:numPr>
        <w:spacing w:after="0" w:line="240" w:lineRule="auto"/>
        <w:ind w:left="714" w:hanging="357"/>
        <w:jc w:val="both"/>
        <w:rPr>
          <w:rFonts w:eastAsia="Calibri" w:cs="Times New Roman"/>
        </w:rPr>
      </w:pPr>
      <w:r w:rsidRPr="001B34D0">
        <w:rPr>
          <w:rFonts w:eastAsia="Calibri" w:cs="Times New Roman"/>
        </w:rPr>
        <w:t>Planear y ejecutar POA, SSR CON LOS LINEAMIENTOS DE Plan decenal 2012 – 2021.</w:t>
      </w:r>
    </w:p>
    <w:p w:rsidR="00833724" w:rsidRPr="001B34D0" w:rsidRDefault="00833724" w:rsidP="00A92D87">
      <w:pPr>
        <w:spacing w:line="240" w:lineRule="auto"/>
        <w:rPr>
          <w:rFonts w:eastAsia="Calibri" w:cs="Times New Roman"/>
        </w:rPr>
      </w:pPr>
      <w:r w:rsidRPr="001B34D0">
        <w:rPr>
          <w:rFonts w:eastAsia="Calibri" w:cs="Times New Roman"/>
        </w:rPr>
        <w:t>Fortalecer el Sistema de información de SSR, con SISPRO del MSPS</w:t>
      </w:r>
    </w:p>
    <w:p w:rsidR="00833724" w:rsidRPr="001B34D0" w:rsidRDefault="00833724"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156</w:t>
      </w:r>
    </w:p>
    <w:tbl>
      <w:tblPr>
        <w:tblStyle w:val="Tabladecuadrcula2-nfasis5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833724"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833724" w:rsidRPr="001B34D0" w:rsidRDefault="00833724" w:rsidP="00A92D87">
            <w:r w:rsidRPr="001B34D0">
              <w:t>MUNICIPIO:  PASTO</w:t>
            </w:r>
          </w:p>
        </w:tc>
      </w:tr>
      <w:tr w:rsidR="00833724" w:rsidRPr="001B34D0" w:rsidTr="00000F81">
        <w:trPr>
          <w:cnfStyle w:val="000000100000"/>
          <w:trHeight w:val="579"/>
          <w:jc w:val="center"/>
        </w:trPr>
        <w:tc>
          <w:tcPr>
            <w:cnfStyle w:val="001000000000"/>
            <w:tcW w:w="8828" w:type="dxa"/>
          </w:tcPr>
          <w:p w:rsidR="00833724" w:rsidRPr="001B34D0" w:rsidRDefault="00833724" w:rsidP="00A92D87">
            <w:r w:rsidRPr="001B34D0">
              <w:t>Nombre del indicador Porcentaje de jóvenes (18 - 28 años) víctimas de pérdida de bienes muebles o inmuebles</w:t>
            </w:r>
          </w:p>
        </w:tc>
      </w:tr>
      <w:tr w:rsidR="00833724" w:rsidRPr="001B34D0" w:rsidTr="00000F81">
        <w:trPr>
          <w:trHeight w:val="332"/>
          <w:jc w:val="center"/>
        </w:trPr>
        <w:tc>
          <w:tcPr>
            <w:cnfStyle w:val="001000000000"/>
            <w:tcW w:w="8828" w:type="dxa"/>
          </w:tcPr>
          <w:p w:rsidR="00833724" w:rsidRPr="001B34D0" w:rsidRDefault="00833724" w:rsidP="00A92D87">
            <w:r w:rsidRPr="001B34D0">
              <w:t xml:space="preserve">Fuente Nacional: </w:t>
            </w:r>
          </w:p>
          <w:p w:rsidR="00833724" w:rsidRPr="001B34D0" w:rsidRDefault="00833724" w:rsidP="00A92D87">
            <w:r w:rsidRPr="001B34D0">
              <w:t>Otra Fuente: UNIDAD DE VICTIMAS Y RED NACIONAL DE INFORMACION</w:t>
            </w:r>
          </w:p>
        </w:tc>
      </w:tr>
      <w:tr w:rsidR="00833724" w:rsidRPr="001B34D0" w:rsidTr="00000F81">
        <w:trPr>
          <w:cnfStyle w:val="000000100000"/>
          <w:trHeight w:val="458"/>
          <w:jc w:val="center"/>
        </w:trPr>
        <w:tc>
          <w:tcPr>
            <w:cnfStyle w:val="001000000000"/>
            <w:tcW w:w="8828" w:type="dxa"/>
          </w:tcPr>
          <w:p w:rsidR="00833724" w:rsidRPr="001B34D0" w:rsidRDefault="00833724" w:rsidP="00A92D87">
            <w:r w:rsidRPr="001B34D0">
              <w:t>Categoría de derechos: Derecho a la Propiedad: uso goce, disfrute y disposición de sus bienes</w:t>
            </w:r>
          </w:p>
        </w:tc>
      </w:tr>
      <w:tr w:rsidR="00833724" w:rsidRPr="001B34D0" w:rsidTr="00000F81">
        <w:trPr>
          <w:trHeight w:val="458"/>
          <w:jc w:val="center"/>
        </w:trPr>
        <w:tc>
          <w:tcPr>
            <w:cnfStyle w:val="001000000000"/>
            <w:tcW w:w="8828" w:type="dxa"/>
          </w:tcPr>
          <w:p w:rsidR="00833724" w:rsidRPr="001B34D0" w:rsidRDefault="00833724" w:rsidP="00A92D87">
            <w:r w:rsidRPr="001B34D0">
              <w:t>Metodología: Análisis de la información a partir de la cadena de resultados</w:t>
            </w:r>
          </w:p>
        </w:tc>
      </w:tr>
    </w:tbl>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Información estadística</w:t>
      </w:r>
    </w:p>
    <w:p w:rsidR="00833724" w:rsidRPr="001B34D0" w:rsidRDefault="00833724" w:rsidP="00A92D87">
      <w:pPr>
        <w:spacing w:after="0" w:line="240" w:lineRule="auto"/>
        <w:contextualSpacing/>
        <w:rPr>
          <w:rFonts w:eastAsia="Times New Roman" w:cs="Times New Roman"/>
          <w:b/>
          <w:lang w:eastAsia="es-CO"/>
        </w:rPr>
      </w:pPr>
    </w:p>
    <w:tbl>
      <w:tblPr>
        <w:tblStyle w:val="Tablaconcuadrcula5"/>
        <w:tblW w:w="0" w:type="auto"/>
        <w:tblInd w:w="-431" w:type="dxa"/>
        <w:tblLook w:val="04A0"/>
      </w:tblPr>
      <w:tblGrid>
        <w:gridCol w:w="2196"/>
        <w:gridCol w:w="1765"/>
        <w:gridCol w:w="1766"/>
        <w:gridCol w:w="1766"/>
        <w:gridCol w:w="1766"/>
      </w:tblGrid>
      <w:tr w:rsidR="00833724" w:rsidRPr="001B34D0" w:rsidTr="00000F81">
        <w:tc>
          <w:tcPr>
            <w:tcW w:w="2196" w:type="dxa"/>
          </w:tcPr>
          <w:p w:rsidR="00833724" w:rsidRPr="001B34D0" w:rsidRDefault="00833724" w:rsidP="00A92D87">
            <w:pPr>
              <w:jc w:val="center"/>
              <w:rPr>
                <w:b/>
              </w:rPr>
            </w:pPr>
            <w:r w:rsidRPr="001B34D0">
              <w:rPr>
                <w:b/>
              </w:rPr>
              <w:t>Indicador</w:t>
            </w:r>
          </w:p>
        </w:tc>
        <w:tc>
          <w:tcPr>
            <w:tcW w:w="1765" w:type="dxa"/>
          </w:tcPr>
          <w:p w:rsidR="00833724" w:rsidRPr="001B34D0" w:rsidRDefault="00833724" w:rsidP="00A92D87">
            <w:pPr>
              <w:jc w:val="center"/>
              <w:rPr>
                <w:b/>
              </w:rPr>
            </w:pPr>
            <w:r w:rsidRPr="001B34D0">
              <w:rPr>
                <w:b/>
              </w:rPr>
              <w:t>2011</w:t>
            </w:r>
          </w:p>
        </w:tc>
        <w:tc>
          <w:tcPr>
            <w:tcW w:w="1766" w:type="dxa"/>
          </w:tcPr>
          <w:p w:rsidR="00833724" w:rsidRPr="001B34D0" w:rsidRDefault="00833724" w:rsidP="00A92D87">
            <w:pPr>
              <w:jc w:val="center"/>
              <w:rPr>
                <w:b/>
              </w:rPr>
            </w:pPr>
            <w:r w:rsidRPr="001B34D0">
              <w:rPr>
                <w:b/>
              </w:rPr>
              <w:t>2012</w:t>
            </w:r>
          </w:p>
        </w:tc>
        <w:tc>
          <w:tcPr>
            <w:tcW w:w="1766" w:type="dxa"/>
          </w:tcPr>
          <w:p w:rsidR="00833724" w:rsidRPr="001B34D0" w:rsidRDefault="00833724" w:rsidP="00A92D87">
            <w:pPr>
              <w:jc w:val="center"/>
              <w:rPr>
                <w:b/>
              </w:rPr>
            </w:pPr>
            <w:r w:rsidRPr="001B34D0">
              <w:rPr>
                <w:b/>
              </w:rPr>
              <w:t>2013</w:t>
            </w:r>
          </w:p>
        </w:tc>
        <w:tc>
          <w:tcPr>
            <w:tcW w:w="1766" w:type="dxa"/>
          </w:tcPr>
          <w:p w:rsidR="00833724" w:rsidRPr="001B34D0" w:rsidRDefault="00833724" w:rsidP="00A92D87">
            <w:pPr>
              <w:jc w:val="center"/>
              <w:rPr>
                <w:b/>
              </w:rPr>
            </w:pPr>
            <w:r w:rsidRPr="001B34D0">
              <w:rPr>
                <w:b/>
              </w:rPr>
              <w:t>2014</w:t>
            </w:r>
          </w:p>
        </w:tc>
      </w:tr>
      <w:tr w:rsidR="00833724" w:rsidRPr="001B34D0" w:rsidTr="00000F81">
        <w:tc>
          <w:tcPr>
            <w:tcW w:w="2196" w:type="dxa"/>
          </w:tcPr>
          <w:p w:rsidR="00833724" w:rsidRPr="001B34D0" w:rsidRDefault="00833724" w:rsidP="00A92D87">
            <w:r w:rsidRPr="001B34D0">
              <w:t>Porcentaje de jóvenes (18 - 28 años) víctimas de pérdida de bienes muebles o inmuebles</w:t>
            </w:r>
          </w:p>
        </w:tc>
        <w:tc>
          <w:tcPr>
            <w:tcW w:w="1765" w:type="dxa"/>
          </w:tcPr>
          <w:p w:rsidR="00833724" w:rsidRPr="001B34D0" w:rsidRDefault="00833724" w:rsidP="00A92D87">
            <w:pPr>
              <w:jc w:val="center"/>
            </w:pPr>
          </w:p>
          <w:p w:rsidR="00833724" w:rsidRPr="001B34D0" w:rsidRDefault="00833724" w:rsidP="00A92D87">
            <w:pPr>
              <w:jc w:val="center"/>
            </w:pPr>
            <w:r w:rsidRPr="001B34D0">
              <w:t>5</w:t>
            </w:r>
          </w:p>
        </w:tc>
        <w:tc>
          <w:tcPr>
            <w:tcW w:w="1766" w:type="dxa"/>
          </w:tcPr>
          <w:p w:rsidR="00833724" w:rsidRPr="001B34D0" w:rsidRDefault="00833724" w:rsidP="00A92D87">
            <w:pPr>
              <w:jc w:val="center"/>
            </w:pPr>
          </w:p>
          <w:p w:rsidR="00833724" w:rsidRPr="001B34D0" w:rsidRDefault="00833724" w:rsidP="00A92D87">
            <w:pPr>
              <w:jc w:val="center"/>
            </w:pPr>
            <w:r w:rsidRPr="001B34D0">
              <w:t>3</w:t>
            </w:r>
          </w:p>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r w:rsidRPr="001B34D0">
              <w:t>1</w:t>
            </w:r>
          </w:p>
          <w:tbl>
            <w:tblPr>
              <w:tblW w:w="1200" w:type="dxa"/>
              <w:tblCellMar>
                <w:left w:w="70" w:type="dxa"/>
                <w:right w:w="70" w:type="dxa"/>
              </w:tblCellMar>
              <w:tblLook w:val="04A0"/>
            </w:tblPr>
            <w:tblGrid>
              <w:gridCol w:w="1200"/>
            </w:tblGrid>
            <w:tr w:rsidR="00833724" w:rsidRPr="001B34D0" w:rsidTr="00000F81">
              <w:trPr>
                <w:trHeight w:val="315"/>
              </w:trPr>
              <w:tc>
                <w:tcPr>
                  <w:tcW w:w="1200" w:type="dxa"/>
                  <w:tcBorders>
                    <w:top w:val="single" w:sz="8" w:space="0" w:color="E8EEF4"/>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center"/>
                    <w:rPr>
                      <w:rFonts w:eastAsia="Times New Roman" w:cs="Arial"/>
                      <w:color w:val="000000"/>
                      <w:lang w:eastAsia="es-CO"/>
                    </w:rPr>
                  </w:pPr>
                </w:p>
              </w:tc>
            </w:tr>
          </w:tbl>
          <w:p w:rsidR="00833724" w:rsidRPr="001B34D0" w:rsidRDefault="00833724" w:rsidP="00A92D87">
            <w:pPr>
              <w:jc w:val="center"/>
            </w:pPr>
          </w:p>
        </w:tc>
        <w:tc>
          <w:tcPr>
            <w:tcW w:w="1766" w:type="dxa"/>
          </w:tcPr>
          <w:p w:rsidR="00833724" w:rsidRPr="001B34D0" w:rsidRDefault="00833724" w:rsidP="00A92D87">
            <w:pPr>
              <w:jc w:val="center"/>
            </w:pPr>
          </w:p>
          <w:p w:rsidR="00833724" w:rsidRPr="001B34D0" w:rsidRDefault="00833724" w:rsidP="00A92D87">
            <w:pPr>
              <w:jc w:val="center"/>
            </w:pPr>
            <w:r w:rsidRPr="001B34D0">
              <w:t>2</w:t>
            </w:r>
          </w:p>
        </w:tc>
      </w:tr>
      <w:tr w:rsidR="00833724" w:rsidRPr="001B34D0" w:rsidTr="00000F81">
        <w:tc>
          <w:tcPr>
            <w:tcW w:w="9259" w:type="dxa"/>
            <w:gridSpan w:val="5"/>
          </w:tcPr>
          <w:p w:rsidR="00833724" w:rsidRPr="001B34D0" w:rsidRDefault="00833724" w:rsidP="00A92D87">
            <w:pPr>
              <w:rPr>
                <w:b/>
              </w:rPr>
            </w:pPr>
            <w:r w:rsidRPr="001B34D0">
              <w:rPr>
                <w:b/>
              </w:rPr>
              <w:t>Fuente y año:  UNIDAD DE VICTIMAS</w:t>
            </w:r>
          </w:p>
        </w:tc>
      </w:tr>
    </w:tbl>
    <w:p w:rsidR="00833724" w:rsidRPr="001B34D0" w:rsidRDefault="00833724" w:rsidP="00A92D87">
      <w:pPr>
        <w:spacing w:line="240" w:lineRule="auto"/>
        <w:rPr>
          <w:b/>
        </w:rPr>
      </w:pPr>
    </w:p>
    <w:p w:rsidR="00833724" w:rsidRPr="001B34D0" w:rsidRDefault="00833724" w:rsidP="00A92D87">
      <w:pPr>
        <w:spacing w:line="240" w:lineRule="auto"/>
        <w:rPr>
          <w:b/>
        </w:rPr>
      </w:pPr>
      <w:r w:rsidRPr="001B34D0">
        <w:rPr>
          <w:b/>
        </w:rPr>
        <w:t xml:space="preserve">Gráfico: </w:t>
      </w:r>
    </w:p>
    <w:p w:rsidR="00833724" w:rsidRPr="001B34D0" w:rsidRDefault="00833724" w:rsidP="00A92D87">
      <w:pPr>
        <w:spacing w:line="240" w:lineRule="auto"/>
        <w:rPr>
          <w:b/>
        </w:rPr>
      </w:pPr>
    </w:p>
    <w:tbl>
      <w:tblPr>
        <w:tblW w:w="7561" w:type="dxa"/>
        <w:tblInd w:w="55" w:type="dxa"/>
        <w:tblCellMar>
          <w:left w:w="70" w:type="dxa"/>
          <w:right w:w="70" w:type="dxa"/>
        </w:tblCellMar>
        <w:tblLook w:val="04A0"/>
      </w:tblPr>
      <w:tblGrid>
        <w:gridCol w:w="1045"/>
        <w:gridCol w:w="715"/>
        <w:gridCol w:w="1485"/>
        <w:gridCol w:w="1717"/>
        <w:gridCol w:w="1399"/>
        <w:gridCol w:w="1200"/>
      </w:tblGrid>
      <w:tr w:rsidR="00833724" w:rsidRPr="001B34D0" w:rsidTr="00000F81">
        <w:trPr>
          <w:trHeight w:val="615"/>
        </w:trPr>
        <w:tc>
          <w:tcPr>
            <w:tcW w:w="1045" w:type="dxa"/>
            <w:tcBorders>
              <w:top w:val="single" w:sz="8" w:space="0" w:color="E8EEF4"/>
              <w:left w:val="single" w:sz="8" w:space="0" w:color="E8EEF4"/>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PERIODO</w:t>
            </w:r>
          </w:p>
        </w:tc>
        <w:tc>
          <w:tcPr>
            <w:tcW w:w="71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CICLO VITAL</w:t>
            </w:r>
          </w:p>
        </w:tc>
        <w:tc>
          <w:tcPr>
            <w:tcW w:w="1485"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NUMERADOR</w:t>
            </w:r>
          </w:p>
        </w:tc>
        <w:tc>
          <w:tcPr>
            <w:tcW w:w="1717"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DENOMINADOR</w:t>
            </w:r>
          </w:p>
        </w:tc>
        <w:tc>
          <w:tcPr>
            <w:tcW w:w="1399" w:type="dxa"/>
            <w:tcBorders>
              <w:top w:val="single" w:sz="8" w:space="0" w:color="E8EEF4"/>
              <w:left w:val="nil"/>
              <w:bottom w:val="single" w:sz="8" w:space="0" w:color="E8EEF4"/>
              <w:right w:val="single" w:sz="8" w:space="0" w:color="E8EEF4"/>
            </w:tcBorders>
            <w:shd w:val="clear" w:color="000000" w:fill="E8EEF4"/>
            <w:vAlign w:val="center"/>
            <w:hideMark/>
          </w:tcPr>
          <w:p w:rsidR="00833724" w:rsidRPr="001B34D0" w:rsidRDefault="00833724" w:rsidP="00A92D87">
            <w:pPr>
              <w:spacing w:after="0" w:line="240" w:lineRule="auto"/>
              <w:rPr>
                <w:rFonts w:eastAsia="Times New Roman" w:cs="Arial"/>
                <w:b/>
                <w:bCs/>
                <w:color w:val="000000"/>
                <w:lang w:eastAsia="es-CO"/>
              </w:rPr>
            </w:pPr>
            <w:r w:rsidRPr="001B34D0">
              <w:rPr>
                <w:rFonts w:eastAsia="Times New Roman" w:cs="Arial"/>
                <w:b/>
                <w:bCs/>
                <w:color w:val="000000"/>
                <w:lang w:eastAsia="es-CO"/>
              </w:rPr>
              <w:t>RESULTADO</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2010</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23</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38,98</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2011</w:t>
            </w:r>
          </w:p>
        </w:tc>
        <w:tc>
          <w:tcPr>
            <w:tcW w:w="71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w:t>
            </w:r>
          </w:p>
        </w:tc>
        <w:tc>
          <w:tcPr>
            <w:tcW w:w="1717"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84</w:t>
            </w:r>
          </w:p>
        </w:tc>
        <w:tc>
          <w:tcPr>
            <w:tcW w:w="1399"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5,95</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2012</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92</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3,26</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2013</w:t>
            </w:r>
          </w:p>
        </w:tc>
        <w:tc>
          <w:tcPr>
            <w:tcW w:w="71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w:t>
            </w:r>
          </w:p>
        </w:tc>
        <w:tc>
          <w:tcPr>
            <w:tcW w:w="1717"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90</w:t>
            </w:r>
          </w:p>
        </w:tc>
        <w:tc>
          <w:tcPr>
            <w:tcW w:w="1399" w:type="dxa"/>
            <w:tcBorders>
              <w:top w:val="nil"/>
              <w:left w:val="nil"/>
              <w:bottom w:val="single" w:sz="8" w:space="0" w:color="E8EEF4"/>
              <w:right w:val="single" w:sz="8" w:space="0" w:color="E8EEF4"/>
            </w:tcBorders>
            <w:shd w:val="clear" w:color="auto" w:fill="auto"/>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1,11</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jc w:val="right"/>
              <w:rPr>
                <w:rFonts w:eastAsia="Times New Roman" w:cs="Times New Roman"/>
                <w:color w:val="000000"/>
                <w:lang w:eastAsia="es-CO"/>
              </w:rPr>
            </w:pPr>
            <w:r w:rsidRPr="001B34D0">
              <w:rPr>
                <w:rFonts w:eastAsia="Times New Roman" w:cs="Times New Roman"/>
                <w:color w:val="000000"/>
                <w:lang w:eastAsia="es-CO"/>
              </w:rPr>
              <w:t>2,56666667</w:t>
            </w:r>
          </w:p>
        </w:tc>
      </w:tr>
      <w:tr w:rsidR="00833724" w:rsidRPr="001B34D0" w:rsidTr="00000F81">
        <w:trPr>
          <w:trHeight w:val="315"/>
        </w:trPr>
        <w:tc>
          <w:tcPr>
            <w:tcW w:w="1045" w:type="dxa"/>
            <w:tcBorders>
              <w:top w:val="nil"/>
              <w:left w:val="single" w:sz="8" w:space="0" w:color="E8EEF4"/>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rPr>
                <w:rFonts w:eastAsia="Times New Roman" w:cs="Arial"/>
                <w:color w:val="000000"/>
                <w:lang w:eastAsia="es-CO"/>
              </w:rPr>
            </w:pPr>
            <w:r w:rsidRPr="001B34D0">
              <w:rPr>
                <w:rFonts w:eastAsia="Times New Roman" w:cs="Arial"/>
                <w:color w:val="000000"/>
                <w:lang w:eastAsia="es-CO"/>
              </w:rPr>
              <w:t>2014</w:t>
            </w:r>
          </w:p>
        </w:tc>
        <w:tc>
          <w:tcPr>
            <w:tcW w:w="71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18-28</w:t>
            </w:r>
          </w:p>
        </w:tc>
        <w:tc>
          <w:tcPr>
            <w:tcW w:w="1485"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2</w:t>
            </w:r>
          </w:p>
        </w:tc>
        <w:tc>
          <w:tcPr>
            <w:tcW w:w="1717"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60</w:t>
            </w:r>
          </w:p>
        </w:tc>
        <w:tc>
          <w:tcPr>
            <w:tcW w:w="1399" w:type="dxa"/>
            <w:tcBorders>
              <w:top w:val="nil"/>
              <w:left w:val="nil"/>
              <w:bottom w:val="single" w:sz="8" w:space="0" w:color="E8EEF4"/>
              <w:right w:val="single" w:sz="8" w:space="0" w:color="E8EEF4"/>
            </w:tcBorders>
            <w:shd w:val="clear" w:color="000000" w:fill="F8F8F8"/>
            <w:vAlign w:val="bottom"/>
            <w:hideMark/>
          </w:tcPr>
          <w:p w:rsidR="00833724" w:rsidRPr="001B34D0" w:rsidRDefault="00833724" w:rsidP="00A92D87">
            <w:pPr>
              <w:spacing w:after="0" w:line="240" w:lineRule="auto"/>
              <w:jc w:val="right"/>
              <w:rPr>
                <w:rFonts w:eastAsia="Times New Roman" w:cs="Arial"/>
                <w:color w:val="000000"/>
                <w:lang w:eastAsia="es-CO"/>
              </w:rPr>
            </w:pPr>
            <w:r w:rsidRPr="001B34D0">
              <w:rPr>
                <w:rFonts w:eastAsia="Times New Roman" w:cs="Arial"/>
                <w:color w:val="000000"/>
                <w:lang w:eastAsia="es-CO"/>
              </w:rPr>
              <w:t>3,33</w:t>
            </w:r>
          </w:p>
        </w:tc>
        <w:tc>
          <w:tcPr>
            <w:tcW w:w="1200" w:type="dxa"/>
            <w:tcBorders>
              <w:top w:val="nil"/>
              <w:left w:val="nil"/>
              <w:bottom w:val="nil"/>
              <w:right w:val="nil"/>
            </w:tcBorders>
            <w:shd w:val="clear" w:color="auto" w:fill="auto"/>
            <w:noWrap/>
            <w:vAlign w:val="bottom"/>
            <w:hideMark/>
          </w:tcPr>
          <w:p w:rsidR="00833724" w:rsidRPr="001B34D0" w:rsidRDefault="00833724" w:rsidP="00A92D87">
            <w:pPr>
              <w:spacing w:after="0" w:line="240" w:lineRule="auto"/>
              <w:rPr>
                <w:rFonts w:eastAsia="Times New Roman" w:cs="Times New Roman"/>
                <w:color w:val="000000"/>
                <w:lang w:eastAsia="es-CO"/>
              </w:rPr>
            </w:pPr>
          </w:p>
        </w:tc>
      </w:tr>
    </w:tbl>
    <w:p w:rsidR="00833724" w:rsidRPr="001B34D0" w:rsidRDefault="00833724" w:rsidP="00A92D87">
      <w:pPr>
        <w:spacing w:line="240" w:lineRule="auto"/>
        <w:rPr>
          <w:b/>
        </w:rPr>
      </w:pPr>
    </w:p>
    <w:p w:rsidR="00833724" w:rsidRPr="001B34D0" w:rsidRDefault="00833724" w:rsidP="00A92D87">
      <w:pPr>
        <w:spacing w:line="240" w:lineRule="auto"/>
        <w:rPr>
          <w:b/>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Situación detectada: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Teniendo en cuenta la información suministrada por la Unidad para la atención y reparación integral a las víctimas, Se evidencia que fueron reparadas  integralmente por las afectaciones a los derechos a la vida, el 2.5% de  jóvenes entre los 18 y 28 años que se vieron afectados sus derechos a la Derecho a la Propiedad: uso goce, disfrute y disposición de sus bienes.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 Colombia tiene una de las más numerosas  poblaciones de desplazados internos en el mundo, víctimas de la guerra o personas forzosamente desalojadas en las últimas décadas, por lo tanto, constituye un punto álgido dentro de la política social del país y del municipio de Pasto que exige la articulación de políticas públicas encaminadas a mitigar efectos adversos sobre el tejido social y en su lugar, propender por brindar una atención privilegiada, eficiente e integral a quienes lo padecen.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Las Medidas Contempladas y el Marco Jurídico para  la formulación de políticas y las acciones de respuesta del Estado colombiano frente al desplazamiento permiten la concentración de actividades en las instituciones del Estado con el objeto de articular y complementar las acciones misionales, tal como lo establece la Ley 387 de 1997, Decretos Reglamentarios 250 de 2005 y 2569 de 2000, además de lo contemplado en la Ley 1190 de 2008, Decreto Reglamentario 1997 de 2009 y Sentencia T-025 de 2004, sus autos de seguimiento, Ley 1448 de 2011 y su Decreto Reglamentario referentes a las responsabilidades de los entes territoriales frente a la Atención a la Población en Situación de Desplazamiento y Victimas del Conflicto Armado.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Es por ello que  el Programa para la Atención a Víctimas de la violencia del Conflicto Armado  adscrito a la Secretaría de Gobierno de la Alcaldía Municipal de Pasto, es la entidad responsable de brindar la atención humanitaria Inmediata a la población en este tipo de situación, en cumplimiento de los mandatos legales y los fines misionales, así como también asistirlas en una atención humanitaria integral, facilitando el acceso a los diferentes servicios locales existentes con enfoque diferencial, en todos los componentes, articulando con el nivel nacional el restablecimiento integral efectivo de sus derechos.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Times New Roman"/>
          <w:b/>
          <w:lang w:eastAsia="es-CO"/>
        </w:rPr>
      </w:pPr>
      <w:r w:rsidRPr="001B34D0">
        <w:rPr>
          <w:rFonts w:eastAsia="Times New Roman" w:cs="Times New Roman"/>
          <w:b/>
          <w:lang w:eastAsia="es-CO"/>
        </w:rPr>
        <w:t xml:space="preserve">Insumos: </w:t>
      </w:r>
    </w:p>
    <w:p w:rsidR="00833724" w:rsidRPr="001B34D0" w:rsidRDefault="00833724" w:rsidP="00A92D87">
      <w:pPr>
        <w:spacing w:after="0" w:line="240" w:lineRule="auto"/>
        <w:contextualSpacing/>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Los datos aportados fueron suministrados por la Unidad para la Atención y Reparación Integral a las Victimas y la Red Nacional de Información.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El Programa atiende de manera oportuna y efectiva a la población desplazada y víctima del conflicto armado que necesita información y orientación de los diferentes programas implementados para su atención, para lo cual se dispone de personal de planta que atiende las labores misionales, así como también de profesionales de las áreas jurídicas, humanas (Psicólogos) y otras aéreas para coadyuvar el cumplimiento de las metas institucionales y las contempladas en </w:t>
      </w:r>
      <w:r w:rsidRPr="001B34D0">
        <w:rPr>
          <w:rFonts w:eastAsia="Times New Roman" w:cs="Times New Roman"/>
          <w:lang w:eastAsia="es-CO"/>
        </w:rPr>
        <w:lastRenderedPageBreak/>
        <w:t>el plan de desarrollo municipal de Pasto 2012-2015 “Pasto: Transformación Productiva”, teniendo en cuenta la complejidad de la atención integral requerida, la masificación en el número de víctimas y la aguda crisis social, psicológica y económica que ocasiona el desplazamiento forzado y los diferentes hechos victimizantes.</w:t>
      </w: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Programas, Proyectos y Acciones para mejorar la situación del indicador (2012 -2015):</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Alcaldía Municipal de Pasto tiene a su cargo el Programa Para la atención  a Víctimas de la Violencia de Conflicto Armado el cual brinda la Atención humanitaria inmediata de acuerdo a la Ley 1448 de 2011 y su Decreto reglamentario 4800 del mismo año, otorgando una asistencia con enfoque diferencial garantizando el acceso a los derechos a la vida, protección, salud, educación, refugio y alimentación.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Desde el programa de atención a víctimas se orientan a NNA afectadas por este hecho victimizantes para que inicien la ruta única de atención con la Unidad Nacional de Protección.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Programa: Articulo 74; Programa Atención a Víctimas de la Violencia del Conflicto Armado del Plan de Desarrollo Municipal de Pasto.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Proyecto: Atención y Orientación a Población Victima de la Violencia del Conflicto Armado- Municipio de Pasto radicado 20145200110163 de diciembre de 2014.</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contemplan 38 metas indicador para atender de manera integral y con enfoque diferencial a la población en situación de desplazamiento forzada o afectadas por otras consecuencias del conflicto armado, de conformidad a la ley 1448 de 2011 y sus decretos reglamentarios. La administración municipal a través de la Secretaría de Gobierno, cuando una persona acude a este Municipio por primera vez, es atendida por una funcionaria profesional en el área de psicología, la cual orienta  a la población en una primera fase denominada “etapa de crisis”, es decir, cuando la persona ha sufrido el flagelo del desplazamiento y llega a nuestro municipio en forma inmediata, en procura de lograr el restablecimiento de sus derechos vulnerados. En esta etapa, se efectúa la programación de los correspondientes turnos para rendir la declaración de desplazamiento ante el Ministerio Público, conformado por la Procuraduría Regional y Provincial, Personería y Defensoría del Pueblo, entidades que a excepción de la Personería Municipal, hacen presencia en la Unidad, para la recepción de las declaraciones. Una vez la persona rinda la declaración y esta sea remitida por el funcionario correspondiente a las oficinas de la Unidad para la Atención y Reparación Integral a las Víctimas.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Alcaldía de Pasto interviene brindando una AYUDA HUMANITARIA INMEDIATA, la cual es entregada al núcleo familiar, en los términos preceptuados en el artículo 108 del Decreto 4800 de 2011, el cual textualmente  preceptúa: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“La entidad territorial receptora de la población víctima de desplazamiento, debe garantizar los componentes de alimentación, artículos de aseo, manejo de abastecimientos, utensilios de cocina y alojamiento transitorio, mientras se realiza el trámite de inscripción en el Registro Único de Víctimas.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 xml:space="preserve">Adicionalmente, en las ciudades y municipios que presenten altos índices de recepción de población víctima del desplazamiento forzado, como es el caso dl Municipio de Pasto, las entidades territoriales deben implementar una estrategia masiva de alimentación y alojamiento que garantice el acceso de la población a estos componentes, según la vulnerabilidad derivada del desplazamiento forzado. Esta estrategia debe contemplar, como mínimo, los siguientes mecanismos: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1.</w:t>
      </w:r>
      <w:r w:rsidRPr="001B34D0">
        <w:rPr>
          <w:rFonts w:eastAsia="Times New Roman" w:cs="Times New Roman"/>
          <w:lang w:eastAsia="es-CO"/>
        </w:rPr>
        <w:tab/>
        <w:t xml:space="preserve">Asistencia Alimentaria: alimentación en especie, auxilios monetarios, medios canjeables restringidos o estrategias de comida servida garantizando los mínimos nutricionales de la totalidad de los miembros del hogar.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2.</w:t>
      </w:r>
      <w:r w:rsidRPr="001B34D0">
        <w:rPr>
          <w:rFonts w:eastAsia="Times New Roman" w:cs="Times New Roman"/>
          <w:lang w:eastAsia="es-CO"/>
        </w:rPr>
        <w:tab/>
        <w:t xml:space="preserve">Alojamiento Digno: auxilios monetarios, convenios de alojamiento con particulares o construcción de modalidades de alojamiento temporal con los mínimos de habitabilidad y seguridad integral requeridos”.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Por lo tanto, una vez se haya rendido la declaración y esta se remita Unidad para la Atención y Reparación Integral a las Víctimas,  la Alcaldía de Pasto y todos los entes territoriales que reciben a la población en situación de desplazamiento, tienen la obligación legal de brindar la AYUDA HUMANITARIA INMEDIATA E INTEGRAL, hasta tanto se decida sobre la inscripción de la persona en el Registro Único de Victimas.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b/>
          <w:lang w:eastAsia="es-CO"/>
        </w:rPr>
      </w:pPr>
      <w:r w:rsidRPr="001B34D0">
        <w:rPr>
          <w:rFonts w:eastAsia="Times New Roman" w:cs="Times New Roman"/>
          <w:b/>
          <w:lang w:eastAsia="es-CO"/>
        </w:rPr>
        <w:t xml:space="preserve">Productos: </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La atención humanitaria a Víctimas del conflicto armado de Colombia se realiza por demanda y de acuerdo a la dinámica del conflicto armado que existe en el momento.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 xml:space="preserve">Resultados al término de la gestión  (2012 -2014): </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line="240" w:lineRule="auto"/>
        <w:jc w:val="both"/>
      </w:pPr>
      <w:r w:rsidRPr="001B34D0">
        <w:t>Se atendieron a la totalidad de población de víctimas de secuestro causados por el conflicto armado que requirieron atención y orientación dentro de la etapa inmediata de atención en las siguientes proporciones: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2011: 5 jóvenes de 18-28 años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2012: 3 jóvenes de 18 a 28 años</w:t>
      </w:r>
    </w:p>
    <w:p w:rsidR="00833724" w:rsidRPr="001B34D0" w:rsidRDefault="00833724" w:rsidP="00A92D87">
      <w:pPr>
        <w:spacing w:after="0" w:line="240" w:lineRule="auto"/>
        <w:contextualSpacing/>
        <w:rPr>
          <w:rFonts w:eastAsia="Times New Roman" w:cs="Times New Roman"/>
          <w:lang w:eastAsia="es-CO"/>
        </w:rPr>
      </w:pP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2013: 1 joven de 18 a 28 años</w:t>
      </w:r>
    </w:p>
    <w:p w:rsidR="00833724" w:rsidRPr="001B34D0" w:rsidRDefault="00833724" w:rsidP="00A92D87">
      <w:pPr>
        <w:spacing w:after="0" w:line="240" w:lineRule="auto"/>
        <w:contextualSpacing/>
        <w:rPr>
          <w:rFonts w:eastAsia="Times New Roman" w:cs="Times New Roman"/>
          <w:lang w:eastAsia="es-CO"/>
        </w:rPr>
      </w:pPr>
    </w:p>
    <w:p w:rsidR="00833724" w:rsidRPr="001B34D0" w:rsidRDefault="00833724" w:rsidP="00A92D87">
      <w:pPr>
        <w:numPr>
          <w:ilvl w:val="0"/>
          <w:numId w:val="34"/>
        </w:numPr>
        <w:spacing w:after="0" w:line="240" w:lineRule="auto"/>
        <w:contextualSpacing/>
        <w:jc w:val="both"/>
        <w:rPr>
          <w:rFonts w:eastAsia="Times New Roman" w:cs="Times New Roman"/>
          <w:lang w:eastAsia="es-CO"/>
        </w:rPr>
      </w:pPr>
      <w:r w:rsidRPr="001B34D0">
        <w:rPr>
          <w:rFonts w:eastAsia="Times New Roman" w:cs="Times New Roman"/>
          <w:lang w:eastAsia="es-CO"/>
        </w:rPr>
        <w:t>2014: 2 jóvenes de 18 a 28 años</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rPr>
          <w:rFonts w:eastAsia="Times New Roman" w:cs="Calibri"/>
          <w:color w:val="000000"/>
          <w:lang w:eastAsia="es-CO"/>
        </w:rPr>
      </w:pPr>
      <w:r w:rsidRPr="001B34D0">
        <w:rPr>
          <w:rFonts w:eastAsia="Times New Roman" w:cs="Times New Roman"/>
          <w:b/>
          <w:lang w:eastAsia="es-CO"/>
        </w:rPr>
        <w:t xml:space="preserve">Impacto:   </w:t>
      </w:r>
    </w:p>
    <w:p w:rsidR="00833724" w:rsidRPr="001B34D0" w:rsidRDefault="00833724" w:rsidP="00A92D87">
      <w:pPr>
        <w:spacing w:after="0" w:line="240" w:lineRule="auto"/>
        <w:contextualSpacing/>
        <w:rPr>
          <w:rFonts w:eastAsia="Times New Roman" w:cs="Calibri"/>
          <w:color w:val="000000"/>
          <w:lang w:eastAsia="es-CO"/>
        </w:rPr>
      </w:pP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lastRenderedPageBreak/>
        <w:t>Acceso a espacios de formación del protocolo de participación de niños niñas y adolescentes   encaminada a la sostenibilidad que pueda tener el protocolo de participación en torno a la articulación con actividades o proyectos existentes en el Municipio de Pasto</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Cobertura de las necesidades básicas (pañales, ropa, leche, cobijas) a través de la oficina de Bienestar Social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Educación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Subsidios en libros, textos y útiles escolares desde la Secretaria de Educación Municipal.</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Salud garantizada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Acceso a una educación superior  de más fácil acceso.</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Espacios para crear y desarrollar un proyecto de vida.</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Actividades en las Instituciones Educativas que permitan disminuir la discriminación, el matoneo o el acoso a NNA por ser víctimas</w:t>
      </w:r>
    </w:p>
    <w:p w:rsidR="00833724" w:rsidRPr="001B34D0" w:rsidRDefault="00833724" w:rsidP="00A92D87">
      <w:pPr>
        <w:numPr>
          <w:ilvl w:val="0"/>
          <w:numId w:val="35"/>
        </w:numPr>
        <w:spacing w:after="0" w:line="240" w:lineRule="auto"/>
        <w:contextualSpacing/>
        <w:rPr>
          <w:rFonts w:eastAsia="Times New Roman" w:cs="Calibri"/>
          <w:color w:val="000000"/>
          <w:lang w:eastAsia="es-CO"/>
        </w:rPr>
      </w:pPr>
      <w:r w:rsidRPr="001B34D0">
        <w:rPr>
          <w:rFonts w:eastAsia="Times New Roman" w:cs="Calibri"/>
          <w:color w:val="000000"/>
          <w:lang w:eastAsia="es-CO"/>
        </w:rPr>
        <w:t>Salidas, bibliotecas, sitios turísticos, espacios de socialización donde los niños, niñas y adolescentes  víctimas pueden interactuar y fortalecerse como grupo, actividad realizada desde Ludoteca ubicada en el Punto de Atención.</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Cursos de aprendizaje en el SENA con más facilidad en su acceso o prioridad.</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Generar espacios deportivos de aprendizaje, en diferentes áreas basadas en las habilidades de los niños, niñas y adolescentes con Secretaria de Cultura.</w:t>
      </w:r>
    </w:p>
    <w:p w:rsidR="00833724" w:rsidRPr="001B34D0" w:rsidRDefault="00833724" w:rsidP="00A92D87">
      <w:pPr>
        <w:numPr>
          <w:ilvl w:val="0"/>
          <w:numId w:val="35"/>
        </w:numPr>
        <w:spacing w:after="200" w:line="240" w:lineRule="auto"/>
        <w:contextualSpacing/>
        <w:rPr>
          <w:rFonts w:eastAsia="Times New Roman" w:cs="Calibri"/>
          <w:color w:val="000000"/>
          <w:lang w:eastAsia="es-CO"/>
        </w:rPr>
      </w:pPr>
      <w:r w:rsidRPr="001B34D0">
        <w:rPr>
          <w:rFonts w:eastAsia="Times New Roman" w:cs="Calibri"/>
          <w:color w:val="000000"/>
          <w:lang w:eastAsia="es-CO"/>
        </w:rPr>
        <w:t>Subsidio  para  jóvenes víctimas que ingresen a la universidad, en articulación con DPS</w:t>
      </w:r>
    </w:p>
    <w:p w:rsidR="00833724" w:rsidRPr="001B34D0" w:rsidRDefault="00833724" w:rsidP="00A92D87">
      <w:pPr>
        <w:numPr>
          <w:ilvl w:val="0"/>
          <w:numId w:val="35"/>
        </w:numPr>
        <w:spacing w:after="200" w:line="240" w:lineRule="auto"/>
        <w:contextualSpacing/>
      </w:pPr>
      <w:r w:rsidRPr="001B34D0">
        <w:rPr>
          <w:rFonts w:eastAsia="Times New Roman" w:cs="Calibri"/>
          <w:color w:val="000000"/>
          <w:lang w:eastAsia="es-CO"/>
        </w:rPr>
        <w:t>Cumplimiento en las medidas de atención prioritaria en lugares como Banco Agrario PAV y EPS.</w:t>
      </w:r>
    </w:p>
    <w:p w:rsidR="00833724" w:rsidRPr="001B34D0" w:rsidRDefault="00833724" w:rsidP="00A92D87">
      <w:pPr>
        <w:numPr>
          <w:ilvl w:val="0"/>
          <w:numId w:val="35"/>
        </w:numPr>
        <w:spacing w:after="200" w:line="240" w:lineRule="auto"/>
        <w:contextualSpacing/>
        <w:rPr>
          <w:rFonts w:eastAsia="Times New Roman" w:cs="Times New Roman"/>
          <w:lang w:eastAsia="es-CO"/>
        </w:rPr>
      </w:pPr>
      <w:r w:rsidRPr="001B34D0">
        <w:rPr>
          <w:rFonts w:eastAsia="Times New Roman" w:cs="Calibri"/>
          <w:color w:val="000000"/>
          <w:lang w:eastAsia="es-CO"/>
        </w:rPr>
        <w:t>Se garantiza en articulación con la Registraduria Nacional del Estado Civil, el acceso al derecho a la identificación.</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Prioridades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Se evidencia que la mayor cantidad de población joven desplazada se presentó en el año 2011 con un numero de 5 jóvenes víctimas de vulneración al derecho de propiedad, constituyendo así un porcentaje de 2.5% de jóvenes afectados por este flagelo.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DF63E8">
      <w:pPr>
        <w:numPr>
          <w:ilvl w:val="0"/>
          <w:numId w:val="41"/>
        </w:numPr>
        <w:spacing w:after="0" w:line="240" w:lineRule="auto"/>
        <w:ind w:left="644"/>
        <w:contextualSpacing/>
        <w:jc w:val="both"/>
        <w:rPr>
          <w:rFonts w:eastAsia="Times New Roman" w:cs="Times New Roman"/>
          <w:b/>
          <w:lang w:eastAsia="es-CO"/>
        </w:rPr>
      </w:pPr>
      <w:r w:rsidRPr="001B34D0">
        <w:rPr>
          <w:rFonts w:eastAsia="Times New Roman" w:cs="Times New Roman"/>
          <w:b/>
          <w:lang w:eastAsia="es-CO"/>
        </w:rPr>
        <w:t>Recomendaciones</w:t>
      </w:r>
    </w:p>
    <w:p w:rsidR="00833724" w:rsidRPr="001B34D0" w:rsidRDefault="00833724" w:rsidP="00A92D87">
      <w:pPr>
        <w:spacing w:after="0" w:line="240" w:lineRule="auto"/>
        <w:contextualSpacing/>
        <w:jc w:val="both"/>
        <w:rPr>
          <w:rFonts w:eastAsia="Times New Roman" w:cs="Times New Roman"/>
          <w:b/>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Tomar la información suministrada por la Unidad para la Atención y Reparación de las Victimas y la Red Nacional de Información como herramienta fundamental al momento de implementar planes y/o acciones dentro del Municipio.</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t>Al momento de presentarse este tipo de situaciones, se recomienda de manera inminente implementar los planes de contingencia y prevención previamente establecidos por el municipio de Pasto, con la intención de menguar los efectos producidos en la población o prevenir graves afectaciones a los Derechos humanos y DIH.</w:t>
      </w:r>
    </w:p>
    <w:p w:rsidR="00833724" w:rsidRPr="001B34D0" w:rsidRDefault="00833724" w:rsidP="00A92D87">
      <w:pPr>
        <w:spacing w:after="0" w:line="240" w:lineRule="auto"/>
        <w:contextualSpacing/>
        <w:jc w:val="both"/>
        <w:rPr>
          <w:rFonts w:eastAsia="Times New Roman" w:cs="Times New Roman"/>
          <w:lang w:eastAsia="es-CO"/>
        </w:rPr>
      </w:pPr>
    </w:p>
    <w:p w:rsidR="00833724" w:rsidRPr="001B34D0" w:rsidRDefault="00833724" w:rsidP="00A92D87">
      <w:pPr>
        <w:spacing w:after="0" w:line="240" w:lineRule="auto"/>
        <w:contextualSpacing/>
        <w:jc w:val="both"/>
        <w:rPr>
          <w:rFonts w:eastAsia="Times New Roman" w:cs="Times New Roman"/>
          <w:lang w:eastAsia="es-CO"/>
        </w:rPr>
      </w:pPr>
      <w:r w:rsidRPr="001B34D0">
        <w:rPr>
          <w:rFonts w:eastAsia="Times New Roman" w:cs="Times New Roman"/>
          <w:lang w:eastAsia="es-CO"/>
        </w:rPr>
        <w:lastRenderedPageBreak/>
        <w:t>De acuerdo a la ruta previamente establecida, se recomienda de manera inmediata activar la ruta de violencia basado en género la cual se encuentra compuesta por diferentes entidades competentes legalmente.</w:t>
      </w:r>
    </w:p>
    <w:p w:rsidR="00833724" w:rsidRPr="001B34D0" w:rsidRDefault="00833724" w:rsidP="00A92D87">
      <w:pPr>
        <w:spacing w:line="240" w:lineRule="auto"/>
        <w:rPr>
          <w:b/>
        </w:rPr>
      </w:pPr>
    </w:p>
    <w:p w:rsidR="00833724" w:rsidRPr="001B34D0" w:rsidRDefault="00833724" w:rsidP="00A92D87">
      <w:pPr>
        <w:spacing w:line="240" w:lineRule="auto"/>
        <w:jc w:val="center"/>
        <w:rPr>
          <w:b/>
        </w:rPr>
      </w:pPr>
      <w:r w:rsidRPr="001B34D0">
        <w:rPr>
          <w:b/>
        </w:rPr>
        <w:t>INDICADOR 157. COBERTURA EDUCACIÓN TECNOLOGICA</w:t>
      </w:r>
    </w:p>
    <w:p w:rsidR="00833724" w:rsidRPr="001B34D0" w:rsidRDefault="00833724" w:rsidP="00A92D87">
      <w:pPr>
        <w:spacing w:after="0" w:line="240" w:lineRule="auto"/>
        <w:rPr>
          <w:rFonts w:eastAsia="Times New Roman" w:cs="Times New Roman"/>
          <w:vanish/>
          <w:lang w:eastAsia="es-CO"/>
        </w:rPr>
      </w:pPr>
    </w:p>
    <w:tbl>
      <w:tblPr>
        <w:tblW w:w="2405" w:type="pct"/>
        <w:tblCellSpacing w:w="0" w:type="dxa"/>
        <w:tblInd w:w="8" w:type="dxa"/>
        <w:tblCellMar>
          <w:top w:w="75" w:type="dxa"/>
          <w:left w:w="75" w:type="dxa"/>
          <w:bottom w:w="75" w:type="dxa"/>
          <w:right w:w="75" w:type="dxa"/>
        </w:tblCellMar>
        <w:tblLook w:val="04A0"/>
      </w:tblPr>
      <w:tblGrid>
        <w:gridCol w:w="4395"/>
      </w:tblGrid>
      <w:tr w:rsidR="00833724" w:rsidRPr="001B34D0" w:rsidTr="00000F81">
        <w:trPr>
          <w:trHeight w:val="249"/>
          <w:tblCellSpacing w:w="0" w:type="dxa"/>
        </w:trPr>
        <w:tc>
          <w:tcPr>
            <w:tcW w:w="5000" w:type="pct"/>
            <w:tcBorders>
              <w:bottom w:val="nil"/>
            </w:tcBorders>
            <w:shd w:val="clear" w:color="auto" w:fill="2C5982"/>
            <w:tcMar>
              <w:top w:w="150" w:type="dxa"/>
              <w:left w:w="150" w:type="dxa"/>
              <w:bottom w:w="150" w:type="dxa"/>
              <w:right w:w="150" w:type="dxa"/>
            </w:tcMar>
            <w:hideMark/>
          </w:tcPr>
          <w:p w:rsidR="00833724" w:rsidRPr="001B34D0" w:rsidRDefault="00833724" w:rsidP="00A92D87">
            <w:pPr>
              <w:spacing w:after="0" w:line="240" w:lineRule="auto"/>
              <w:jc w:val="center"/>
              <w:rPr>
                <w:rFonts w:eastAsia="Times New Roman" w:cs="Arial"/>
                <w:b/>
                <w:bCs/>
                <w:i/>
                <w:iCs/>
                <w:color w:val="B7E4EE"/>
                <w:lang w:eastAsia="es-CO"/>
              </w:rPr>
            </w:pPr>
            <w:r w:rsidRPr="001B34D0">
              <w:rPr>
                <w:rFonts w:eastAsia="Times New Roman" w:cs="Times New Roman"/>
                <w:noProof/>
                <w:color w:val="525252"/>
                <w:lang w:val="es-ES" w:eastAsia="es-ES"/>
              </w:rPr>
              <w:drawing>
                <wp:anchor distT="0" distB="0" distL="114300" distR="114300" simplePos="0" relativeHeight="251664384" behindDoc="0" locked="0" layoutInCell="1" allowOverlap="1">
                  <wp:simplePos x="0" y="0"/>
                  <wp:positionH relativeFrom="column">
                    <wp:posOffset>2763454</wp:posOffset>
                  </wp:positionH>
                  <wp:positionV relativeFrom="paragraph">
                    <wp:posOffset>-78930</wp:posOffset>
                  </wp:positionV>
                  <wp:extent cx="2989322" cy="1569493"/>
                  <wp:effectExtent l="0" t="0" r="1905" b="0"/>
                  <wp:wrapNone/>
                  <wp:docPr id="73" name="Imagen 73" descr="http://www.vigilanciasuperiorprocuraduria.org/rpc_neo/x_graf_bar1_ind.php?datos_graf_x=array(2011,%202012,%202013,%202014)&amp;datos_graf_y=array(1778,%201807.00,%202299.00,%202600.00)&amp;titx=Periodos&amp;tity=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igilanciasuperiorprocuraduria.org/rpc_neo/x_graf_bar1_ind.php?datos_graf_x=array(2011,%202012,%202013,%202014)&amp;datos_graf_y=array(1778,%201807.00,%202299.00,%202600.00)&amp;titx=Periodos&amp;tity=Valores"/>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0" cy="1573629"/>
                          </a:xfrm>
                          <a:prstGeom prst="rect">
                            <a:avLst/>
                          </a:prstGeom>
                          <a:noFill/>
                          <a:ln>
                            <a:noFill/>
                          </a:ln>
                        </pic:spPr>
                      </pic:pic>
                    </a:graphicData>
                  </a:graphic>
                </wp:anchor>
              </w:drawing>
            </w:r>
            <w:r w:rsidRPr="001B34D0">
              <w:rPr>
                <w:rFonts w:eastAsia="Times New Roman" w:cs="Arial"/>
                <w:b/>
                <w:bCs/>
                <w:i/>
                <w:iCs/>
                <w:color w:val="B7E4EE"/>
                <w:lang w:eastAsia="es-CO"/>
              </w:rPr>
              <w:t>Valores Totales</w:t>
            </w:r>
          </w:p>
        </w:tc>
      </w:tr>
    </w:tbl>
    <w:p w:rsidR="00833724" w:rsidRPr="001B34D0" w:rsidRDefault="00833724" w:rsidP="00A92D87">
      <w:pPr>
        <w:spacing w:after="0" w:line="240" w:lineRule="auto"/>
        <w:rPr>
          <w:rFonts w:eastAsia="Times New Roman" w:cs="Times New Roman"/>
          <w:vanish/>
          <w:lang w:eastAsia="es-CO"/>
        </w:rPr>
      </w:pPr>
    </w:p>
    <w:tbl>
      <w:tblPr>
        <w:tblW w:w="2440" w:type="pct"/>
        <w:tblInd w:w="-127" w:type="dxa"/>
        <w:tblBorders>
          <w:top w:val="outset" w:sz="6" w:space="0" w:color="A4A7BC"/>
          <w:left w:val="outset" w:sz="6" w:space="0" w:color="A4A7BC"/>
          <w:bottom w:val="outset" w:sz="6" w:space="0" w:color="A4A7BC"/>
          <w:right w:val="outset" w:sz="6" w:space="0" w:color="A4A7BC"/>
        </w:tblBorders>
        <w:tblCellMar>
          <w:top w:w="15" w:type="dxa"/>
          <w:left w:w="15" w:type="dxa"/>
          <w:bottom w:w="15" w:type="dxa"/>
          <w:right w:w="15" w:type="dxa"/>
        </w:tblCellMar>
        <w:tblLook w:val="04A0"/>
      </w:tblPr>
      <w:tblGrid>
        <w:gridCol w:w="829"/>
        <w:gridCol w:w="1064"/>
        <w:gridCol w:w="1393"/>
        <w:gridCol w:w="1042"/>
      </w:tblGrid>
      <w:tr w:rsidR="00833724" w:rsidRPr="001B34D0" w:rsidTr="00000F81">
        <w:trPr>
          <w:trHeight w:val="337"/>
        </w:trPr>
        <w:tc>
          <w:tcPr>
            <w:tcW w:w="969"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Año</w:t>
            </w:r>
          </w:p>
        </w:tc>
        <w:tc>
          <w:tcPr>
            <w:tcW w:w="1195"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Numerador</w:t>
            </w:r>
          </w:p>
        </w:tc>
        <w:tc>
          <w:tcPr>
            <w:tcW w:w="1621"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Denominador</w:t>
            </w:r>
          </w:p>
        </w:tc>
        <w:tc>
          <w:tcPr>
            <w:tcW w:w="1215"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Resultado</w:t>
            </w:r>
          </w:p>
        </w:tc>
      </w:tr>
      <w:tr w:rsidR="00833724" w:rsidRPr="001B34D0" w:rsidTr="00000F81">
        <w:trPr>
          <w:trHeight w:val="337"/>
        </w:trPr>
        <w:tc>
          <w:tcPr>
            <w:tcW w:w="969"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2011</w:t>
            </w:r>
          </w:p>
        </w:tc>
        <w:tc>
          <w:tcPr>
            <w:tcW w:w="119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21"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21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1,778.00</w:t>
            </w:r>
          </w:p>
        </w:tc>
      </w:tr>
      <w:tr w:rsidR="00833724" w:rsidRPr="001B34D0" w:rsidTr="00000F81">
        <w:trPr>
          <w:trHeight w:val="315"/>
        </w:trPr>
        <w:tc>
          <w:tcPr>
            <w:tcW w:w="969"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2012</w:t>
            </w:r>
          </w:p>
        </w:tc>
        <w:tc>
          <w:tcPr>
            <w:tcW w:w="119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21"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21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1,807.00</w:t>
            </w:r>
          </w:p>
        </w:tc>
      </w:tr>
      <w:tr w:rsidR="00833724" w:rsidRPr="001B34D0" w:rsidTr="00000F81">
        <w:trPr>
          <w:trHeight w:val="337"/>
        </w:trPr>
        <w:tc>
          <w:tcPr>
            <w:tcW w:w="969"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2013</w:t>
            </w:r>
          </w:p>
        </w:tc>
        <w:tc>
          <w:tcPr>
            <w:tcW w:w="119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21"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21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2,299.00</w:t>
            </w:r>
          </w:p>
        </w:tc>
      </w:tr>
      <w:tr w:rsidR="00833724" w:rsidRPr="001B34D0" w:rsidTr="00000F81">
        <w:trPr>
          <w:trHeight w:val="337"/>
        </w:trPr>
        <w:tc>
          <w:tcPr>
            <w:tcW w:w="969"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2014</w:t>
            </w:r>
          </w:p>
        </w:tc>
        <w:tc>
          <w:tcPr>
            <w:tcW w:w="119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21"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21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2,600.00</w:t>
            </w:r>
          </w:p>
        </w:tc>
      </w:tr>
    </w:tbl>
    <w:p w:rsidR="00833724" w:rsidRPr="001B34D0" w:rsidRDefault="00833724" w:rsidP="00A92D87">
      <w:pPr>
        <w:spacing w:after="0" w:line="240" w:lineRule="auto"/>
        <w:rPr>
          <w:rFonts w:eastAsia="Times New Roman" w:cs="Times New Roman"/>
          <w:vanish/>
          <w:lang w:eastAsia="es-CO"/>
        </w:rPr>
      </w:pPr>
    </w:p>
    <w:tbl>
      <w:tblPr>
        <w:tblW w:w="4900" w:type="pct"/>
        <w:jc w:val="center"/>
        <w:tblCellSpacing w:w="0" w:type="dxa"/>
        <w:tblCellMar>
          <w:top w:w="75" w:type="dxa"/>
          <w:left w:w="75" w:type="dxa"/>
          <w:bottom w:w="75" w:type="dxa"/>
          <w:right w:w="75" w:type="dxa"/>
        </w:tblCellMar>
        <w:tblLook w:val="04A0"/>
      </w:tblPr>
      <w:tblGrid>
        <w:gridCol w:w="8808"/>
      </w:tblGrid>
      <w:tr w:rsidR="00833724" w:rsidRPr="001B34D0" w:rsidTr="00000F81">
        <w:trPr>
          <w:tblCellSpacing w:w="0" w:type="dxa"/>
          <w:jc w:val="center"/>
        </w:trPr>
        <w:tc>
          <w:tcPr>
            <w:tcW w:w="0" w:type="auto"/>
            <w:tcBorders>
              <w:bottom w:val="nil"/>
            </w:tcBorders>
            <w:shd w:val="clear" w:color="auto" w:fill="FFFFFF"/>
            <w:hideMark/>
          </w:tcPr>
          <w:p w:rsidR="00833724" w:rsidRPr="001B34D0" w:rsidRDefault="00833724" w:rsidP="00A92D87">
            <w:pPr>
              <w:spacing w:after="0" w:line="240" w:lineRule="auto"/>
              <w:jc w:val="center"/>
              <w:rPr>
                <w:rFonts w:eastAsia="Times New Roman" w:cs="Times New Roman"/>
                <w:color w:val="525252"/>
                <w:lang w:eastAsia="es-CO"/>
              </w:rPr>
            </w:pPr>
          </w:p>
        </w:tc>
      </w:tr>
    </w:tbl>
    <w:p w:rsidR="00833724" w:rsidRPr="001B34D0" w:rsidRDefault="00833724" w:rsidP="00A92D87">
      <w:pPr>
        <w:tabs>
          <w:tab w:val="left" w:pos="284"/>
        </w:tabs>
        <w:spacing w:line="240" w:lineRule="auto"/>
        <w:contextualSpacing/>
        <w:jc w:val="both"/>
        <w:rPr>
          <w:rFonts w:cs="Arial"/>
          <w:b/>
        </w:rPr>
      </w:pPr>
      <w:r w:rsidRPr="001B34D0">
        <w:rPr>
          <w:rFonts w:cs="Arial"/>
          <w:b/>
        </w:rPr>
        <w:t xml:space="preserve">IMPACTOS POSITIVOS: </w:t>
      </w:r>
    </w:p>
    <w:p w:rsidR="00833724" w:rsidRPr="001B34D0" w:rsidRDefault="00833724" w:rsidP="00A92D87">
      <w:pPr>
        <w:tabs>
          <w:tab w:val="left" w:pos="284"/>
        </w:tabs>
        <w:spacing w:line="240" w:lineRule="auto"/>
        <w:contextualSpacing/>
        <w:jc w:val="both"/>
        <w:rPr>
          <w:rFonts w:cs="Arial"/>
        </w:rPr>
      </w:pPr>
      <w:r w:rsidRPr="001B34D0">
        <w:rPr>
          <w:rFonts w:cs="Arial"/>
        </w:rPr>
        <w:t>De acuerdo a la gráfica suministrada por el aplicativo SOFIA PLUS del Sena, Podemos analizar que la cobertura de educación tecnológica en el Municipio de Pasto en los años 2011 A 2014 mejoro;  aumentando el impacto año tras año significativamente, ya que en el año 2011 la cobertura fue de 1778 logrando una cobertura mayor en el año 2014 con un total de 2600  jóvenes siendo el sexo masculino el de mayor cobertura  con un total de 1380 jóvenes en edades de 18 a 28 años de edad, vinculados en programas de educación tecnológica que ofrece de manera gratuita el servicio nacional de aprendizaje SENA.</w:t>
      </w:r>
    </w:p>
    <w:p w:rsidR="00833724" w:rsidRPr="001B34D0" w:rsidRDefault="00833724" w:rsidP="00A92D87">
      <w:pPr>
        <w:tabs>
          <w:tab w:val="left" w:pos="284"/>
        </w:tabs>
        <w:spacing w:line="240" w:lineRule="auto"/>
        <w:contextualSpacing/>
        <w:jc w:val="both"/>
        <w:rPr>
          <w:rFonts w:cs="Arial"/>
        </w:rPr>
      </w:pPr>
    </w:p>
    <w:p w:rsidR="00833724" w:rsidRPr="001B34D0" w:rsidRDefault="00833724" w:rsidP="00A92D87">
      <w:pPr>
        <w:tabs>
          <w:tab w:val="left" w:pos="284"/>
        </w:tabs>
        <w:spacing w:line="240" w:lineRule="auto"/>
        <w:contextualSpacing/>
        <w:jc w:val="both"/>
        <w:rPr>
          <w:rFonts w:cs="Arial"/>
          <w:b/>
        </w:rPr>
      </w:pPr>
      <w:r w:rsidRPr="001B34D0">
        <w:rPr>
          <w:rFonts w:cs="Arial"/>
          <w:b/>
        </w:rPr>
        <w:t>RECOMENDACIONES:</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Que exista  mayor vinculación a las diferentes etnias, sectores y comunas del Municipio de Pasto a los diferentes programas de educación tecnológica que ofrece el Sena de forma gratuita.</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La información suministrada por el Sena sea más clara y desagregada por hombres, mujeres, y comunas con el fin de dar mejor cobertura y prestación de los servicios que están a disposición de los jóvenes del Municipio de Pasto; así de esta manera las dependencias de la Alcaldía de Pasto puedan llegar a activar procesos donde  no exista cobertura de educación tecnológica.</w:t>
      </w:r>
    </w:p>
    <w:p w:rsidR="00AB2385" w:rsidRDefault="00AB2385" w:rsidP="00A92D87">
      <w:pPr>
        <w:spacing w:line="240" w:lineRule="auto"/>
        <w:jc w:val="center"/>
        <w:rPr>
          <w:rFonts w:cs="Arial"/>
          <w:b/>
        </w:rPr>
      </w:pPr>
    </w:p>
    <w:p w:rsidR="00833724" w:rsidRPr="001B34D0" w:rsidRDefault="00833724" w:rsidP="00A92D87">
      <w:pPr>
        <w:spacing w:line="240" w:lineRule="auto"/>
        <w:jc w:val="center"/>
        <w:rPr>
          <w:rFonts w:cs="Arial"/>
          <w:b/>
        </w:rPr>
      </w:pPr>
      <w:r w:rsidRPr="001B34D0">
        <w:rPr>
          <w:rFonts w:cs="Arial"/>
          <w:b/>
        </w:rPr>
        <w:t>INDICADOR 158 COBERTURA EDUCACION SUPERIOR</w:t>
      </w:r>
    </w:p>
    <w:p w:rsidR="00833724" w:rsidRPr="001B34D0" w:rsidRDefault="00833724" w:rsidP="00A92D87">
      <w:pPr>
        <w:spacing w:after="0" w:line="240" w:lineRule="auto"/>
        <w:rPr>
          <w:rFonts w:eastAsia="Times New Roman" w:cs="Times New Roman"/>
          <w:vanish/>
          <w:lang w:eastAsia="es-CO"/>
        </w:rPr>
      </w:pPr>
    </w:p>
    <w:tbl>
      <w:tblPr>
        <w:tblW w:w="2315" w:type="pct"/>
        <w:tblCellSpacing w:w="0" w:type="dxa"/>
        <w:tblInd w:w="150" w:type="dxa"/>
        <w:tblCellMar>
          <w:top w:w="75" w:type="dxa"/>
          <w:left w:w="75" w:type="dxa"/>
          <w:bottom w:w="75" w:type="dxa"/>
          <w:right w:w="75" w:type="dxa"/>
        </w:tblCellMar>
        <w:tblLook w:val="04A0"/>
      </w:tblPr>
      <w:tblGrid>
        <w:gridCol w:w="4231"/>
      </w:tblGrid>
      <w:tr w:rsidR="00833724" w:rsidRPr="001B34D0" w:rsidTr="00000F81">
        <w:trPr>
          <w:trHeight w:val="288"/>
          <w:tblCellSpacing w:w="0" w:type="dxa"/>
        </w:trPr>
        <w:tc>
          <w:tcPr>
            <w:tcW w:w="5000" w:type="pct"/>
            <w:tcBorders>
              <w:bottom w:val="nil"/>
            </w:tcBorders>
            <w:shd w:val="clear" w:color="auto" w:fill="2C5982"/>
            <w:tcMar>
              <w:top w:w="150" w:type="dxa"/>
              <w:left w:w="150" w:type="dxa"/>
              <w:bottom w:w="150" w:type="dxa"/>
              <w:right w:w="150" w:type="dxa"/>
            </w:tcMar>
            <w:hideMark/>
          </w:tcPr>
          <w:p w:rsidR="00833724" w:rsidRPr="001B34D0" w:rsidRDefault="00833724" w:rsidP="00A92D87">
            <w:pPr>
              <w:spacing w:after="0" w:line="240" w:lineRule="auto"/>
              <w:jc w:val="center"/>
              <w:rPr>
                <w:rFonts w:eastAsia="Times New Roman" w:cs="Arial"/>
                <w:b/>
                <w:bCs/>
                <w:i/>
                <w:iCs/>
                <w:color w:val="B7E4EE"/>
                <w:lang w:eastAsia="es-CO"/>
              </w:rPr>
            </w:pPr>
            <w:r w:rsidRPr="001B34D0">
              <w:rPr>
                <w:rFonts w:eastAsia="Times New Roman" w:cs="Times New Roman"/>
                <w:noProof/>
                <w:color w:val="525252"/>
                <w:lang w:val="es-ES" w:eastAsia="es-ES"/>
              </w:rPr>
              <w:drawing>
                <wp:anchor distT="0" distB="0" distL="114300" distR="114300" simplePos="0" relativeHeight="251665408" behindDoc="0" locked="0" layoutInCell="1" allowOverlap="1">
                  <wp:simplePos x="0" y="0"/>
                  <wp:positionH relativeFrom="column">
                    <wp:posOffset>2625090</wp:posOffset>
                  </wp:positionH>
                  <wp:positionV relativeFrom="paragraph">
                    <wp:posOffset>-78740</wp:posOffset>
                  </wp:positionV>
                  <wp:extent cx="2828925" cy="1570355"/>
                  <wp:effectExtent l="0" t="0" r="9525" b="0"/>
                  <wp:wrapNone/>
                  <wp:docPr id="74" name="Imagen 74" descr="http://www.vigilanciasuperiorprocuraduria.org/rpc_neo/x_graf_bar1_ind.php?datos_graf_x=array(2011,%202012,%202013,%202014)&amp;datos_graf_y=array(0.73,%200.77,%200.81,%200.84)&amp;titx=Periodos&amp;tity=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vigilanciasuperiorprocuraduria.org/rpc_neo/x_graf_bar1_ind.php?datos_graf_x=array(2011,%202012,%202013,%202014)&amp;datos_graf_y=array(0.73,%200.77,%200.81,%200.84)&amp;titx=Periodos&amp;tity=Valores"/>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570355"/>
                          </a:xfrm>
                          <a:prstGeom prst="rect">
                            <a:avLst/>
                          </a:prstGeom>
                          <a:noFill/>
                          <a:ln>
                            <a:noFill/>
                          </a:ln>
                        </pic:spPr>
                      </pic:pic>
                    </a:graphicData>
                  </a:graphic>
                </wp:anchor>
              </w:drawing>
            </w:r>
            <w:r w:rsidRPr="001B34D0">
              <w:rPr>
                <w:rFonts w:eastAsia="Times New Roman" w:cs="Arial"/>
                <w:b/>
                <w:bCs/>
                <w:i/>
                <w:iCs/>
                <w:color w:val="B7E4EE"/>
                <w:lang w:eastAsia="es-CO"/>
              </w:rPr>
              <w:t>Valores Totales</w:t>
            </w:r>
          </w:p>
        </w:tc>
      </w:tr>
    </w:tbl>
    <w:p w:rsidR="00833724" w:rsidRPr="001B34D0" w:rsidRDefault="00833724" w:rsidP="00A92D87">
      <w:pPr>
        <w:spacing w:after="0" w:line="240" w:lineRule="auto"/>
        <w:rPr>
          <w:rFonts w:eastAsia="Times New Roman" w:cs="Times New Roman"/>
          <w:vanish/>
          <w:lang w:eastAsia="es-CO"/>
        </w:rPr>
      </w:pPr>
    </w:p>
    <w:tbl>
      <w:tblPr>
        <w:tblW w:w="2404" w:type="pct"/>
        <w:tblBorders>
          <w:top w:val="outset" w:sz="6" w:space="0" w:color="A4A7BC"/>
          <w:left w:val="outset" w:sz="6" w:space="0" w:color="A4A7BC"/>
          <w:bottom w:val="outset" w:sz="6" w:space="0" w:color="A4A7BC"/>
          <w:right w:val="outset" w:sz="6" w:space="0" w:color="A4A7BC"/>
        </w:tblBorders>
        <w:tblCellMar>
          <w:top w:w="15" w:type="dxa"/>
          <w:left w:w="15" w:type="dxa"/>
          <w:bottom w:w="15" w:type="dxa"/>
          <w:right w:w="15" w:type="dxa"/>
        </w:tblCellMar>
        <w:tblLook w:val="04A0"/>
      </w:tblPr>
      <w:tblGrid>
        <w:gridCol w:w="966"/>
        <w:gridCol w:w="1085"/>
        <w:gridCol w:w="1291"/>
        <w:gridCol w:w="922"/>
      </w:tblGrid>
      <w:tr w:rsidR="00833724" w:rsidRPr="001B34D0" w:rsidTr="00000F81">
        <w:trPr>
          <w:trHeight w:val="339"/>
        </w:trPr>
        <w:tc>
          <w:tcPr>
            <w:tcW w:w="1146"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Año</w:t>
            </w:r>
          </w:p>
        </w:tc>
        <w:tc>
          <w:tcPr>
            <w:tcW w:w="1285"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Numerador</w:t>
            </w:r>
          </w:p>
        </w:tc>
        <w:tc>
          <w:tcPr>
            <w:tcW w:w="1526"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Denominador</w:t>
            </w:r>
          </w:p>
        </w:tc>
        <w:tc>
          <w:tcPr>
            <w:tcW w:w="1044"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Resultado</w:t>
            </w:r>
          </w:p>
        </w:tc>
      </w:tr>
      <w:tr w:rsidR="00833724" w:rsidRPr="001B34D0" w:rsidTr="00000F81">
        <w:trPr>
          <w:trHeight w:val="339"/>
        </w:trPr>
        <w:tc>
          <w:tcPr>
            <w:tcW w:w="114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2011</w:t>
            </w:r>
          </w:p>
        </w:tc>
        <w:tc>
          <w:tcPr>
            <w:tcW w:w="128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27,121.00</w:t>
            </w:r>
          </w:p>
        </w:tc>
        <w:tc>
          <w:tcPr>
            <w:tcW w:w="152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37,207.00</w:t>
            </w:r>
          </w:p>
        </w:tc>
        <w:tc>
          <w:tcPr>
            <w:tcW w:w="1044"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0.73</w:t>
            </w:r>
          </w:p>
        </w:tc>
      </w:tr>
      <w:tr w:rsidR="00833724" w:rsidRPr="001B34D0" w:rsidTr="00000F81">
        <w:trPr>
          <w:trHeight w:val="316"/>
        </w:trPr>
        <w:tc>
          <w:tcPr>
            <w:tcW w:w="114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2012</w:t>
            </w:r>
          </w:p>
        </w:tc>
        <w:tc>
          <w:tcPr>
            <w:tcW w:w="128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28,879.00</w:t>
            </w:r>
          </w:p>
        </w:tc>
        <w:tc>
          <w:tcPr>
            <w:tcW w:w="152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37,535.00</w:t>
            </w:r>
          </w:p>
        </w:tc>
        <w:tc>
          <w:tcPr>
            <w:tcW w:w="1044"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0.77</w:t>
            </w:r>
          </w:p>
        </w:tc>
      </w:tr>
      <w:tr w:rsidR="00833724" w:rsidRPr="001B34D0" w:rsidTr="00000F81">
        <w:trPr>
          <w:trHeight w:val="339"/>
        </w:trPr>
        <w:tc>
          <w:tcPr>
            <w:tcW w:w="114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2013</w:t>
            </w:r>
          </w:p>
        </w:tc>
        <w:tc>
          <w:tcPr>
            <w:tcW w:w="128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30,905.00</w:t>
            </w:r>
          </w:p>
        </w:tc>
        <w:tc>
          <w:tcPr>
            <w:tcW w:w="152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37,924.00</w:t>
            </w:r>
          </w:p>
        </w:tc>
        <w:tc>
          <w:tcPr>
            <w:tcW w:w="1044"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0.81</w:t>
            </w:r>
          </w:p>
        </w:tc>
      </w:tr>
      <w:tr w:rsidR="00833724" w:rsidRPr="001B34D0" w:rsidTr="00000F81">
        <w:trPr>
          <w:trHeight w:val="339"/>
        </w:trPr>
        <w:tc>
          <w:tcPr>
            <w:tcW w:w="114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2014</w:t>
            </w:r>
          </w:p>
        </w:tc>
        <w:tc>
          <w:tcPr>
            <w:tcW w:w="128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31,835.00</w:t>
            </w:r>
          </w:p>
        </w:tc>
        <w:tc>
          <w:tcPr>
            <w:tcW w:w="152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37,924.00</w:t>
            </w:r>
          </w:p>
        </w:tc>
        <w:tc>
          <w:tcPr>
            <w:tcW w:w="1044"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0.84</w:t>
            </w:r>
          </w:p>
        </w:tc>
      </w:tr>
    </w:tbl>
    <w:p w:rsidR="00833724" w:rsidRPr="001B34D0" w:rsidRDefault="00833724" w:rsidP="00A92D87">
      <w:pPr>
        <w:spacing w:after="0" w:line="240" w:lineRule="auto"/>
        <w:rPr>
          <w:rFonts w:eastAsia="Times New Roman" w:cs="Times New Roman"/>
          <w:vanish/>
          <w:lang w:eastAsia="es-CO"/>
        </w:rPr>
      </w:pPr>
    </w:p>
    <w:tbl>
      <w:tblPr>
        <w:tblW w:w="4900" w:type="pct"/>
        <w:jc w:val="center"/>
        <w:tblCellSpacing w:w="0" w:type="dxa"/>
        <w:tblCellMar>
          <w:top w:w="75" w:type="dxa"/>
          <w:left w:w="75" w:type="dxa"/>
          <w:bottom w:w="75" w:type="dxa"/>
          <w:right w:w="75" w:type="dxa"/>
        </w:tblCellMar>
        <w:tblLook w:val="04A0"/>
      </w:tblPr>
      <w:tblGrid>
        <w:gridCol w:w="8808"/>
      </w:tblGrid>
      <w:tr w:rsidR="00833724" w:rsidRPr="001B34D0" w:rsidTr="00000F81">
        <w:trPr>
          <w:tblCellSpacing w:w="0" w:type="dxa"/>
          <w:jc w:val="center"/>
        </w:trPr>
        <w:tc>
          <w:tcPr>
            <w:tcW w:w="0" w:type="auto"/>
            <w:tcBorders>
              <w:bottom w:val="nil"/>
            </w:tcBorders>
            <w:shd w:val="clear" w:color="auto" w:fill="FFFFFF"/>
            <w:hideMark/>
          </w:tcPr>
          <w:p w:rsidR="00833724" w:rsidRPr="001B34D0" w:rsidRDefault="00833724" w:rsidP="00A92D87">
            <w:pPr>
              <w:spacing w:after="0" w:line="240" w:lineRule="auto"/>
              <w:jc w:val="center"/>
              <w:rPr>
                <w:rFonts w:eastAsia="Times New Roman" w:cs="Times New Roman"/>
                <w:color w:val="525252"/>
                <w:lang w:eastAsia="es-CO"/>
              </w:rPr>
            </w:pPr>
          </w:p>
        </w:tc>
      </w:tr>
    </w:tbl>
    <w:p w:rsidR="00833724" w:rsidRPr="001B34D0" w:rsidRDefault="00222418" w:rsidP="00A92D87">
      <w:pPr>
        <w:tabs>
          <w:tab w:val="left" w:pos="284"/>
        </w:tabs>
        <w:spacing w:line="240" w:lineRule="auto"/>
        <w:contextualSpacing/>
        <w:jc w:val="both"/>
        <w:rPr>
          <w:rFonts w:cs="Arial"/>
        </w:rPr>
      </w:pPr>
      <w:r w:rsidRPr="00222418">
        <w:rPr>
          <w:rFonts w:cs="Arial"/>
          <w:b/>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Entrada de lápiz" o:spid="_x0000_s1027" type="#_x0000_t75" style="position:absolute;left:0;text-align:left;margin-left:202pt;margin-top:29.4pt;width:1.95pt;height:1.95pt;z-index:25166336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5EOSAQAAOQMAAA4AAABkcnMvZTJvRG9jLnhtbJxSS27bMBDdF8gd&#10;CO5jWYphGILlLOoEyCKJF+0BJvxYREWOMKQtu7fpWXKxjvyJ7RZBAG+I4Qz55r15M73f+EasDUWH&#10;oZL5YCiFCQq1C8tK/vzxeDuRIiYIGhoMppJbE+X97ObbtGtLU2CNjTYkGCTEsmsrWafUllkWVW08&#10;xAG2JnDRInlIfKVlpgk6RvdNVgyH46xD0i2hMjFydr4vytkO31qj0qu10STRMLt8MmF+6SMijopi&#10;xLm3Y5TNplAuCdraqQMtuIKVBxeYxAfUHBKIFbn/oLxThBFtGij0GVrrlNlpYnX58B91T+FXrywf&#10;qRWVCkMyIS2A0nF+u8I1LXzDI+ieUbNDsEooD4g8oK8N2ZOeo1p55rN3hUwDiVci1q6NUlDpdCXp&#10;Secn/mH9/aRgQSddL+sFif79uJAigGdOY/EQEoEGoY1o3v+07rdkp46TeLmE4kp2KH3WZGPJ9/Yw&#10;d7GpJG/Atj937ptNEoqTd2NOK873wRnm/u+xw5kN3PbC8PN7T+ls42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Rv/J98AAAAJAQAADwAAAGRycy9kb3ducmV2LnhtbEyP&#10;QW7CMBBF95V6B2sqdVfsokAgjYPaSEUVu0IPYOJpEhqPQ2wg3L7Dql2O5uv/9/LV6DpxxiG0njQ8&#10;TxQIpMrblmoNX7v3pwWIEA1Z03lCDVcMsCru73KTWX+hTzxvYy24hEJmNDQx9pmUoWrQmTDxPRL/&#10;vv3gTORzqKUdzIXLXSenSs2lMy3xQmN6LBusfrYnp6EqZ2/HdTyUG7ru7Mf6uDykndX68WF8fQER&#10;cYx/YbjhMzoUzLT3J7JBdBoSlbBL1DBbsAIHEpUuQew1zKcpyCKX/w2KXwAAAP//AwBQSwMEFAAG&#10;AAgAAAAhAN+exRaxAQAA3AMAABAAAABkcnMvaW5rL2luazEueG1snFPBbqMwEL2vtP9gec8BExSn&#10;i0p6WKnSSrtStU2l9khhEqxiO7JNSP6+gwEnq2V7KAcEM35v5r0Z396dZEOOYKzQKqdJxCgBVepK&#10;qH1On7b3ixtKrCtUVTRaQU7PYOnd5uuXW6HeZJPhmyCDsv2XbHJaO3fI4rjruqhLI2328ZKxNP6p&#10;3n7/opsRVcFOKOGwpJ1CpVYOTq4ny0SV09KdWDiP3I+6NSWEdB8x5eWEM0UJ99rIwgXGulAKGqIK&#10;iX0/U+LOB/wQWGcPhhJZnFBwyjklLTZjsaak8Tz6ZR695ujOX+DY25D9v50How9gnICL8qHPMXEm&#10;5fDvWx56N2B10/Z2UXIsmhZVrNIoXX1PL+WTeKb7fzlRyIecKT5B0sQ5ihobu1YwZsJ8JveckIBb&#10;Iw9hYM7iZvXhR2f8bi1ZslokywW72SY8W62zJIk4X/YTmOoNKzFxvprW1oHv1VyG7zNB66CvE5Wr&#10;g10sYpzzdVB27dUcugaxr92n4TvhtvpHa44QKJIrYb5ikDlzGfz6kPFK/IFdTr/5+0A8cgh4Axhh&#10;k1seE0hxIpt3AAAA//8DAFBLAQItABQABgAIAAAAIQCbMyc3DAEAAC0CAAATAAAAAAAAAAAAAAAA&#10;AAAAAABbQ29udGVudF9UeXBlc10ueG1sUEsBAi0AFAAGAAgAAAAhADj9If/WAAAAlAEAAAsAAAAA&#10;AAAAAAAAAAAAPQEAAF9yZWxzLy5yZWxzUEsBAi0AFAAGAAgAAAAhAJOI5EOSAQAAOQMAAA4AAAAA&#10;AAAAAAAAAAAAPAIAAGRycy9lMm9Eb2MueG1sUEsBAi0AFAAGAAgAAAAhAHkYvJ2/AAAAIQEAABkA&#10;AAAAAAAAAAAAAAAA+gMAAGRycy9fcmVscy9lMm9Eb2MueG1sLnJlbHNQSwECLQAUAAYACAAAACEA&#10;5Rv/J98AAAAJAQAADwAAAAAAAAAAAAAAAADwBAAAZHJzL2Rvd25yZXYueG1sUEsBAi0AFAAGAAgA&#10;AAAhAN+exRaxAQAA3AMAABAAAAAAAAAAAAAAAAAA/AUAAGRycy9pbmsvaW5rMS54bWxQSwUGAAAA&#10;AAYABgB4AQAA2wcAAAAA&#10;">
            <v:imagedata r:id="rId88" o:title=""/>
          </v:shape>
        </w:pict>
      </w:r>
      <w:r w:rsidR="00833724" w:rsidRPr="001B34D0">
        <w:rPr>
          <w:rFonts w:cs="Arial"/>
          <w:b/>
        </w:rPr>
        <w:t xml:space="preserve"> IMPACTOS POSITIVOS: </w:t>
      </w:r>
      <w:r w:rsidR="00833724" w:rsidRPr="001B34D0">
        <w:rPr>
          <w:rFonts w:cs="Arial"/>
        </w:rPr>
        <w:t>De acuerdo a la información suministrada por el Sena encontramos que la cobertura en general mejoro ya que  tendió al aumento entre los años 2011 con 0.73 beneficiados y en 2014 0.84 beneficiados en lo referente a la cobertura de educación superior comprendida entre los años 2011 a 2014.</w:t>
      </w:r>
    </w:p>
    <w:p w:rsidR="00833724" w:rsidRPr="001B34D0" w:rsidRDefault="00833724" w:rsidP="00A92D87">
      <w:pPr>
        <w:tabs>
          <w:tab w:val="left" w:pos="284"/>
        </w:tabs>
        <w:spacing w:line="240" w:lineRule="auto"/>
        <w:contextualSpacing/>
        <w:jc w:val="both"/>
        <w:rPr>
          <w:rFonts w:cs="Arial"/>
        </w:rPr>
      </w:pPr>
    </w:p>
    <w:p w:rsidR="00833724" w:rsidRPr="001B34D0" w:rsidRDefault="00833724" w:rsidP="00A92D87">
      <w:pPr>
        <w:tabs>
          <w:tab w:val="left" w:pos="284"/>
        </w:tabs>
        <w:spacing w:line="240" w:lineRule="auto"/>
        <w:contextualSpacing/>
        <w:jc w:val="both"/>
        <w:rPr>
          <w:rFonts w:cs="Arial"/>
          <w:b/>
        </w:rPr>
      </w:pPr>
      <w:r w:rsidRPr="001B34D0">
        <w:rPr>
          <w:rFonts w:cs="Arial"/>
          <w:b/>
        </w:rPr>
        <w:t>RECOMENDACIONES:</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 xml:space="preserve">Mayor promoción y difusión de las entidades educativas, las cuales ofrecen programas de educación superior. </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Buscar una fuente de información idónea y completa con el fin de poder hacer un análisis real de la situación educativa de los jóvenes del municipio de pasto.</w:t>
      </w:r>
    </w:p>
    <w:p w:rsidR="00AB2385" w:rsidRDefault="00AB2385" w:rsidP="00A92D87">
      <w:pPr>
        <w:spacing w:line="240" w:lineRule="auto"/>
        <w:jc w:val="center"/>
        <w:rPr>
          <w:rFonts w:cs="Arial"/>
          <w:b/>
        </w:rPr>
      </w:pPr>
    </w:p>
    <w:p w:rsidR="00833724" w:rsidRPr="001B34D0" w:rsidRDefault="00833724" w:rsidP="00A92D87">
      <w:pPr>
        <w:spacing w:line="240" w:lineRule="auto"/>
        <w:jc w:val="center"/>
        <w:rPr>
          <w:rFonts w:cs="Arial"/>
          <w:b/>
        </w:rPr>
      </w:pPr>
      <w:r w:rsidRPr="001B34D0">
        <w:rPr>
          <w:rFonts w:cs="Arial"/>
          <w:b/>
        </w:rPr>
        <w:t>INDICADOR 159 TITULACION SEGÚN EDUCACION TECNICA</w:t>
      </w:r>
    </w:p>
    <w:p w:rsidR="00833724" w:rsidRPr="001B34D0" w:rsidRDefault="00833724" w:rsidP="00A92D87">
      <w:pPr>
        <w:spacing w:after="0" w:line="240" w:lineRule="auto"/>
        <w:rPr>
          <w:rFonts w:eastAsia="Times New Roman" w:cs="Times New Roman"/>
          <w:vanish/>
          <w:lang w:eastAsia="es-CO"/>
        </w:rPr>
      </w:pPr>
    </w:p>
    <w:tbl>
      <w:tblPr>
        <w:tblW w:w="2249" w:type="pct"/>
        <w:tblCellSpacing w:w="0" w:type="dxa"/>
        <w:tblInd w:w="150" w:type="dxa"/>
        <w:tblCellMar>
          <w:top w:w="75" w:type="dxa"/>
          <w:left w:w="75" w:type="dxa"/>
          <w:bottom w:w="75" w:type="dxa"/>
          <w:right w:w="75" w:type="dxa"/>
        </w:tblCellMar>
        <w:tblLook w:val="04A0"/>
      </w:tblPr>
      <w:tblGrid>
        <w:gridCol w:w="4110"/>
      </w:tblGrid>
      <w:tr w:rsidR="00833724" w:rsidRPr="001B34D0" w:rsidTr="00000F81">
        <w:trPr>
          <w:tblCellSpacing w:w="0" w:type="dxa"/>
        </w:trPr>
        <w:tc>
          <w:tcPr>
            <w:tcW w:w="5000" w:type="pct"/>
            <w:tcBorders>
              <w:bottom w:val="nil"/>
            </w:tcBorders>
            <w:shd w:val="clear" w:color="auto" w:fill="2C5982"/>
            <w:tcMar>
              <w:top w:w="150" w:type="dxa"/>
              <w:left w:w="150" w:type="dxa"/>
              <w:bottom w:w="150" w:type="dxa"/>
              <w:right w:w="150" w:type="dxa"/>
            </w:tcMar>
            <w:hideMark/>
          </w:tcPr>
          <w:p w:rsidR="00833724" w:rsidRPr="001B34D0" w:rsidRDefault="00833724" w:rsidP="00A92D87">
            <w:pPr>
              <w:spacing w:after="0" w:line="240" w:lineRule="auto"/>
              <w:jc w:val="center"/>
              <w:rPr>
                <w:rFonts w:eastAsia="Times New Roman" w:cs="Arial"/>
                <w:b/>
                <w:bCs/>
                <w:i/>
                <w:iCs/>
                <w:color w:val="B7E4EE"/>
                <w:lang w:eastAsia="es-CO"/>
              </w:rPr>
            </w:pPr>
            <w:r w:rsidRPr="001B34D0">
              <w:rPr>
                <w:rFonts w:eastAsia="Times New Roman" w:cs="Times New Roman"/>
                <w:noProof/>
                <w:color w:val="525252"/>
                <w:lang w:val="es-ES" w:eastAsia="es-ES"/>
              </w:rPr>
              <w:drawing>
                <wp:anchor distT="0" distB="0" distL="114300" distR="114300" simplePos="0" relativeHeight="251666432" behindDoc="0" locked="0" layoutInCell="1" allowOverlap="1">
                  <wp:simplePos x="0" y="0"/>
                  <wp:positionH relativeFrom="column">
                    <wp:posOffset>2625338</wp:posOffset>
                  </wp:positionH>
                  <wp:positionV relativeFrom="paragraph">
                    <wp:posOffset>-88458</wp:posOffset>
                  </wp:positionV>
                  <wp:extent cx="2862921" cy="1375575"/>
                  <wp:effectExtent l="0" t="0" r="0" b="0"/>
                  <wp:wrapNone/>
                  <wp:docPr id="75" name="Imagen 75" descr="http://www.vigilanciasuperiorprocuraduria.org/rpc_neo/x_graf_bar1_ind.php?datos_graf_x=array(2011,%202012,%202013,%202014)&amp;datos_graf_y=array(639.00,%20562.00,%20765.00,%20821.00)&amp;titx=Periodos&amp;tity=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igilanciasuperiorprocuraduria.org/rpc_neo/x_graf_bar1_ind.php?datos_graf_x=array(2011,%202012,%202013,%202014)&amp;datos_graf_y=array(639.00,%20562.00,%20765.00,%20821.00)&amp;titx=Periodos&amp;tity=Valores"/>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6390" cy="1377242"/>
                          </a:xfrm>
                          <a:prstGeom prst="rect">
                            <a:avLst/>
                          </a:prstGeom>
                          <a:noFill/>
                          <a:ln>
                            <a:noFill/>
                          </a:ln>
                        </pic:spPr>
                      </pic:pic>
                    </a:graphicData>
                  </a:graphic>
                </wp:anchor>
              </w:drawing>
            </w:r>
            <w:r w:rsidRPr="001B34D0">
              <w:rPr>
                <w:rFonts w:eastAsia="Times New Roman" w:cs="Arial"/>
                <w:b/>
                <w:bCs/>
                <w:i/>
                <w:iCs/>
                <w:color w:val="B7E4EE"/>
                <w:lang w:eastAsia="es-CO"/>
              </w:rPr>
              <w:t>Valores Totales</w:t>
            </w:r>
          </w:p>
        </w:tc>
      </w:tr>
    </w:tbl>
    <w:p w:rsidR="00833724" w:rsidRPr="001B34D0" w:rsidRDefault="00833724" w:rsidP="00A92D87">
      <w:pPr>
        <w:spacing w:after="0" w:line="240" w:lineRule="auto"/>
        <w:rPr>
          <w:rFonts w:eastAsia="Times New Roman" w:cs="Times New Roman"/>
          <w:vanish/>
          <w:lang w:eastAsia="es-CO"/>
        </w:rPr>
      </w:pPr>
    </w:p>
    <w:tbl>
      <w:tblPr>
        <w:tblW w:w="2329" w:type="pct"/>
        <w:tblBorders>
          <w:top w:val="outset" w:sz="6" w:space="0" w:color="A4A7BC"/>
          <w:left w:val="outset" w:sz="6" w:space="0" w:color="A4A7BC"/>
          <w:bottom w:val="outset" w:sz="6" w:space="0" w:color="A4A7BC"/>
          <w:right w:val="outset" w:sz="6" w:space="0" w:color="A4A7BC"/>
        </w:tblBorders>
        <w:tblCellMar>
          <w:top w:w="15" w:type="dxa"/>
          <w:left w:w="15" w:type="dxa"/>
          <w:bottom w:w="15" w:type="dxa"/>
          <w:right w:w="15" w:type="dxa"/>
        </w:tblCellMar>
        <w:tblLook w:val="04A0"/>
      </w:tblPr>
      <w:tblGrid>
        <w:gridCol w:w="645"/>
        <w:gridCol w:w="1064"/>
        <w:gridCol w:w="1360"/>
        <w:gridCol w:w="1062"/>
      </w:tblGrid>
      <w:tr w:rsidR="00833724" w:rsidRPr="001B34D0" w:rsidTr="00000F81">
        <w:trPr>
          <w:trHeight w:val="320"/>
        </w:trPr>
        <w:tc>
          <w:tcPr>
            <w:tcW w:w="812"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Año</w:t>
            </w:r>
          </w:p>
        </w:tc>
        <w:tc>
          <w:tcPr>
            <w:tcW w:w="1196"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Numerador</w:t>
            </w:r>
          </w:p>
        </w:tc>
        <w:tc>
          <w:tcPr>
            <w:tcW w:w="1676"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Denominador</w:t>
            </w:r>
          </w:p>
        </w:tc>
        <w:tc>
          <w:tcPr>
            <w:tcW w:w="1316"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Resultado</w:t>
            </w:r>
          </w:p>
        </w:tc>
      </w:tr>
      <w:tr w:rsidR="00833724" w:rsidRPr="001B34D0" w:rsidTr="00000F81">
        <w:trPr>
          <w:trHeight w:val="320"/>
        </w:trPr>
        <w:tc>
          <w:tcPr>
            <w:tcW w:w="812"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2011</w:t>
            </w:r>
          </w:p>
        </w:tc>
        <w:tc>
          <w:tcPr>
            <w:tcW w:w="119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7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31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639.00</w:t>
            </w:r>
          </w:p>
        </w:tc>
      </w:tr>
      <w:tr w:rsidR="00833724" w:rsidRPr="001B34D0" w:rsidTr="00000F81">
        <w:trPr>
          <w:trHeight w:val="297"/>
        </w:trPr>
        <w:tc>
          <w:tcPr>
            <w:tcW w:w="812"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2012</w:t>
            </w:r>
          </w:p>
        </w:tc>
        <w:tc>
          <w:tcPr>
            <w:tcW w:w="119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7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31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562.00</w:t>
            </w:r>
          </w:p>
        </w:tc>
      </w:tr>
      <w:tr w:rsidR="00833724" w:rsidRPr="001B34D0" w:rsidTr="00000F81">
        <w:trPr>
          <w:trHeight w:val="320"/>
        </w:trPr>
        <w:tc>
          <w:tcPr>
            <w:tcW w:w="812"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2013</w:t>
            </w:r>
          </w:p>
        </w:tc>
        <w:tc>
          <w:tcPr>
            <w:tcW w:w="119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7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31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765.00</w:t>
            </w:r>
          </w:p>
        </w:tc>
      </w:tr>
      <w:tr w:rsidR="00833724" w:rsidRPr="001B34D0" w:rsidTr="00000F81">
        <w:trPr>
          <w:trHeight w:val="320"/>
        </w:trPr>
        <w:tc>
          <w:tcPr>
            <w:tcW w:w="812"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2014</w:t>
            </w:r>
          </w:p>
        </w:tc>
        <w:tc>
          <w:tcPr>
            <w:tcW w:w="119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7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31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821.00</w:t>
            </w:r>
          </w:p>
        </w:tc>
      </w:tr>
    </w:tbl>
    <w:p w:rsidR="00833724" w:rsidRPr="001B34D0" w:rsidRDefault="00833724" w:rsidP="00A92D87">
      <w:pPr>
        <w:spacing w:after="0" w:line="240" w:lineRule="auto"/>
        <w:rPr>
          <w:rFonts w:eastAsia="Times New Roman" w:cs="Times New Roman"/>
          <w:vanish/>
          <w:lang w:eastAsia="es-CO"/>
        </w:rPr>
      </w:pPr>
    </w:p>
    <w:tbl>
      <w:tblPr>
        <w:tblW w:w="4900" w:type="pct"/>
        <w:jc w:val="center"/>
        <w:tblCellSpacing w:w="0" w:type="dxa"/>
        <w:tblCellMar>
          <w:top w:w="75" w:type="dxa"/>
          <w:left w:w="75" w:type="dxa"/>
          <w:bottom w:w="75" w:type="dxa"/>
          <w:right w:w="75" w:type="dxa"/>
        </w:tblCellMar>
        <w:tblLook w:val="04A0"/>
      </w:tblPr>
      <w:tblGrid>
        <w:gridCol w:w="8808"/>
      </w:tblGrid>
      <w:tr w:rsidR="00833724" w:rsidRPr="001B34D0" w:rsidTr="00000F81">
        <w:trPr>
          <w:tblCellSpacing w:w="0" w:type="dxa"/>
          <w:jc w:val="center"/>
        </w:trPr>
        <w:tc>
          <w:tcPr>
            <w:tcW w:w="0" w:type="auto"/>
            <w:tcBorders>
              <w:bottom w:val="nil"/>
            </w:tcBorders>
            <w:shd w:val="clear" w:color="auto" w:fill="FFFFFF"/>
            <w:hideMark/>
          </w:tcPr>
          <w:p w:rsidR="00833724" w:rsidRPr="001B34D0" w:rsidRDefault="00833724" w:rsidP="00A92D87">
            <w:pPr>
              <w:spacing w:after="0" w:line="240" w:lineRule="auto"/>
              <w:jc w:val="center"/>
              <w:rPr>
                <w:rFonts w:eastAsia="Times New Roman" w:cs="Times New Roman"/>
                <w:color w:val="525252"/>
                <w:lang w:eastAsia="es-CO"/>
              </w:rPr>
            </w:pPr>
          </w:p>
        </w:tc>
      </w:tr>
    </w:tbl>
    <w:p w:rsidR="00833724" w:rsidRPr="001B34D0" w:rsidRDefault="00833724" w:rsidP="00A92D87">
      <w:pPr>
        <w:tabs>
          <w:tab w:val="left" w:pos="284"/>
        </w:tabs>
        <w:spacing w:line="240" w:lineRule="auto"/>
        <w:contextualSpacing/>
        <w:jc w:val="both"/>
        <w:rPr>
          <w:rFonts w:cs="Arial"/>
          <w:b/>
        </w:rPr>
      </w:pPr>
      <w:r w:rsidRPr="001B34D0">
        <w:rPr>
          <w:rFonts w:cs="Arial"/>
          <w:b/>
        </w:rPr>
        <w:t xml:space="preserve">IMPACTOS POSITIVOS: </w:t>
      </w:r>
    </w:p>
    <w:p w:rsidR="00833724" w:rsidRPr="001B34D0" w:rsidRDefault="00833724" w:rsidP="00A92D87">
      <w:pPr>
        <w:tabs>
          <w:tab w:val="left" w:pos="284"/>
        </w:tabs>
        <w:spacing w:line="240" w:lineRule="auto"/>
        <w:contextualSpacing/>
        <w:jc w:val="both"/>
        <w:rPr>
          <w:rFonts w:cs="Arial"/>
        </w:rPr>
      </w:pPr>
      <w:r w:rsidRPr="001B34D0">
        <w:rPr>
          <w:rFonts w:cs="Arial"/>
        </w:rPr>
        <w:t>De acuerdo a la información suministrada por el aplicativo Sofía Plus del Sena uno de los impactos positivos fue que en los años 2013 y 2014 se logró evidenciar un aumento significativo en jóvenes titulados en el programa de Educación técnica en el Municipio de Pasto siendo el año 2014 el año de mayor titulación técnica con un valor de 821 jóvenes beneficiados  donde  prevalece el sexo femenino con un total de 439 jóvenes tituladas en educación gratuita que ofrece el Servicio Nacional de Aprendizaje Sena brindándoles a los jóvenes la oportunidad de cumplir el sueño de superación.</w:t>
      </w:r>
    </w:p>
    <w:p w:rsidR="00833724" w:rsidRPr="001B34D0" w:rsidRDefault="00833724" w:rsidP="00A92D87">
      <w:pPr>
        <w:tabs>
          <w:tab w:val="left" w:pos="284"/>
        </w:tabs>
        <w:spacing w:line="240" w:lineRule="auto"/>
        <w:contextualSpacing/>
        <w:jc w:val="both"/>
        <w:rPr>
          <w:rFonts w:cs="Arial"/>
        </w:rPr>
      </w:pPr>
    </w:p>
    <w:p w:rsidR="00833724" w:rsidRPr="001B34D0" w:rsidRDefault="00833724" w:rsidP="00A92D87">
      <w:pPr>
        <w:tabs>
          <w:tab w:val="left" w:pos="284"/>
        </w:tabs>
        <w:spacing w:line="240" w:lineRule="auto"/>
        <w:contextualSpacing/>
        <w:jc w:val="both"/>
        <w:rPr>
          <w:rFonts w:cs="Arial"/>
          <w:b/>
        </w:rPr>
      </w:pPr>
      <w:r w:rsidRPr="001B34D0">
        <w:rPr>
          <w:rFonts w:cs="Arial"/>
          <w:b/>
        </w:rPr>
        <w:t>RECOMENDACIONES:</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Incluir programas técnicos aptos para jóvenes con discapacidad brindándoles preferencia y prioridad en el momento de su inscripción para la vinculación a la educación técnica.</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tener prioridad en atender a la población joven víctima, de acuerdo con la ley de víctimas y restitución de tierras, con el objeto de mejorar su perfil ocupacional e incrementar las posibilidades de inserción laboral, mediante la orientación ocupacional y las acciones de formación para el trabajo.</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Aumentar la cobertura en Educación técnica y así reducir el desempleo Juvenil</w:t>
      </w:r>
    </w:p>
    <w:p w:rsidR="00833724" w:rsidRPr="001B34D0" w:rsidRDefault="00833724" w:rsidP="00A92D87">
      <w:pPr>
        <w:tabs>
          <w:tab w:val="left" w:pos="284"/>
        </w:tabs>
        <w:spacing w:line="240" w:lineRule="auto"/>
        <w:contextualSpacing/>
        <w:jc w:val="center"/>
        <w:rPr>
          <w:rFonts w:cs="Arial"/>
          <w:b/>
        </w:rPr>
      </w:pPr>
    </w:p>
    <w:p w:rsidR="00833724" w:rsidRPr="001B34D0" w:rsidRDefault="00833724" w:rsidP="00A92D87">
      <w:pPr>
        <w:tabs>
          <w:tab w:val="left" w:pos="284"/>
        </w:tabs>
        <w:spacing w:line="240" w:lineRule="auto"/>
        <w:contextualSpacing/>
        <w:jc w:val="center"/>
        <w:rPr>
          <w:rFonts w:cs="Arial"/>
          <w:b/>
        </w:rPr>
      </w:pPr>
      <w:r w:rsidRPr="001B34D0">
        <w:rPr>
          <w:rFonts w:cs="Arial"/>
          <w:b/>
        </w:rPr>
        <w:t>INDICADOR 160 TITULACION EN EDUCACION TECNOLOGICA</w:t>
      </w:r>
    </w:p>
    <w:p w:rsidR="00833724" w:rsidRPr="001B34D0" w:rsidRDefault="00833724" w:rsidP="00A92D87">
      <w:pPr>
        <w:spacing w:after="0" w:line="240" w:lineRule="auto"/>
        <w:rPr>
          <w:rFonts w:eastAsia="Times New Roman" w:cs="Times New Roman"/>
          <w:vanish/>
          <w:lang w:eastAsia="es-CO"/>
        </w:rPr>
      </w:pPr>
    </w:p>
    <w:tbl>
      <w:tblPr>
        <w:tblW w:w="2095" w:type="pct"/>
        <w:tblCellSpacing w:w="0" w:type="dxa"/>
        <w:tblInd w:w="150" w:type="dxa"/>
        <w:tblCellMar>
          <w:top w:w="75" w:type="dxa"/>
          <w:left w:w="75" w:type="dxa"/>
          <w:bottom w:w="75" w:type="dxa"/>
          <w:right w:w="75" w:type="dxa"/>
        </w:tblCellMar>
        <w:tblLook w:val="04A0"/>
      </w:tblPr>
      <w:tblGrid>
        <w:gridCol w:w="3829"/>
      </w:tblGrid>
      <w:tr w:rsidR="00833724" w:rsidRPr="001B34D0" w:rsidTr="00000F81">
        <w:trPr>
          <w:tblCellSpacing w:w="0" w:type="dxa"/>
        </w:trPr>
        <w:tc>
          <w:tcPr>
            <w:tcW w:w="5000" w:type="pct"/>
            <w:tcBorders>
              <w:bottom w:val="nil"/>
            </w:tcBorders>
            <w:shd w:val="clear" w:color="auto" w:fill="2C5982"/>
            <w:tcMar>
              <w:top w:w="150" w:type="dxa"/>
              <w:left w:w="150" w:type="dxa"/>
              <w:bottom w:w="150" w:type="dxa"/>
              <w:right w:w="150" w:type="dxa"/>
            </w:tcMar>
            <w:hideMark/>
          </w:tcPr>
          <w:p w:rsidR="00833724" w:rsidRPr="001B34D0" w:rsidRDefault="00833724" w:rsidP="00A92D87">
            <w:pPr>
              <w:spacing w:after="0" w:line="240" w:lineRule="auto"/>
              <w:jc w:val="center"/>
              <w:rPr>
                <w:rFonts w:eastAsia="Times New Roman" w:cs="Arial"/>
                <w:b/>
                <w:bCs/>
                <w:i/>
                <w:iCs/>
                <w:color w:val="B7E4EE"/>
                <w:lang w:eastAsia="es-CO"/>
              </w:rPr>
            </w:pPr>
            <w:r w:rsidRPr="001B34D0">
              <w:rPr>
                <w:rFonts w:eastAsia="Times New Roman" w:cs="Times New Roman"/>
                <w:noProof/>
                <w:color w:val="525252"/>
                <w:lang w:val="es-ES" w:eastAsia="es-ES"/>
              </w:rPr>
              <w:drawing>
                <wp:anchor distT="0" distB="0" distL="114300" distR="114300" simplePos="0" relativeHeight="251667456" behindDoc="0" locked="0" layoutInCell="1" allowOverlap="1">
                  <wp:simplePos x="0" y="0"/>
                  <wp:positionH relativeFrom="column">
                    <wp:posOffset>2442458</wp:posOffset>
                  </wp:positionH>
                  <wp:positionV relativeFrom="paragraph">
                    <wp:posOffset>-48702</wp:posOffset>
                  </wp:positionV>
                  <wp:extent cx="2711395" cy="1240404"/>
                  <wp:effectExtent l="0" t="0" r="0" b="0"/>
                  <wp:wrapNone/>
                  <wp:docPr id="76" name="Imagen 76" descr="http://www.vigilanciasuperiorprocuraduria.org/rpc_neo/x_graf_bar1_ind.php?datos_graf_x=array(2011,%202012,%202013,%202014)&amp;datos_graf_y=array(236.00,%20304.00,%20423.00,%20330.00)&amp;titx=Periodos&amp;tity=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vigilanciasuperiorprocuraduria.org/rpc_neo/x_graf_bar1_ind.php?datos_graf_x=array(2011,%202012,%202013,%202014)&amp;datos_graf_y=array(236.00,%20304.00,%20423.00,%20330.00)&amp;titx=Periodos&amp;tity=Valores"/>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351" cy="1240841"/>
                          </a:xfrm>
                          <a:prstGeom prst="rect">
                            <a:avLst/>
                          </a:prstGeom>
                          <a:noFill/>
                          <a:ln>
                            <a:noFill/>
                          </a:ln>
                        </pic:spPr>
                      </pic:pic>
                    </a:graphicData>
                  </a:graphic>
                </wp:anchor>
              </w:drawing>
            </w:r>
            <w:r w:rsidRPr="001B34D0">
              <w:rPr>
                <w:rFonts w:eastAsia="Times New Roman" w:cs="Arial"/>
                <w:b/>
                <w:bCs/>
                <w:i/>
                <w:iCs/>
                <w:color w:val="B7E4EE"/>
                <w:lang w:eastAsia="es-CO"/>
              </w:rPr>
              <w:t>Valores Totales</w:t>
            </w:r>
          </w:p>
        </w:tc>
      </w:tr>
    </w:tbl>
    <w:p w:rsidR="00833724" w:rsidRPr="001B34D0" w:rsidRDefault="00833724" w:rsidP="00A92D87">
      <w:pPr>
        <w:spacing w:after="0" w:line="240" w:lineRule="auto"/>
        <w:rPr>
          <w:rFonts w:eastAsia="Times New Roman" w:cs="Times New Roman"/>
          <w:vanish/>
          <w:lang w:eastAsia="es-CO"/>
        </w:rPr>
      </w:pPr>
    </w:p>
    <w:tbl>
      <w:tblPr>
        <w:tblW w:w="2206" w:type="pct"/>
        <w:tblBorders>
          <w:top w:val="outset" w:sz="6" w:space="0" w:color="A4A7BC"/>
          <w:left w:val="outset" w:sz="6" w:space="0" w:color="A4A7BC"/>
          <w:bottom w:val="outset" w:sz="6" w:space="0" w:color="A4A7BC"/>
          <w:right w:val="outset" w:sz="6" w:space="0" w:color="A4A7BC"/>
        </w:tblBorders>
        <w:tblCellMar>
          <w:top w:w="15" w:type="dxa"/>
          <w:left w:w="15" w:type="dxa"/>
          <w:bottom w:w="15" w:type="dxa"/>
          <w:right w:w="15" w:type="dxa"/>
        </w:tblCellMar>
        <w:tblLook w:val="04A0"/>
      </w:tblPr>
      <w:tblGrid>
        <w:gridCol w:w="583"/>
        <w:gridCol w:w="1132"/>
        <w:gridCol w:w="1276"/>
        <w:gridCol w:w="922"/>
      </w:tblGrid>
      <w:tr w:rsidR="00833724" w:rsidRPr="001B34D0" w:rsidTr="00000F81">
        <w:trPr>
          <w:trHeight w:val="251"/>
        </w:trPr>
        <w:tc>
          <w:tcPr>
            <w:tcW w:w="746"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lastRenderedPageBreak/>
              <w:t>Año</w:t>
            </w:r>
          </w:p>
        </w:tc>
        <w:tc>
          <w:tcPr>
            <w:tcW w:w="1448"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Numerador</w:t>
            </w:r>
          </w:p>
        </w:tc>
        <w:tc>
          <w:tcPr>
            <w:tcW w:w="1630"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Denominador</w:t>
            </w:r>
          </w:p>
        </w:tc>
        <w:tc>
          <w:tcPr>
            <w:tcW w:w="1176"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Resultado</w:t>
            </w:r>
          </w:p>
        </w:tc>
      </w:tr>
      <w:tr w:rsidR="00833724" w:rsidRPr="001B34D0" w:rsidTr="00000F81">
        <w:trPr>
          <w:trHeight w:val="251"/>
        </w:trPr>
        <w:tc>
          <w:tcPr>
            <w:tcW w:w="74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2011</w:t>
            </w:r>
          </w:p>
        </w:tc>
        <w:tc>
          <w:tcPr>
            <w:tcW w:w="1448"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30"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17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236.00</w:t>
            </w:r>
          </w:p>
        </w:tc>
      </w:tr>
      <w:tr w:rsidR="00833724" w:rsidRPr="001B34D0" w:rsidTr="00000F81">
        <w:trPr>
          <w:trHeight w:val="251"/>
        </w:trPr>
        <w:tc>
          <w:tcPr>
            <w:tcW w:w="74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2012</w:t>
            </w:r>
          </w:p>
        </w:tc>
        <w:tc>
          <w:tcPr>
            <w:tcW w:w="1448"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30"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17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304.00</w:t>
            </w:r>
          </w:p>
        </w:tc>
      </w:tr>
      <w:tr w:rsidR="00833724" w:rsidRPr="001B34D0" w:rsidTr="00000F81">
        <w:trPr>
          <w:trHeight w:val="251"/>
        </w:trPr>
        <w:tc>
          <w:tcPr>
            <w:tcW w:w="74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2013</w:t>
            </w:r>
          </w:p>
        </w:tc>
        <w:tc>
          <w:tcPr>
            <w:tcW w:w="1448"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30"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17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423.00</w:t>
            </w:r>
          </w:p>
        </w:tc>
      </w:tr>
      <w:tr w:rsidR="00833724" w:rsidRPr="001B34D0" w:rsidTr="00000F81">
        <w:trPr>
          <w:trHeight w:val="251"/>
        </w:trPr>
        <w:tc>
          <w:tcPr>
            <w:tcW w:w="74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2014</w:t>
            </w:r>
          </w:p>
        </w:tc>
        <w:tc>
          <w:tcPr>
            <w:tcW w:w="1448"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30"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17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330.00</w:t>
            </w:r>
          </w:p>
        </w:tc>
      </w:tr>
    </w:tbl>
    <w:p w:rsidR="00833724" w:rsidRPr="001B34D0" w:rsidRDefault="00833724" w:rsidP="00A92D87">
      <w:pPr>
        <w:spacing w:after="0" w:line="240" w:lineRule="auto"/>
        <w:rPr>
          <w:rFonts w:eastAsia="Times New Roman" w:cs="Times New Roman"/>
          <w:vanish/>
          <w:lang w:eastAsia="es-CO"/>
        </w:rPr>
      </w:pPr>
    </w:p>
    <w:tbl>
      <w:tblPr>
        <w:tblW w:w="4900" w:type="pct"/>
        <w:jc w:val="center"/>
        <w:tblCellSpacing w:w="0" w:type="dxa"/>
        <w:tblCellMar>
          <w:top w:w="75" w:type="dxa"/>
          <w:left w:w="75" w:type="dxa"/>
          <w:bottom w:w="75" w:type="dxa"/>
          <w:right w:w="75" w:type="dxa"/>
        </w:tblCellMar>
        <w:tblLook w:val="04A0"/>
      </w:tblPr>
      <w:tblGrid>
        <w:gridCol w:w="8808"/>
      </w:tblGrid>
      <w:tr w:rsidR="00833724" w:rsidRPr="001B34D0" w:rsidTr="00000F81">
        <w:trPr>
          <w:tblCellSpacing w:w="0" w:type="dxa"/>
          <w:jc w:val="center"/>
        </w:trPr>
        <w:tc>
          <w:tcPr>
            <w:tcW w:w="0" w:type="auto"/>
            <w:tcBorders>
              <w:bottom w:val="nil"/>
            </w:tcBorders>
            <w:shd w:val="clear" w:color="auto" w:fill="FFFFFF"/>
            <w:hideMark/>
          </w:tcPr>
          <w:p w:rsidR="00833724" w:rsidRPr="001B34D0" w:rsidRDefault="00833724" w:rsidP="00A92D87">
            <w:pPr>
              <w:spacing w:after="0" w:line="240" w:lineRule="auto"/>
              <w:jc w:val="center"/>
              <w:rPr>
                <w:rFonts w:eastAsia="Times New Roman" w:cs="Times New Roman"/>
                <w:color w:val="525252"/>
                <w:lang w:eastAsia="es-CO"/>
              </w:rPr>
            </w:pPr>
          </w:p>
        </w:tc>
      </w:tr>
    </w:tbl>
    <w:p w:rsidR="00833724" w:rsidRPr="001B34D0" w:rsidRDefault="00833724" w:rsidP="00A92D87">
      <w:pPr>
        <w:tabs>
          <w:tab w:val="left" w:pos="284"/>
        </w:tabs>
        <w:spacing w:line="240" w:lineRule="auto"/>
        <w:contextualSpacing/>
        <w:jc w:val="both"/>
        <w:rPr>
          <w:rFonts w:cs="Arial"/>
          <w:b/>
        </w:rPr>
      </w:pPr>
      <w:r w:rsidRPr="001B34D0">
        <w:rPr>
          <w:rFonts w:cs="Arial"/>
          <w:b/>
        </w:rPr>
        <w:t>IMPACTOS NEGATIVOS:</w:t>
      </w:r>
    </w:p>
    <w:p w:rsidR="00833724" w:rsidRPr="001B34D0" w:rsidRDefault="00833724" w:rsidP="00A92D87">
      <w:pPr>
        <w:tabs>
          <w:tab w:val="left" w:pos="284"/>
        </w:tabs>
        <w:spacing w:line="240" w:lineRule="auto"/>
        <w:contextualSpacing/>
        <w:jc w:val="both"/>
        <w:rPr>
          <w:rFonts w:cs="Arial"/>
        </w:rPr>
      </w:pPr>
      <w:r w:rsidRPr="001B34D0">
        <w:rPr>
          <w:rFonts w:cs="Arial"/>
        </w:rPr>
        <w:t>No se encuentra una serie completa donde su comportamiento es sin serie temporal para el análisis de la aplicabilidad de los derechos, razón por la cual se toma de la graficas suministradas donde se visibiliza la tendencia  a disminuir la cobertura en el año 2014.</w:t>
      </w:r>
    </w:p>
    <w:p w:rsidR="00833724" w:rsidRPr="001B34D0" w:rsidRDefault="00833724" w:rsidP="00A92D87">
      <w:pPr>
        <w:tabs>
          <w:tab w:val="left" w:pos="284"/>
        </w:tabs>
        <w:spacing w:line="240" w:lineRule="auto"/>
        <w:contextualSpacing/>
        <w:jc w:val="both"/>
        <w:rPr>
          <w:rFonts w:cs="Arial"/>
          <w:b/>
        </w:rPr>
      </w:pPr>
    </w:p>
    <w:p w:rsidR="00833724" w:rsidRPr="001B34D0" w:rsidRDefault="00833724" w:rsidP="00A92D87">
      <w:pPr>
        <w:tabs>
          <w:tab w:val="left" w:pos="284"/>
        </w:tabs>
        <w:spacing w:line="240" w:lineRule="auto"/>
        <w:contextualSpacing/>
        <w:jc w:val="both"/>
        <w:rPr>
          <w:rFonts w:cs="Arial"/>
          <w:b/>
        </w:rPr>
      </w:pPr>
      <w:r w:rsidRPr="001B34D0">
        <w:rPr>
          <w:rFonts w:cs="Arial"/>
          <w:b/>
        </w:rPr>
        <w:t>RECOMENDACIONES:</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Se realice un  análisis con base en la información completa y así poder intervenir desde la alcaldía  de pasto a  los sectores que sean más vulnerables y estén desprotegidos, a través de la oferta no solo del Sena si no de la alcaldía también.</w:t>
      </w:r>
    </w:p>
    <w:p w:rsidR="00833724" w:rsidRPr="001B34D0" w:rsidRDefault="00833724" w:rsidP="00A92D87">
      <w:pPr>
        <w:tabs>
          <w:tab w:val="left" w:pos="284"/>
        </w:tabs>
        <w:spacing w:line="240" w:lineRule="auto"/>
        <w:contextualSpacing/>
        <w:jc w:val="center"/>
        <w:rPr>
          <w:rFonts w:cs="Arial"/>
          <w:b/>
        </w:rPr>
      </w:pPr>
    </w:p>
    <w:p w:rsidR="00833724" w:rsidRPr="001B34D0" w:rsidRDefault="00833724" w:rsidP="00A92D87">
      <w:pPr>
        <w:tabs>
          <w:tab w:val="left" w:pos="284"/>
        </w:tabs>
        <w:spacing w:line="240" w:lineRule="auto"/>
        <w:contextualSpacing/>
        <w:jc w:val="center"/>
        <w:rPr>
          <w:rFonts w:cs="Arial"/>
          <w:b/>
        </w:rPr>
      </w:pPr>
      <w:r w:rsidRPr="001B34D0">
        <w:rPr>
          <w:rFonts w:cs="Arial"/>
          <w:b/>
        </w:rPr>
        <w:t>INDICADOR 161 TITULACION EN EDUCACION SUPERIOR</w:t>
      </w:r>
    </w:p>
    <w:p w:rsidR="00833724" w:rsidRPr="001B34D0" w:rsidRDefault="00833724" w:rsidP="00A92D87">
      <w:pPr>
        <w:spacing w:after="0" w:line="240" w:lineRule="auto"/>
        <w:rPr>
          <w:rFonts w:eastAsia="Times New Roman" w:cs="Times New Roman"/>
          <w:vanish/>
          <w:lang w:eastAsia="es-CO"/>
        </w:rPr>
      </w:pPr>
    </w:p>
    <w:tbl>
      <w:tblPr>
        <w:tblW w:w="2295" w:type="pct"/>
        <w:tblCellSpacing w:w="0" w:type="dxa"/>
        <w:tblInd w:w="150" w:type="dxa"/>
        <w:tblCellMar>
          <w:top w:w="75" w:type="dxa"/>
          <w:left w:w="75" w:type="dxa"/>
          <w:bottom w:w="75" w:type="dxa"/>
          <w:right w:w="75" w:type="dxa"/>
        </w:tblCellMar>
        <w:tblLook w:val="04A0"/>
      </w:tblPr>
      <w:tblGrid>
        <w:gridCol w:w="4194"/>
      </w:tblGrid>
      <w:tr w:rsidR="00833724" w:rsidRPr="001B34D0" w:rsidTr="00000F81">
        <w:trPr>
          <w:trHeight w:val="320"/>
          <w:tblCellSpacing w:w="0" w:type="dxa"/>
        </w:trPr>
        <w:tc>
          <w:tcPr>
            <w:tcW w:w="5000" w:type="pct"/>
            <w:tcBorders>
              <w:bottom w:val="nil"/>
            </w:tcBorders>
            <w:shd w:val="clear" w:color="auto" w:fill="2C5982"/>
            <w:tcMar>
              <w:top w:w="150" w:type="dxa"/>
              <w:left w:w="150" w:type="dxa"/>
              <w:bottom w:w="150" w:type="dxa"/>
              <w:right w:w="150" w:type="dxa"/>
            </w:tcMar>
            <w:hideMark/>
          </w:tcPr>
          <w:p w:rsidR="00833724" w:rsidRPr="001B34D0" w:rsidRDefault="00833724" w:rsidP="00A92D87">
            <w:pPr>
              <w:spacing w:after="0" w:line="240" w:lineRule="auto"/>
              <w:jc w:val="center"/>
              <w:rPr>
                <w:rFonts w:eastAsia="Times New Roman" w:cs="Arial"/>
                <w:b/>
                <w:bCs/>
                <w:i/>
                <w:iCs/>
                <w:color w:val="B7E4EE"/>
                <w:lang w:eastAsia="es-CO"/>
              </w:rPr>
            </w:pPr>
            <w:r w:rsidRPr="001B34D0">
              <w:rPr>
                <w:rFonts w:eastAsia="Times New Roman" w:cs="Times New Roman"/>
                <w:noProof/>
                <w:color w:val="525252"/>
                <w:lang w:val="es-ES" w:eastAsia="es-ES"/>
              </w:rPr>
              <w:drawing>
                <wp:anchor distT="0" distB="0" distL="114300" distR="114300" simplePos="0" relativeHeight="251668480" behindDoc="0" locked="0" layoutInCell="1" allowOverlap="1">
                  <wp:simplePos x="0" y="0"/>
                  <wp:positionH relativeFrom="column">
                    <wp:posOffset>2641241</wp:posOffset>
                  </wp:positionH>
                  <wp:positionV relativeFrom="paragraph">
                    <wp:posOffset>-79430</wp:posOffset>
                  </wp:positionV>
                  <wp:extent cx="2956313" cy="1582309"/>
                  <wp:effectExtent l="0" t="0" r="0" b="0"/>
                  <wp:wrapNone/>
                  <wp:docPr id="77" name="Imagen 77" descr="http://www.vigilanciasuperiorprocuraduria.org/rpc_neo/x_graf_bar1_ind.php?datos_graf_x=array(2011,%202012,%202013)&amp;datos_graf_y=array(2721.00,%203153.00,%203519.00)&amp;titx=Periodos&amp;tity=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gilanciasuperiorprocuraduria.org/rpc_neo/x_graf_bar1_ind.php?datos_graf_x=array(2011,%202012,%202013)&amp;datos_graf_y=array(2721.00,%203153.00,%203519.00)&amp;titx=Periodos&amp;tity=Valores"/>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735" cy="1584140"/>
                          </a:xfrm>
                          <a:prstGeom prst="rect">
                            <a:avLst/>
                          </a:prstGeom>
                          <a:noFill/>
                          <a:ln>
                            <a:noFill/>
                          </a:ln>
                        </pic:spPr>
                      </pic:pic>
                    </a:graphicData>
                  </a:graphic>
                </wp:anchor>
              </w:drawing>
            </w:r>
            <w:r w:rsidRPr="001B34D0">
              <w:rPr>
                <w:rFonts w:eastAsia="Times New Roman" w:cs="Arial"/>
                <w:b/>
                <w:bCs/>
                <w:i/>
                <w:iCs/>
                <w:color w:val="B7E4EE"/>
                <w:lang w:eastAsia="es-CO"/>
              </w:rPr>
              <w:t>Valores Totales</w:t>
            </w:r>
          </w:p>
        </w:tc>
      </w:tr>
    </w:tbl>
    <w:p w:rsidR="00833724" w:rsidRPr="001B34D0" w:rsidRDefault="00833724" w:rsidP="00A92D87">
      <w:pPr>
        <w:spacing w:after="0" w:line="240" w:lineRule="auto"/>
        <w:rPr>
          <w:rFonts w:eastAsia="Times New Roman" w:cs="Times New Roman"/>
          <w:vanish/>
          <w:lang w:eastAsia="es-CO"/>
        </w:rPr>
      </w:pPr>
    </w:p>
    <w:tbl>
      <w:tblPr>
        <w:tblW w:w="2383" w:type="pct"/>
        <w:tblBorders>
          <w:top w:val="outset" w:sz="6" w:space="0" w:color="A4A7BC"/>
          <w:left w:val="outset" w:sz="6" w:space="0" w:color="A4A7BC"/>
          <w:bottom w:val="outset" w:sz="6" w:space="0" w:color="A4A7BC"/>
          <w:right w:val="outset" w:sz="6" w:space="0" w:color="A4A7BC"/>
        </w:tblBorders>
        <w:tblCellMar>
          <w:top w:w="15" w:type="dxa"/>
          <w:left w:w="15" w:type="dxa"/>
          <w:bottom w:w="15" w:type="dxa"/>
          <w:right w:w="15" w:type="dxa"/>
        </w:tblCellMar>
        <w:tblLook w:val="04A0"/>
      </w:tblPr>
      <w:tblGrid>
        <w:gridCol w:w="664"/>
        <w:gridCol w:w="1162"/>
        <w:gridCol w:w="1306"/>
        <w:gridCol w:w="1094"/>
      </w:tblGrid>
      <w:tr w:rsidR="00833724" w:rsidRPr="001B34D0" w:rsidTr="00000F81">
        <w:trPr>
          <w:trHeight w:val="425"/>
        </w:trPr>
        <w:tc>
          <w:tcPr>
            <w:tcW w:w="786"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Año</w:t>
            </w:r>
          </w:p>
        </w:tc>
        <w:tc>
          <w:tcPr>
            <w:tcW w:w="1375"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Numerador</w:t>
            </w:r>
          </w:p>
        </w:tc>
        <w:tc>
          <w:tcPr>
            <w:tcW w:w="1545"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Denominador</w:t>
            </w:r>
          </w:p>
        </w:tc>
        <w:tc>
          <w:tcPr>
            <w:tcW w:w="1294"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Resultado</w:t>
            </w:r>
          </w:p>
        </w:tc>
      </w:tr>
      <w:tr w:rsidR="00833724" w:rsidRPr="001B34D0" w:rsidTr="00000F81">
        <w:trPr>
          <w:trHeight w:val="425"/>
        </w:trPr>
        <w:tc>
          <w:tcPr>
            <w:tcW w:w="78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2011</w:t>
            </w:r>
          </w:p>
        </w:tc>
        <w:tc>
          <w:tcPr>
            <w:tcW w:w="137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54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294"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2,721.00</w:t>
            </w:r>
          </w:p>
        </w:tc>
      </w:tr>
      <w:tr w:rsidR="00833724" w:rsidRPr="001B34D0" w:rsidTr="00000F81">
        <w:trPr>
          <w:trHeight w:val="425"/>
        </w:trPr>
        <w:tc>
          <w:tcPr>
            <w:tcW w:w="786"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2012</w:t>
            </w:r>
          </w:p>
        </w:tc>
        <w:tc>
          <w:tcPr>
            <w:tcW w:w="137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54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294"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3,153.00</w:t>
            </w:r>
          </w:p>
        </w:tc>
      </w:tr>
      <w:tr w:rsidR="00833724" w:rsidRPr="001B34D0" w:rsidTr="00000F81">
        <w:trPr>
          <w:trHeight w:val="425"/>
        </w:trPr>
        <w:tc>
          <w:tcPr>
            <w:tcW w:w="786"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2013</w:t>
            </w:r>
          </w:p>
        </w:tc>
        <w:tc>
          <w:tcPr>
            <w:tcW w:w="137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54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294"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3,519.00</w:t>
            </w:r>
          </w:p>
        </w:tc>
      </w:tr>
    </w:tbl>
    <w:p w:rsidR="00833724" w:rsidRPr="001B34D0" w:rsidRDefault="00833724" w:rsidP="00A92D87">
      <w:pPr>
        <w:spacing w:after="0" w:line="240" w:lineRule="auto"/>
        <w:rPr>
          <w:rFonts w:eastAsia="Times New Roman" w:cs="Times New Roman"/>
          <w:vanish/>
          <w:lang w:eastAsia="es-CO"/>
        </w:rPr>
      </w:pPr>
    </w:p>
    <w:tbl>
      <w:tblPr>
        <w:tblW w:w="4900" w:type="pct"/>
        <w:jc w:val="center"/>
        <w:tblCellSpacing w:w="0" w:type="dxa"/>
        <w:tblCellMar>
          <w:top w:w="75" w:type="dxa"/>
          <w:left w:w="75" w:type="dxa"/>
          <w:bottom w:w="75" w:type="dxa"/>
          <w:right w:w="75" w:type="dxa"/>
        </w:tblCellMar>
        <w:tblLook w:val="04A0"/>
      </w:tblPr>
      <w:tblGrid>
        <w:gridCol w:w="8808"/>
      </w:tblGrid>
      <w:tr w:rsidR="00833724" w:rsidRPr="001B34D0" w:rsidTr="00000F81">
        <w:trPr>
          <w:tblCellSpacing w:w="0" w:type="dxa"/>
          <w:jc w:val="center"/>
        </w:trPr>
        <w:tc>
          <w:tcPr>
            <w:tcW w:w="0" w:type="auto"/>
            <w:tcBorders>
              <w:bottom w:val="nil"/>
            </w:tcBorders>
            <w:shd w:val="clear" w:color="auto" w:fill="F6F7FA"/>
            <w:hideMark/>
          </w:tcPr>
          <w:p w:rsidR="00833724" w:rsidRPr="001B34D0" w:rsidRDefault="00833724" w:rsidP="00A92D87">
            <w:pPr>
              <w:spacing w:after="0" w:line="240" w:lineRule="auto"/>
              <w:jc w:val="center"/>
              <w:rPr>
                <w:rFonts w:eastAsia="Times New Roman" w:cs="Times New Roman"/>
                <w:color w:val="525252"/>
                <w:lang w:eastAsia="es-CO"/>
              </w:rPr>
            </w:pPr>
          </w:p>
        </w:tc>
      </w:tr>
    </w:tbl>
    <w:p w:rsidR="00AB2385" w:rsidRDefault="00AB2385" w:rsidP="00A92D87">
      <w:pPr>
        <w:spacing w:line="240" w:lineRule="auto"/>
        <w:rPr>
          <w:rFonts w:cs="Arial"/>
          <w:b/>
        </w:rPr>
      </w:pPr>
    </w:p>
    <w:p w:rsidR="00833724" w:rsidRPr="001B34D0" w:rsidRDefault="00833724" w:rsidP="00A92D87">
      <w:pPr>
        <w:spacing w:line="240" w:lineRule="auto"/>
        <w:rPr>
          <w:rFonts w:cs="Arial"/>
        </w:rPr>
      </w:pPr>
      <w:r w:rsidRPr="001B34D0">
        <w:rPr>
          <w:rFonts w:cs="Arial"/>
          <w:b/>
        </w:rPr>
        <w:t>FORTALEZAS:</w:t>
      </w:r>
      <w:r w:rsidRPr="001B34D0">
        <w:rPr>
          <w:rFonts w:cs="Arial"/>
        </w:rPr>
        <w:t xml:space="preserve"> </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El Sena cuenta con profesionales idóneos en la materia comprometidos con la educación juvenil. Su ubicación estratégica de frontera le permite realizar alianzas con el vecino País y atender todo tipo de poblaciones étnicas, entre las que se cuenta con indígenas, negritudes y mestizos. La pertinencia en la formación es uno de los grandes aportes al Municipio de Pasto en los sectores agrícolas, pecuario, tecnológico, y de innovación.</w:t>
      </w:r>
    </w:p>
    <w:p w:rsidR="00833724" w:rsidRPr="001B34D0" w:rsidRDefault="00833724" w:rsidP="00A92D87">
      <w:pPr>
        <w:tabs>
          <w:tab w:val="left" w:pos="284"/>
        </w:tabs>
        <w:spacing w:line="240" w:lineRule="auto"/>
        <w:contextualSpacing/>
        <w:jc w:val="both"/>
        <w:rPr>
          <w:rFonts w:cs="Arial"/>
          <w:b/>
        </w:rPr>
      </w:pPr>
    </w:p>
    <w:p w:rsidR="00833724" w:rsidRPr="001B34D0" w:rsidRDefault="00833724" w:rsidP="00A92D87">
      <w:pPr>
        <w:tabs>
          <w:tab w:val="left" w:pos="284"/>
        </w:tabs>
        <w:spacing w:line="240" w:lineRule="auto"/>
        <w:contextualSpacing/>
        <w:jc w:val="both"/>
        <w:rPr>
          <w:rFonts w:cs="Arial"/>
          <w:b/>
        </w:rPr>
      </w:pPr>
      <w:r w:rsidRPr="001B34D0">
        <w:rPr>
          <w:rFonts w:cs="Arial"/>
          <w:b/>
        </w:rPr>
        <w:t xml:space="preserve">IMPACTOS POSITIVOS: </w:t>
      </w:r>
    </w:p>
    <w:p w:rsidR="00833724" w:rsidRPr="001B34D0" w:rsidRDefault="00833724" w:rsidP="00A92D87">
      <w:pPr>
        <w:tabs>
          <w:tab w:val="left" w:pos="284"/>
        </w:tabs>
        <w:spacing w:line="240" w:lineRule="auto"/>
        <w:contextualSpacing/>
        <w:jc w:val="both"/>
        <w:rPr>
          <w:rFonts w:cs="Arial"/>
        </w:rPr>
      </w:pPr>
      <w:r w:rsidRPr="001B34D0">
        <w:rPr>
          <w:rFonts w:cs="Arial"/>
        </w:rPr>
        <w:t xml:space="preserve">De acuerdo a la información suministrada por el aplicativo Sofía Plus del Sena donde su comportamiento es sin serie temporal donde podemos analizar que el impacto positivo en la Titulación en Educación Superior en jóvenes de 18 a 28 años de edad del Municipio de Pasto en los años 2011 a 2013 ha aumentado notablemente incrementando aproximadamente 400   jóvenes titulados año por año; iniciando en el año 2011 con un total de 2.721 jóvenes titulados en Educación Superior  y siendo en el año 2013 el año de mayor titulación con un total de 3.519 </w:t>
      </w:r>
      <w:r w:rsidRPr="001B34D0">
        <w:rPr>
          <w:rFonts w:cs="Arial"/>
        </w:rPr>
        <w:lastRenderedPageBreak/>
        <w:t>jóvenes que reciben el título en los diferentes programas que ofrece el Sena de forma gratuita en educación Superior.</w:t>
      </w:r>
    </w:p>
    <w:p w:rsidR="00833724" w:rsidRPr="001B34D0" w:rsidRDefault="00833724" w:rsidP="00A92D87">
      <w:pPr>
        <w:tabs>
          <w:tab w:val="left" w:pos="284"/>
        </w:tabs>
        <w:spacing w:line="240" w:lineRule="auto"/>
        <w:contextualSpacing/>
        <w:jc w:val="both"/>
        <w:rPr>
          <w:rFonts w:cs="Arial"/>
          <w:b/>
        </w:rPr>
      </w:pPr>
    </w:p>
    <w:p w:rsidR="00833724" w:rsidRPr="001B34D0" w:rsidRDefault="00833724" w:rsidP="00A92D87">
      <w:pPr>
        <w:tabs>
          <w:tab w:val="left" w:pos="284"/>
        </w:tabs>
        <w:spacing w:line="240" w:lineRule="auto"/>
        <w:contextualSpacing/>
        <w:jc w:val="both"/>
        <w:rPr>
          <w:rFonts w:cs="Arial"/>
          <w:b/>
        </w:rPr>
      </w:pPr>
      <w:r w:rsidRPr="001B34D0">
        <w:rPr>
          <w:rFonts w:cs="Arial"/>
          <w:b/>
        </w:rPr>
        <w:t>RECOMENDACIONES:</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Aumentar la cobertura en Educación Superior y así reducir el desempleo juvenil.</w:t>
      </w:r>
    </w:p>
    <w:p w:rsidR="00833724" w:rsidRPr="001B34D0" w:rsidRDefault="00833724" w:rsidP="00A92D87">
      <w:pPr>
        <w:numPr>
          <w:ilvl w:val="0"/>
          <w:numId w:val="61"/>
        </w:numPr>
        <w:tabs>
          <w:tab w:val="left" w:pos="284"/>
        </w:tabs>
        <w:spacing w:line="240" w:lineRule="auto"/>
        <w:ind w:left="0" w:firstLine="0"/>
        <w:contextualSpacing/>
        <w:jc w:val="both"/>
      </w:pPr>
      <w:r w:rsidRPr="001B34D0">
        <w:rPr>
          <w:rFonts w:cs="Arial"/>
        </w:rPr>
        <w:t>Promocionar y Motivar a los jóvenes de 18 a 28 años de edad de todos los sectores y comunas del Municipio de Pasto  a acceder a programas de titulación superior que ofrece el Sena de Forma gratuita.</w:t>
      </w:r>
    </w:p>
    <w:p w:rsidR="00833724" w:rsidRPr="001B34D0" w:rsidRDefault="00833724" w:rsidP="00A92D87">
      <w:pPr>
        <w:tabs>
          <w:tab w:val="left" w:pos="284"/>
        </w:tabs>
        <w:spacing w:line="240" w:lineRule="auto"/>
        <w:contextualSpacing/>
        <w:jc w:val="both"/>
        <w:rPr>
          <w:rFonts w:cs="Arial"/>
        </w:rPr>
      </w:pPr>
    </w:p>
    <w:p w:rsidR="00833724" w:rsidRPr="001B34D0" w:rsidRDefault="00833724" w:rsidP="00A92D87">
      <w:pPr>
        <w:tabs>
          <w:tab w:val="left" w:pos="284"/>
        </w:tabs>
        <w:spacing w:line="240" w:lineRule="auto"/>
        <w:contextualSpacing/>
        <w:jc w:val="center"/>
        <w:rPr>
          <w:b/>
        </w:rPr>
      </w:pPr>
      <w:r w:rsidRPr="001B34D0">
        <w:rPr>
          <w:rFonts w:cs="Arial"/>
          <w:b/>
        </w:rPr>
        <w:t>INDICADOR 162 PORCENTAJE DE DESERCIÓN EN FORMACION TECNOLOGICA</w:t>
      </w:r>
    </w:p>
    <w:p w:rsidR="00833724" w:rsidRPr="001B34D0" w:rsidRDefault="00833724" w:rsidP="00A92D87">
      <w:pPr>
        <w:spacing w:after="0" w:line="240" w:lineRule="auto"/>
        <w:rPr>
          <w:rFonts w:eastAsia="Times New Roman" w:cs="Times New Roman"/>
          <w:vanish/>
          <w:lang w:eastAsia="es-CO"/>
        </w:rPr>
      </w:pPr>
    </w:p>
    <w:tbl>
      <w:tblPr>
        <w:tblW w:w="2161" w:type="pct"/>
        <w:tblCellSpacing w:w="0" w:type="dxa"/>
        <w:tblInd w:w="150" w:type="dxa"/>
        <w:tblCellMar>
          <w:top w:w="75" w:type="dxa"/>
          <w:left w:w="75" w:type="dxa"/>
          <w:bottom w:w="75" w:type="dxa"/>
          <w:right w:w="75" w:type="dxa"/>
        </w:tblCellMar>
        <w:tblLook w:val="04A0"/>
      </w:tblPr>
      <w:tblGrid>
        <w:gridCol w:w="3949"/>
      </w:tblGrid>
      <w:tr w:rsidR="00833724" w:rsidRPr="001B34D0" w:rsidTr="00000F81">
        <w:trPr>
          <w:tblCellSpacing w:w="0" w:type="dxa"/>
        </w:trPr>
        <w:tc>
          <w:tcPr>
            <w:tcW w:w="5000" w:type="pct"/>
            <w:tcBorders>
              <w:bottom w:val="nil"/>
            </w:tcBorders>
            <w:shd w:val="clear" w:color="auto" w:fill="2C5982"/>
            <w:tcMar>
              <w:top w:w="150" w:type="dxa"/>
              <w:left w:w="150" w:type="dxa"/>
              <w:bottom w:w="150" w:type="dxa"/>
              <w:right w:w="150" w:type="dxa"/>
            </w:tcMar>
            <w:hideMark/>
          </w:tcPr>
          <w:p w:rsidR="00833724" w:rsidRPr="001B34D0" w:rsidRDefault="00833724" w:rsidP="00A92D87">
            <w:pPr>
              <w:spacing w:after="0" w:line="240" w:lineRule="auto"/>
              <w:jc w:val="center"/>
              <w:rPr>
                <w:rFonts w:eastAsia="Times New Roman" w:cs="Arial"/>
                <w:b/>
                <w:bCs/>
                <w:i/>
                <w:iCs/>
                <w:color w:val="B7E4EE"/>
                <w:lang w:eastAsia="es-CO"/>
              </w:rPr>
            </w:pPr>
            <w:r w:rsidRPr="001B34D0">
              <w:rPr>
                <w:rFonts w:eastAsia="Times New Roman" w:cs="Times New Roman"/>
                <w:noProof/>
                <w:color w:val="525252"/>
                <w:lang w:val="es-ES" w:eastAsia="es-ES"/>
              </w:rPr>
              <w:drawing>
                <wp:anchor distT="0" distB="0" distL="114300" distR="114300" simplePos="0" relativeHeight="251669504" behindDoc="0" locked="0" layoutInCell="1" allowOverlap="1">
                  <wp:simplePos x="0" y="0"/>
                  <wp:positionH relativeFrom="column">
                    <wp:posOffset>2513965</wp:posOffset>
                  </wp:positionH>
                  <wp:positionV relativeFrom="paragraph">
                    <wp:posOffset>-65101</wp:posOffset>
                  </wp:positionV>
                  <wp:extent cx="2838616" cy="1478943"/>
                  <wp:effectExtent l="0" t="0" r="0" b="6985"/>
                  <wp:wrapNone/>
                  <wp:docPr id="78" name="Imagen 78" descr="http://www.vigilanciasuperiorprocuraduria.org/rpc_neo/x_graf_bar1_ind.php?datos_graf_x=array(2011,%202012,%202013,%202014)&amp;datos_graf_y=array(0.09,%200.14,%200.06,%200.11)&amp;titx=Periodos&amp;tity=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gilanciasuperiorprocuraduria.org/rpc_neo/x_graf_bar1_ind.php?datos_graf_x=array(2011,%202012,%202013,%202014)&amp;datos_graf_y=array(0.09,%200.14,%200.06,%200.11)&amp;titx=Periodos&amp;tity=Valores"/>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616" cy="1478943"/>
                          </a:xfrm>
                          <a:prstGeom prst="rect">
                            <a:avLst/>
                          </a:prstGeom>
                          <a:noFill/>
                          <a:ln>
                            <a:noFill/>
                          </a:ln>
                        </pic:spPr>
                      </pic:pic>
                    </a:graphicData>
                  </a:graphic>
                </wp:anchor>
              </w:drawing>
            </w:r>
            <w:r w:rsidRPr="001B34D0">
              <w:rPr>
                <w:rFonts w:eastAsia="Times New Roman" w:cs="Arial"/>
                <w:b/>
                <w:bCs/>
                <w:i/>
                <w:iCs/>
                <w:color w:val="B7E4EE"/>
                <w:lang w:eastAsia="es-CO"/>
              </w:rPr>
              <w:t>Valores Totales</w:t>
            </w:r>
          </w:p>
        </w:tc>
      </w:tr>
    </w:tbl>
    <w:p w:rsidR="00833724" w:rsidRPr="001B34D0" w:rsidRDefault="00833724" w:rsidP="00A92D87">
      <w:pPr>
        <w:spacing w:after="0" w:line="240" w:lineRule="auto"/>
        <w:rPr>
          <w:rFonts w:eastAsia="Times New Roman" w:cs="Times New Roman"/>
          <w:vanish/>
          <w:lang w:eastAsia="es-CO"/>
        </w:rPr>
      </w:pPr>
    </w:p>
    <w:tbl>
      <w:tblPr>
        <w:tblW w:w="2267" w:type="pct"/>
        <w:tblBorders>
          <w:top w:val="outset" w:sz="6" w:space="0" w:color="A4A7BC"/>
          <w:left w:val="outset" w:sz="6" w:space="0" w:color="A4A7BC"/>
          <w:bottom w:val="outset" w:sz="6" w:space="0" w:color="A4A7BC"/>
          <w:right w:val="outset" w:sz="6" w:space="0" w:color="A4A7BC"/>
        </w:tblBorders>
        <w:tblCellMar>
          <w:top w:w="15" w:type="dxa"/>
          <w:left w:w="15" w:type="dxa"/>
          <w:bottom w:w="15" w:type="dxa"/>
          <w:right w:w="15" w:type="dxa"/>
        </w:tblCellMar>
        <w:tblLook w:val="04A0"/>
      </w:tblPr>
      <w:tblGrid>
        <w:gridCol w:w="699"/>
        <w:gridCol w:w="1089"/>
        <w:gridCol w:w="1288"/>
        <w:gridCol w:w="945"/>
      </w:tblGrid>
      <w:tr w:rsidR="00833724" w:rsidRPr="001B34D0" w:rsidTr="00000F81">
        <w:trPr>
          <w:trHeight w:val="320"/>
        </w:trPr>
        <w:tc>
          <w:tcPr>
            <w:tcW w:w="869"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Año</w:t>
            </w:r>
          </w:p>
        </w:tc>
        <w:tc>
          <w:tcPr>
            <w:tcW w:w="1354"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Numerador</w:t>
            </w:r>
          </w:p>
        </w:tc>
        <w:tc>
          <w:tcPr>
            <w:tcW w:w="1602"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Denominador</w:t>
            </w:r>
          </w:p>
        </w:tc>
        <w:tc>
          <w:tcPr>
            <w:tcW w:w="1175" w:type="pct"/>
            <w:tcBorders>
              <w:top w:val="outset" w:sz="6" w:space="0" w:color="A4A7BC"/>
              <w:left w:val="outset" w:sz="6" w:space="0" w:color="A4A7BC"/>
              <w:bottom w:val="outset" w:sz="6" w:space="0" w:color="FFFFFF"/>
              <w:right w:val="outset" w:sz="6" w:space="0" w:color="A4A7BC"/>
            </w:tcBorders>
            <w:shd w:val="clear" w:color="auto" w:fill="CCCCCC"/>
            <w:vAlign w:val="center"/>
            <w:hideMark/>
          </w:tcPr>
          <w:p w:rsidR="00833724" w:rsidRPr="001B34D0" w:rsidRDefault="00833724" w:rsidP="00A92D87">
            <w:pPr>
              <w:spacing w:after="0" w:line="240" w:lineRule="auto"/>
              <w:jc w:val="center"/>
              <w:rPr>
                <w:rFonts w:eastAsia="Times New Roman" w:cs="Times New Roman"/>
                <w:color w:val="000000"/>
                <w:lang w:eastAsia="es-CO"/>
              </w:rPr>
            </w:pPr>
            <w:r w:rsidRPr="001B34D0">
              <w:rPr>
                <w:rFonts w:eastAsia="Times New Roman" w:cs="Times New Roman"/>
                <w:color w:val="000000"/>
                <w:lang w:eastAsia="es-CO"/>
              </w:rPr>
              <w:t>Resultado</w:t>
            </w:r>
          </w:p>
        </w:tc>
      </w:tr>
      <w:tr w:rsidR="00833724" w:rsidRPr="001B34D0" w:rsidTr="00000F81">
        <w:trPr>
          <w:trHeight w:val="320"/>
        </w:trPr>
        <w:tc>
          <w:tcPr>
            <w:tcW w:w="869"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2011</w:t>
            </w:r>
          </w:p>
        </w:tc>
        <w:tc>
          <w:tcPr>
            <w:tcW w:w="1354"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02"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17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0.09</w:t>
            </w:r>
          </w:p>
        </w:tc>
      </w:tr>
      <w:tr w:rsidR="00833724" w:rsidRPr="001B34D0" w:rsidTr="00000F81">
        <w:trPr>
          <w:trHeight w:val="320"/>
        </w:trPr>
        <w:tc>
          <w:tcPr>
            <w:tcW w:w="869"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2012</w:t>
            </w:r>
          </w:p>
        </w:tc>
        <w:tc>
          <w:tcPr>
            <w:tcW w:w="1354"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02"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17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0.14</w:t>
            </w:r>
          </w:p>
        </w:tc>
      </w:tr>
      <w:tr w:rsidR="00833724" w:rsidRPr="001B34D0" w:rsidTr="00000F81">
        <w:trPr>
          <w:trHeight w:val="320"/>
        </w:trPr>
        <w:tc>
          <w:tcPr>
            <w:tcW w:w="869"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2013</w:t>
            </w:r>
          </w:p>
        </w:tc>
        <w:tc>
          <w:tcPr>
            <w:tcW w:w="1354"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02"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175" w:type="pct"/>
            <w:tcBorders>
              <w:top w:val="outset" w:sz="6" w:space="0" w:color="A4A7BC"/>
              <w:left w:val="outset" w:sz="6" w:space="0" w:color="A4A7BC"/>
              <w:bottom w:val="outset" w:sz="6" w:space="0" w:color="FFFFFF"/>
              <w:right w:val="outset" w:sz="6" w:space="0" w:color="A4A7BC"/>
            </w:tcBorders>
            <w:shd w:val="clear" w:color="auto" w:fill="FFFFFF"/>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0.06</w:t>
            </w:r>
          </w:p>
        </w:tc>
      </w:tr>
      <w:tr w:rsidR="00833724" w:rsidRPr="001B34D0" w:rsidTr="00000F81">
        <w:trPr>
          <w:trHeight w:val="338"/>
        </w:trPr>
        <w:tc>
          <w:tcPr>
            <w:tcW w:w="869"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center"/>
              <w:rPr>
                <w:rFonts w:eastAsia="Times New Roman" w:cs="Times New Roman"/>
                <w:color w:val="525252"/>
                <w:lang w:eastAsia="es-CO"/>
              </w:rPr>
            </w:pPr>
            <w:r w:rsidRPr="001B34D0">
              <w:rPr>
                <w:rFonts w:eastAsia="Times New Roman" w:cs="Times New Roman"/>
                <w:color w:val="525252"/>
                <w:lang w:eastAsia="es-CO"/>
              </w:rPr>
              <w:t>2014</w:t>
            </w:r>
          </w:p>
        </w:tc>
        <w:tc>
          <w:tcPr>
            <w:tcW w:w="1354"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602"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0.00</w:t>
            </w:r>
          </w:p>
        </w:tc>
        <w:tc>
          <w:tcPr>
            <w:tcW w:w="1175" w:type="pct"/>
            <w:tcBorders>
              <w:top w:val="outset" w:sz="6" w:space="0" w:color="A4A7BC"/>
              <w:left w:val="outset" w:sz="6" w:space="0" w:color="A4A7BC"/>
              <w:bottom w:val="outset" w:sz="6" w:space="0" w:color="FFFFFF"/>
              <w:right w:val="outset" w:sz="6" w:space="0" w:color="A4A7BC"/>
            </w:tcBorders>
            <w:shd w:val="clear" w:color="auto" w:fill="F6F7FA"/>
            <w:vAlign w:val="center"/>
            <w:hideMark/>
          </w:tcPr>
          <w:p w:rsidR="00833724" w:rsidRPr="001B34D0" w:rsidRDefault="00833724" w:rsidP="00A92D87">
            <w:pPr>
              <w:spacing w:after="0" w:line="240" w:lineRule="auto"/>
              <w:jc w:val="right"/>
              <w:rPr>
                <w:rFonts w:eastAsia="Times New Roman" w:cs="Times New Roman"/>
                <w:color w:val="525252"/>
                <w:lang w:eastAsia="es-CO"/>
              </w:rPr>
            </w:pPr>
            <w:r w:rsidRPr="001B34D0">
              <w:rPr>
                <w:rFonts w:eastAsia="Times New Roman" w:cs="Times New Roman"/>
                <w:color w:val="525252"/>
                <w:lang w:eastAsia="es-CO"/>
              </w:rPr>
              <w:t>0.11</w:t>
            </w:r>
          </w:p>
        </w:tc>
      </w:tr>
    </w:tbl>
    <w:p w:rsidR="00833724" w:rsidRPr="001B34D0" w:rsidRDefault="00833724" w:rsidP="00A92D87">
      <w:pPr>
        <w:spacing w:after="0" w:line="240" w:lineRule="auto"/>
        <w:rPr>
          <w:rFonts w:eastAsia="Times New Roman" w:cs="Times New Roman"/>
          <w:vanish/>
          <w:lang w:eastAsia="es-CO"/>
        </w:rPr>
      </w:pPr>
    </w:p>
    <w:tbl>
      <w:tblPr>
        <w:tblW w:w="4900" w:type="pct"/>
        <w:jc w:val="center"/>
        <w:tblCellSpacing w:w="0" w:type="dxa"/>
        <w:tblCellMar>
          <w:top w:w="75" w:type="dxa"/>
          <w:left w:w="75" w:type="dxa"/>
          <w:bottom w:w="75" w:type="dxa"/>
          <w:right w:w="75" w:type="dxa"/>
        </w:tblCellMar>
        <w:tblLook w:val="04A0"/>
      </w:tblPr>
      <w:tblGrid>
        <w:gridCol w:w="8808"/>
      </w:tblGrid>
      <w:tr w:rsidR="00833724" w:rsidRPr="001B34D0" w:rsidTr="00000F81">
        <w:trPr>
          <w:tblCellSpacing w:w="0" w:type="dxa"/>
          <w:jc w:val="center"/>
        </w:trPr>
        <w:tc>
          <w:tcPr>
            <w:tcW w:w="0" w:type="auto"/>
            <w:tcBorders>
              <w:bottom w:val="nil"/>
            </w:tcBorders>
            <w:shd w:val="clear" w:color="auto" w:fill="FFFFFF"/>
            <w:hideMark/>
          </w:tcPr>
          <w:p w:rsidR="00833724" w:rsidRPr="001B34D0" w:rsidRDefault="00833724" w:rsidP="00A92D87">
            <w:pPr>
              <w:spacing w:after="0" w:line="240" w:lineRule="auto"/>
              <w:jc w:val="center"/>
              <w:rPr>
                <w:rFonts w:eastAsia="Times New Roman" w:cs="Times New Roman"/>
                <w:color w:val="525252"/>
                <w:lang w:eastAsia="es-CO"/>
              </w:rPr>
            </w:pPr>
          </w:p>
        </w:tc>
      </w:tr>
    </w:tbl>
    <w:p w:rsidR="00AB2385" w:rsidRDefault="00AB2385" w:rsidP="00A92D87">
      <w:pPr>
        <w:tabs>
          <w:tab w:val="left" w:pos="284"/>
        </w:tabs>
        <w:spacing w:line="240" w:lineRule="auto"/>
        <w:contextualSpacing/>
        <w:jc w:val="both"/>
        <w:rPr>
          <w:rFonts w:cs="Arial"/>
          <w:b/>
        </w:rPr>
      </w:pPr>
    </w:p>
    <w:p w:rsidR="00833724" w:rsidRPr="001B34D0" w:rsidRDefault="00833724" w:rsidP="00A92D87">
      <w:pPr>
        <w:tabs>
          <w:tab w:val="left" w:pos="284"/>
        </w:tabs>
        <w:spacing w:line="240" w:lineRule="auto"/>
        <w:contextualSpacing/>
        <w:jc w:val="both"/>
        <w:rPr>
          <w:rFonts w:cs="Arial"/>
        </w:rPr>
      </w:pPr>
      <w:r w:rsidRPr="001B34D0">
        <w:rPr>
          <w:rFonts w:cs="Arial"/>
          <w:b/>
        </w:rPr>
        <w:t>COMPORTAMIENTO DEL INDICADOR:</w:t>
      </w:r>
      <w:r w:rsidRPr="001B34D0">
        <w:rPr>
          <w:rFonts w:cs="Arial"/>
        </w:rPr>
        <w:t xml:space="preserve"> Desmejoro</w:t>
      </w:r>
    </w:p>
    <w:p w:rsidR="00833724" w:rsidRPr="001B34D0" w:rsidRDefault="00833724" w:rsidP="00A92D87">
      <w:pPr>
        <w:tabs>
          <w:tab w:val="left" w:pos="284"/>
        </w:tabs>
        <w:spacing w:line="240" w:lineRule="auto"/>
        <w:contextualSpacing/>
        <w:jc w:val="both"/>
        <w:rPr>
          <w:rFonts w:cs="Arial"/>
        </w:rPr>
      </w:pPr>
    </w:p>
    <w:p w:rsidR="00833724" w:rsidRPr="001B34D0" w:rsidRDefault="00833724" w:rsidP="00A92D87">
      <w:pPr>
        <w:tabs>
          <w:tab w:val="left" w:pos="284"/>
        </w:tabs>
        <w:spacing w:line="240" w:lineRule="auto"/>
        <w:contextualSpacing/>
        <w:jc w:val="both"/>
        <w:rPr>
          <w:rFonts w:cs="Arial"/>
          <w:b/>
        </w:rPr>
      </w:pPr>
      <w:r w:rsidRPr="001B34D0">
        <w:rPr>
          <w:rFonts w:cs="Arial"/>
          <w:b/>
        </w:rPr>
        <w:t>IMPACTOS NEGATIVOS:</w:t>
      </w:r>
    </w:p>
    <w:p w:rsidR="00833724" w:rsidRPr="001B34D0" w:rsidRDefault="00833724" w:rsidP="00A92D87">
      <w:pPr>
        <w:tabs>
          <w:tab w:val="left" w:pos="284"/>
        </w:tabs>
        <w:spacing w:line="240" w:lineRule="auto"/>
        <w:contextualSpacing/>
        <w:jc w:val="both"/>
        <w:rPr>
          <w:rFonts w:cs="Arial"/>
          <w:b/>
        </w:rPr>
      </w:pPr>
    </w:p>
    <w:p w:rsidR="00833724" w:rsidRPr="001B34D0" w:rsidRDefault="00833724" w:rsidP="00A92D87">
      <w:pPr>
        <w:tabs>
          <w:tab w:val="left" w:pos="284"/>
        </w:tabs>
        <w:spacing w:line="240" w:lineRule="auto"/>
        <w:contextualSpacing/>
        <w:jc w:val="both"/>
        <w:rPr>
          <w:rFonts w:cs="Arial"/>
        </w:rPr>
      </w:pPr>
      <w:r w:rsidRPr="001B34D0">
        <w:rPr>
          <w:rFonts w:cs="Arial"/>
        </w:rPr>
        <w:t>De acuerdo a la información suministrada por el aplicativo Sofía plus, encontramos que existió una disminución en el los valores totales de deserción en los años 2011 y 2013, y que en el año 2014 tendió a subir este valor en un 50 %, por lo tanto en el año 2014 se encuentra como resultado el valor 0.11 lo cual indica el aumento en la deserción.</w:t>
      </w:r>
    </w:p>
    <w:p w:rsidR="00833724" w:rsidRPr="001B34D0" w:rsidRDefault="00833724" w:rsidP="00A92D87">
      <w:pPr>
        <w:tabs>
          <w:tab w:val="left" w:pos="284"/>
        </w:tabs>
        <w:spacing w:line="240" w:lineRule="auto"/>
        <w:contextualSpacing/>
        <w:jc w:val="both"/>
        <w:rPr>
          <w:rFonts w:cs="Arial"/>
        </w:rPr>
      </w:pPr>
    </w:p>
    <w:p w:rsidR="00833724" w:rsidRPr="001B34D0" w:rsidRDefault="00833724" w:rsidP="00A92D87">
      <w:pPr>
        <w:tabs>
          <w:tab w:val="left" w:pos="284"/>
        </w:tabs>
        <w:spacing w:line="240" w:lineRule="auto"/>
        <w:contextualSpacing/>
        <w:jc w:val="both"/>
        <w:rPr>
          <w:rFonts w:cs="Arial"/>
          <w:b/>
        </w:rPr>
      </w:pPr>
      <w:r w:rsidRPr="001B34D0">
        <w:rPr>
          <w:rFonts w:cs="Arial"/>
          <w:b/>
        </w:rPr>
        <w:t>RECOMENDACIONES:</w:t>
      </w:r>
    </w:p>
    <w:p w:rsidR="00833724" w:rsidRPr="001B34D0" w:rsidRDefault="00833724" w:rsidP="00A92D87">
      <w:pPr>
        <w:numPr>
          <w:ilvl w:val="0"/>
          <w:numId w:val="61"/>
        </w:numPr>
        <w:tabs>
          <w:tab w:val="left" w:pos="284"/>
        </w:tabs>
        <w:spacing w:line="240" w:lineRule="auto"/>
        <w:ind w:left="0" w:firstLine="0"/>
        <w:contextualSpacing/>
        <w:jc w:val="both"/>
        <w:rPr>
          <w:rFonts w:cs="Arial"/>
        </w:rPr>
      </w:pPr>
      <w:r w:rsidRPr="001B34D0">
        <w:rPr>
          <w:rFonts w:cs="Arial"/>
        </w:rPr>
        <w:t>Se encuentra que la deserción tecnológica en jóvenes dentro del Municipio es muy alta, lo cual se puede dar por la falta de promoción y socialización de los beneficios y servicios que tiene el Sena. por lo tanto se debe revisar junto con los organismos Municipales estrategias para hacer atractiva la oferta educativa tecnológica dentro del Municipio.</w:t>
      </w:r>
    </w:p>
    <w:p w:rsidR="00507A08" w:rsidRDefault="00507A08" w:rsidP="00A92D87">
      <w:pPr>
        <w:spacing w:line="240" w:lineRule="auto"/>
        <w:jc w:val="center"/>
        <w:rPr>
          <w:rFonts w:cs="Arial"/>
          <w:b/>
        </w:rPr>
      </w:pPr>
    </w:p>
    <w:p w:rsidR="001B34D0" w:rsidRPr="00AB2385" w:rsidRDefault="001848F2" w:rsidP="001848F2">
      <w:pPr>
        <w:pStyle w:val="Ttulo1"/>
        <w:jc w:val="center"/>
        <w:rPr>
          <w:rFonts w:asciiTheme="minorHAnsi" w:hAnsiTheme="minorHAnsi"/>
          <w:color w:val="auto"/>
          <w:sz w:val="22"/>
          <w:szCs w:val="22"/>
        </w:rPr>
      </w:pPr>
      <w:bookmarkStart w:id="123" w:name="_Toc437376068"/>
      <w:r w:rsidRPr="00AB2385">
        <w:rPr>
          <w:rFonts w:asciiTheme="minorHAnsi" w:hAnsiTheme="minorHAnsi"/>
          <w:color w:val="auto"/>
          <w:sz w:val="22"/>
          <w:szCs w:val="22"/>
        </w:rPr>
        <w:t xml:space="preserve">6.5 </w:t>
      </w:r>
      <w:r w:rsidR="001B34D0" w:rsidRPr="00AB2385">
        <w:rPr>
          <w:rFonts w:asciiTheme="minorHAnsi" w:hAnsiTheme="minorHAnsi"/>
          <w:color w:val="auto"/>
          <w:sz w:val="22"/>
          <w:szCs w:val="22"/>
        </w:rPr>
        <w:t>DERECHOS TRANSVERSALES</w:t>
      </w:r>
      <w:r w:rsidR="006E6C52" w:rsidRPr="00AB2385">
        <w:rPr>
          <w:rFonts w:asciiTheme="minorHAnsi" w:hAnsiTheme="minorHAnsi"/>
          <w:color w:val="auto"/>
          <w:sz w:val="22"/>
          <w:szCs w:val="22"/>
        </w:rPr>
        <w:t xml:space="preserve"> A LOS CICLOS VITALES DE EDAD</w:t>
      </w:r>
      <w:bookmarkEnd w:id="123"/>
    </w:p>
    <w:p w:rsidR="001B34D0" w:rsidRPr="001B34D0" w:rsidRDefault="001B34D0" w:rsidP="00A92D87">
      <w:pPr>
        <w:spacing w:line="240" w:lineRule="auto"/>
        <w:rPr>
          <w:b/>
        </w:rPr>
      </w:pPr>
    </w:p>
    <w:p w:rsidR="001B34D0" w:rsidRPr="001B34D0" w:rsidRDefault="001B34D0" w:rsidP="00A92D87">
      <w:pPr>
        <w:pBdr>
          <w:top w:val="single" w:sz="4" w:space="10" w:color="5B9BD5" w:themeColor="accent1"/>
          <w:bottom w:val="single" w:sz="4" w:space="10" w:color="5B9BD5" w:themeColor="accent1"/>
        </w:pBdr>
        <w:spacing w:before="360" w:after="360" w:line="240" w:lineRule="auto"/>
        <w:ind w:right="864"/>
        <w:jc w:val="center"/>
        <w:rPr>
          <w:b/>
          <w:i/>
          <w:iCs/>
        </w:rPr>
      </w:pPr>
      <w:r w:rsidRPr="001B34D0">
        <w:rPr>
          <w:b/>
          <w:i/>
          <w:iCs/>
        </w:rPr>
        <w:t>DESCRIPCIÓN DEL INDICADOR No. 1</w:t>
      </w:r>
    </w:p>
    <w:tbl>
      <w:tblPr>
        <w:tblStyle w:val="Tabladecuadrcula2-nfasis5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1B34D0" w:rsidRPr="001B34D0" w:rsidTr="00000F81">
        <w:trPr>
          <w:cnfStyle w:val="100000000000"/>
          <w:trHeight w:val="579"/>
          <w:jc w:val="center"/>
        </w:trPr>
        <w:tc>
          <w:tcPr>
            <w:cnfStyle w:val="001000000000"/>
            <w:tcW w:w="8828" w:type="dxa"/>
            <w:tcBorders>
              <w:top w:val="none" w:sz="0" w:space="0" w:color="auto"/>
              <w:bottom w:val="none" w:sz="0" w:space="0" w:color="auto"/>
            </w:tcBorders>
          </w:tcPr>
          <w:p w:rsidR="001B34D0" w:rsidRPr="001B34D0" w:rsidRDefault="001B34D0" w:rsidP="00A92D87">
            <w:r w:rsidRPr="001B34D0">
              <w:lastRenderedPageBreak/>
              <w:t xml:space="preserve">Gobernación de Nariño </w:t>
            </w:r>
          </w:p>
        </w:tc>
      </w:tr>
      <w:tr w:rsidR="001B34D0" w:rsidRPr="001B34D0" w:rsidTr="00000F81">
        <w:trPr>
          <w:cnfStyle w:val="000000100000"/>
          <w:trHeight w:val="579"/>
          <w:jc w:val="center"/>
        </w:trPr>
        <w:tc>
          <w:tcPr>
            <w:cnfStyle w:val="001000000000"/>
            <w:tcW w:w="8828" w:type="dxa"/>
          </w:tcPr>
          <w:p w:rsidR="001B34D0" w:rsidRPr="001B34D0" w:rsidRDefault="001B34D0" w:rsidP="00A92D87">
            <w:r w:rsidRPr="001B34D0">
              <w:t>Nombre del indicador: Razón de mortalidad materna por 100.000 nacidos vivos</w:t>
            </w:r>
          </w:p>
        </w:tc>
      </w:tr>
      <w:tr w:rsidR="001B34D0" w:rsidRPr="001B34D0" w:rsidTr="00000F81">
        <w:trPr>
          <w:trHeight w:val="332"/>
          <w:jc w:val="center"/>
        </w:trPr>
        <w:tc>
          <w:tcPr>
            <w:cnfStyle w:val="001000000000"/>
            <w:tcW w:w="8828" w:type="dxa"/>
          </w:tcPr>
          <w:p w:rsidR="001B34D0" w:rsidRPr="001B34D0" w:rsidRDefault="001B34D0" w:rsidP="00A92D87">
            <w:r w:rsidRPr="001B34D0">
              <w:t xml:space="preserve">Fuente Nacional: </w:t>
            </w:r>
          </w:p>
          <w:p w:rsidR="001B34D0" w:rsidRPr="001B34D0" w:rsidRDefault="001B34D0" w:rsidP="00A92D87">
            <w:r w:rsidRPr="001B34D0">
              <w:t>Otra Fuente: Instituto Departamental de Salud de Nariño-Sivigila</w:t>
            </w:r>
          </w:p>
        </w:tc>
      </w:tr>
      <w:tr w:rsidR="001B34D0" w:rsidRPr="001B34D0" w:rsidTr="00000F81">
        <w:trPr>
          <w:cnfStyle w:val="000000100000"/>
          <w:trHeight w:val="458"/>
          <w:jc w:val="center"/>
        </w:trPr>
        <w:tc>
          <w:tcPr>
            <w:cnfStyle w:val="001000000000"/>
            <w:tcW w:w="8828" w:type="dxa"/>
          </w:tcPr>
          <w:p w:rsidR="001B34D0" w:rsidRPr="001B34D0" w:rsidRDefault="001B34D0" w:rsidP="00A92D87">
            <w:r w:rsidRPr="001B34D0">
              <w:t>Categoría de derechos: Existencia</w:t>
            </w:r>
          </w:p>
        </w:tc>
      </w:tr>
      <w:tr w:rsidR="001B34D0" w:rsidRPr="001B34D0" w:rsidTr="00000F81">
        <w:trPr>
          <w:trHeight w:val="458"/>
          <w:jc w:val="center"/>
        </w:trPr>
        <w:tc>
          <w:tcPr>
            <w:cnfStyle w:val="001000000000"/>
            <w:tcW w:w="8828" w:type="dxa"/>
          </w:tcPr>
          <w:p w:rsidR="001B34D0" w:rsidRPr="001B34D0" w:rsidRDefault="001B34D0" w:rsidP="00A92D87">
            <w:r w:rsidRPr="001B34D0">
              <w:t>Metodología: Análisis de la información a partir de la cadena de resultados</w:t>
            </w:r>
          </w:p>
        </w:tc>
      </w:tr>
      <w:tr w:rsidR="001B34D0" w:rsidRPr="001B34D0" w:rsidTr="00000F81">
        <w:trPr>
          <w:cnfStyle w:val="000000100000"/>
          <w:trHeight w:val="458"/>
          <w:jc w:val="center"/>
        </w:trPr>
        <w:tc>
          <w:tcPr>
            <w:cnfStyle w:val="001000000000"/>
            <w:tcW w:w="8828" w:type="dxa"/>
          </w:tcPr>
          <w:p w:rsidR="001B34D0" w:rsidRPr="001B34D0" w:rsidRDefault="001B34D0" w:rsidP="00A92D87">
            <w:r w:rsidRPr="001B34D0">
              <w:t>Temas relacionados con el indicador: Salud sexual y reproductiva</w:t>
            </w:r>
          </w:p>
        </w:tc>
      </w:tr>
    </w:tbl>
    <w:p w:rsidR="001B34D0" w:rsidRPr="001B34D0" w:rsidRDefault="001B34D0" w:rsidP="00A92D87">
      <w:pPr>
        <w:spacing w:line="240" w:lineRule="auto"/>
      </w:pPr>
    </w:p>
    <w:p w:rsidR="001B34D0" w:rsidRPr="001B34D0" w:rsidRDefault="001B34D0" w:rsidP="00A92D87">
      <w:pPr>
        <w:spacing w:line="240" w:lineRule="auto"/>
        <w:rPr>
          <w:b/>
        </w:rPr>
      </w:pPr>
      <w:r w:rsidRPr="001B34D0">
        <w:rPr>
          <w:b/>
        </w:rPr>
        <w:t>1.- Información estadística</w:t>
      </w:r>
    </w:p>
    <w:p w:rsidR="001B34D0" w:rsidRPr="001B34D0" w:rsidRDefault="001B34D0" w:rsidP="00A92D87">
      <w:pPr>
        <w:spacing w:after="0" w:line="240" w:lineRule="auto"/>
        <w:jc w:val="center"/>
        <w:rPr>
          <w:b/>
        </w:rPr>
      </w:pPr>
      <w:r w:rsidRPr="001B34D0">
        <w:rPr>
          <w:b/>
        </w:rPr>
        <w:t>Grafico N° 1</w:t>
      </w:r>
    </w:p>
    <w:p w:rsidR="001B34D0" w:rsidRPr="001B34D0" w:rsidRDefault="001B34D0" w:rsidP="00A92D87">
      <w:pPr>
        <w:spacing w:after="0" w:line="240" w:lineRule="auto"/>
        <w:jc w:val="center"/>
        <w:rPr>
          <w:b/>
        </w:rPr>
      </w:pPr>
      <w:r w:rsidRPr="001B34D0">
        <w:rPr>
          <w:b/>
        </w:rPr>
        <w:t>Razón de mortalidad materna por 100.000 nacidos vivos</w:t>
      </w:r>
    </w:p>
    <w:p w:rsidR="001B34D0" w:rsidRPr="001B34D0" w:rsidRDefault="001B34D0" w:rsidP="00A92D87">
      <w:pPr>
        <w:spacing w:after="0" w:line="240" w:lineRule="auto"/>
        <w:jc w:val="center"/>
        <w:rPr>
          <w:b/>
        </w:rPr>
      </w:pPr>
      <w:r w:rsidRPr="001B34D0">
        <w:rPr>
          <w:b/>
        </w:rPr>
        <w:t>Departamento de Nariño, 2011-2014</w:t>
      </w:r>
    </w:p>
    <w:p w:rsidR="001B34D0" w:rsidRPr="001B34D0" w:rsidRDefault="001B34D0" w:rsidP="00A92D87">
      <w:pPr>
        <w:spacing w:line="240" w:lineRule="auto"/>
        <w:jc w:val="center"/>
      </w:pPr>
      <w:r w:rsidRPr="001B34D0">
        <w:rPr>
          <w:noProof/>
          <w:lang w:val="es-ES" w:eastAsia="es-ES"/>
        </w:rPr>
        <w:drawing>
          <wp:inline distT="0" distB="0" distL="0" distR="0">
            <wp:extent cx="4581525" cy="295275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2952750"/>
                    </a:xfrm>
                    <a:prstGeom prst="rect">
                      <a:avLst/>
                    </a:prstGeom>
                    <a:noFill/>
                    <a:ln>
                      <a:noFill/>
                    </a:ln>
                  </pic:spPr>
                </pic:pic>
              </a:graphicData>
            </a:graphic>
          </wp:inline>
        </w:drawing>
      </w:r>
    </w:p>
    <w:p w:rsidR="001B34D0" w:rsidRPr="001B34D0" w:rsidRDefault="001B34D0" w:rsidP="00A92D87">
      <w:pPr>
        <w:spacing w:line="240" w:lineRule="auto"/>
      </w:pPr>
      <w:r w:rsidRPr="001B34D0">
        <w:t xml:space="preserve">                  Fuente: IDSN/SIVIGILA-2015</w:t>
      </w:r>
    </w:p>
    <w:p w:rsidR="001B34D0" w:rsidRPr="001B34D0" w:rsidRDefault="001B34D0" w:rsidP="00A92D87">
      <w:pPr>
        <w:numPr>
          <w:ilvl w:val="0"/>
          <w:numId w:val="31"/>
        </w:numPr>
        <w:autoSpaceDE w:val="0"/>
        <w:autoSpaceDN w:val="0"/>
        <w:adjustRightInd w:val="0"/>
        <w:spacing w:after="0" w:line="240" w:lineRule="auto"/>
        <w:jc w:val="both"/>
        <w:rPr>
          <w:rFonts w:cs="Arial"/>
          <w:color w:val="000000"/>
        </w:rPr>
      </w:pPr>
    </w:p>
    <w:p w:rsidR="001B34D0" w:rsidRPr="001B34D0" w:rsidRDefault="001B34D0" w:rsidP="00A92D87">
      <w:pPr>
        <w:numPr>
          <w:ilvl w:val="0"/>
          <w:numId w:val="31"/>
        </w:numPr>
        <w:autoSpaceDE w:val="0"/>
        <w:autoSpaceDN w:val="0"/>
        <w:adjustRightInd w:val="0"/>
        <w:spacing w:after="0" w:line="240" w:lineRule="auto"/>
        <w:jc w:val="both"/>
        <w:rPr>
          <w:rFonts w:cs="Arial"/>
          <w:color w:val="000000"/>
        </w:rPr>
      </w:pPr>
      <w:r w:rsidRPr="001B34D0">
        <w:rPr>
          <w:rFonts w:cs="Arial"/>
          <w:color w:val="000000"/>
        </w:rPr>
        <w:t xml:space="preserve">La mortalidad materna representa un grave problema de salud pública en los países en desarrollo, sus causas en su mayoría son evitables y la han considerado como la máxima expresión de injusticia social, dado que en los países de menor desarrollo económico existen las cifras más altas de muertes maternas; siendo las mujeres pobres las que tienen mayor riesgo de morir por el embarazo, parto y puerperio </w:t>
      </w:r>
    </w:p>
    <w:p w:rsidR="001B34D0" w:rsidRPr="001B34D0" w:rsidRDefault="001B34D0" w:rsidP="00A92D87">
      <w:pPr>
        <w:numPr>
          <w:ilvl w:val="0"/>
          <w:numId w:val="31"/>
        </w:numPr>
        <w:autoSpaceDE w:val="0"/>
        <w:autoSpaceDN w:val="0"/>
        <w:adjustRightInd w:val="0"/>
        <w:spacing w:after="0" w:line="240" w:lineRule="auto"/>
        <w:jc w:val="both"/>
        <w:rPr>
          <w:rFonts w:cs="Arial"/>
          <w:color w:val="000000"/>
        </w:rPr>
      </w:pPr>
    </w:p>
    <w:p w:rsidR="001B34D0" w:rsidRPr="001B34D0" w:rsidRDefault="001B34D0" w:rsidP="00A92D87">
      <w:pPr>
        <w:numPr>
          <w:ilvl w:val="0"/>
          <w:numId w:val="31"/>
        </w:numPr>
        <w:autoSpaceDE w:val="0"/>
        <w:autoSpaceDN w:val="0"/>
        <w:adjustRightInd w:val="0"/>
        <w:spacing w:after="0" w:line="240" w:lineRule="auto"/>
        <w:jc w:val="both"/>
        <w:rPr>
          <w:rFonts w:cs="Arial"/>
          <w:color w:val="000000"/>
        </w:rPr>
      </w:pPr>
      <w:r w:rsidRPr="001B34D0">
        <w:rPr>
          <w:rFonts w:cs="Arial"/>
          <w:color w:val="000000"/>
        </w:rPr>
        <w:lastRenderedPageBreak/>
        <w:t>En el mundo cada día mueren 800 mujeres por causas prevenibles relacionadas con el embarazo y el parto, el 99% de esos casos ocurren en países en desarrollo, la mayoría de ellos en África subsahariana y Asia meridional A pesar de importantes esfuerzos en muchas regiones, entre el año 1990 y el 2010 la razón de mortalidad materna a nivel mundial solo ha disminuido en un 3,1% anual, cifra que está lejos de alcanzar la reducción del 5,5% anual para lograr el Objetivo Desarrollo Mundial (ODM) número 5 “ Mejorar la Salud Materna</w:t>
      </w:r>
    </w:p>
    <w:p w:rsidR="001B34D0" w:rsidRPr="001B34D0" w:rsidRDefault="001B34D0" w:rsidP="00A92D87">
      <w:pPr>
        <w:numPr>
          <w:ilvl w:val="0"/>
          <w:numId w:val="31"/>
        </w:numPr>
        <w:autoSpaceDE w:val="0"/>
        <w:autoSpaceDN w:val="0"/>
        <w:adjustRightInd w:val="0"/>
        <w:spacing w:after="0" w:line="240" w:lineRule="auto"/>
        <w:jc w:val="both"/>
        <w:rPr>
          <w:rFonts w:cs="Arial"/>
          <w:color w:val="000000"/>
        </w:rPr>
      </w:pPr>
    </w:p>
    <w:p w:rsidR="001B34D0" w:rsidRPr="001B34D0" w:rsidRDefault="001B34D0" w:rsidP="00A92D87">
      <w:pPr>
        <w:numPr>
          <w:ilvl w:val="0"/>
          <w:numId w:val="31"/>
        </w:numPr>
        <w:autoSpaceDE w:val="0"/>
        <w:autoSpaceDN w:val="0"/>
        <w:adjustRightInd w:val="0"/>
        <w:spacing w:after="0" w:line="240" w:lineRule="auto"/>
        <w:jc w:val="both"/>
        <w:rPr>
          <w:rFonts w:cs="Arial"/>
          <w:color w:val="000000"/>
        </w:rPr>
      </w:pPr>
      <w:r w:rsidRPr="001B34D0">
        <w:rPr>
          <w:rFonts w:cs="Arial"/>
          <w:color w:val="000000"/>
        </w:rPr>
        <w:t xml:space="preserve">La situación epidemiológica de la mortalidad materna en Colombia, según el segundo informe del Observatorio Nacional de Salud para el periodo 1998 - 2011 ha presentado una disminución en las muertes maternas durante las últimas décadas, de acuerdo al procesamientos de los datos de las estadísticas vitales publicadas por el DANE, la razón de mortalidad materna (RMM) promedio en el periodo de 1998 a 2011 fue de 78,2 por 100 000 Nacidos Vivos (n.v). </w:t>
      </w:r>
    </w:p>
    <w:p w:rsidR="001B34D0" w:rsidRPr="001B34D0" w:rsidRDefault="001B34D0" w:rsidP="00A92D87">
      <w:pPr>
        <w:numPr>
          <w:ilvl w:val="0"/>
          <w:numId w:val="31"/>
        </w:numPr>
        <w:autoSpaceDE w:val="0"/>
        <w:autoSpaceDN w:val="0"/>
        <w:adjustRightInd w:val="0"/>
        <w:spacing w:after="0" w:line="240" w:lineRule="auto"/>
        <w:jc w:val="both"/>
        <w:rPr>
          <w:rFonts w:cs="Arial"/>
        </w:rPr>
      </w:pPr>
    </w:p>
    <w:p w:rsidR="001B34D0" w:rsidRPr="001B34D0" w:rsidRDefault="001B34D0" w:rsidP="00A92D87">
      <w:pPr>
        <w:numPr>
          <w:ilvl w:val="0"/>
          <w:numId w:val="31"/>
        </w:numPr>
        <w:autoSpaceDE w:val="0"/>
        <w:autoSpaceDN w:val="0"/>
        <w:adjustRightInd w:val="0"/>
        <w:spacing w:after="0" w:line="240" w:lineRule="auto"/>
        <w:jc w:val="both"/>
        <w:rPr>
          <w:rFonts w:cs="Arial"/>
        </w:rPr>
      </w:pPr>
      <w:r w:rsidRPr="001B34D0">
        <w:rPr>
          <w:rFonts w:cs="Arial"/>
        </w:rPr>
        <w:t xml:space="preserve">El departamento de Nariño a partir de 2012 presenta una reducción importante de la razón de mortalidad materna, pasando de 120.3 muertes por 100.000 nacidos vivos en 2011 a 73.7 en 2012, posteriormente hay un incremento en 2013 y nuevamente un descenso a 72.3 en 2014. Durante 2014 se presentaron 13 muertes de ellas 5 proceden del área urbana y 8 de área rural, </w:t>
      </w:r>
      <w:r w:rsidRPr="001B34D0">
        <w:rPr>
          <w:rFonts w:cs="Arial"/>
          <w:color w:val="000000"/>
        </w:rPr>
        <w:t xml:space="preserve">En cuanto a la clasificación de causas agrupadas observamos que para la razón de mortalidad materna se encuentra en primer lugar las enfermedades prexistentes que se complican, seguida de la sepsis de origen pulmonar y los trastornos hipertensivos, </w:t>
      </w:r>
    </w:p>
    <w:p w:rsidR="001B34D0" w:rsidRPr="001B34D0" w:rsidRDefault="001B34D0" w:rsidP="00A92D87">
      <w:pPr>
        <w:numPr>
          <w:ilvl w:val="0"/>
          <w:numId w:val="31"/>
        </w:numPr>
        <w:autoSpaceDE w:val="0"/>
        <w:autoSpaceDN w:val="0"/>
        <w:adjustRightInd w:val="0"/>
        <w:spacing w:after="0" w:line="240" w:lineRule="auto"/>
        <w:jc w:val="both"/>
        <w:rPr>
          <w:rFonts w:cs="Arial"/>
        </w:rPr>
      </w:pPr>
    </w:p>
    <w:p w:rsidR="001B34D0" w:rsidRPr="001B34D0" w:rsidRDefault="001B34D0" w:rsidP="00A92D87">
      <w:pPr>
        <w:spacing w:after="0" w:line="240" w:lineRule="auto"/>
        <w:jc w:val="center"/>
        <w:rPr>
          <w:b/>
        </w:rPr>
      </w:pPr>
      <w:r w:rsidRPr="001B34D0">
        <w:rPr>
          <w:b/>
        </w:rPr>
        <w:t>Tabla N° 1</w:t>
      </w:r>
    </w:p>
    <w:p w:rsidR="001B34D0" w:rsidRPr="001B34D0" w:rsidRDefault="001B34D0" w:rsidP="00A92D87">
      <w:pPr>
        <w:spacing w:after="0" w:line="240" w:lineRule="auto"/>
        <w:jc w:val="center"/>
        <w:rPr>
          <w:b/>
        </w:rPr>
      </w:pPr>
      <w:r w:rsidRPr="001B34D0">
        <w:rPr>
          <w:b/>
        </w:rPr>
        <w:t>Clasificación de la mortalidad materna según causas</w:t>
      </w:r>
    </w:p>
    <w:p w:rsidR="001B34D0" w:rsidRPr="001B34D0" w:rsidRDefault="001B34D0" w:rsidP="00A92D87">
      <w:pPr>
        <w:spacing w:after="0" w:line="240" w:lineRule="auto"/>
        <w:jc w:val="center"/>
        <w:rPr>
          <w:b/>
        </w:rPr>
      </w:pPr>
      <w:r w:rsidRPr="001B34D0">
        <w:rPr>
          <w:b/>
        </w:rPr>
        <w:t>Departamento de Nariño, 2014</w:t>
      </w:r>
    </w:p>
    <w:p w:rsidR="001B34D0" w:rsidRPr="001B34D0" w:rsidRDefault="001B34D0" w:rsidP="00A92D87">
      <w:pPr>
        <w:numPr>
          <w:ilvl w:val="0"/>
          <w:numId w:val="31"/>
        </w:numPr>
        <w:autoSpaceDE w:val="0"/>
        <w:autoSpaceDN w:val="0"/>
        <w:adjustRightInd w:val="0"/>
        <w:spacing w:after="0" w:line="240" w:lineRule="auto"/>
        <w:jc w:val="both"/>
        <w:rPr>
          <w:rFonts w:cs="Arial"/>
        </w:rPr>
      </w:pPr>
    </w:p>
    <w:p w:rsidR="001B34D0" w:rsidRPr="001B34D0" w:rsidRDefault="001B34D0" w:rsidP="00A92D87">
      <w:pPr>
        <w:numPr>
          <w:ilvl w:val="0"/>
          <w:numId w:val="31"/>
        </w:numPr>
        <w:autoSpaceDE w:val="0"/>
        <w:autoSpaceDN w:val="0"/>
        <w:adjustRightInd w:val="0"/>
        <w:spacing w:after="0" w:line="240" w:lineRule="auto"/>
        <w:rPr>
          <w:rFonts w:cs="Arial"/>
        </w:rPr>
      </w:pPr>
      <w:r w:rsidRPr="001B34D0">
        <w:rPr>
          <w:rFonts w:cs="Arial"/>
          <w:noProof/>
          <w:color w:val="000000"/>
          <w:lang w:val="es-ES" w:eastAsia="es-ES"/>
        </w:rPr>
        <w:drawing>
          <wp:inline distT="0" distB="0" distL="0" distR="0">
            <wp:extent cx="5611941" cy="2419350"/>
            <wp:effectExtent l="0" t="0" r="825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144" cy="2421162"/>
                    </a:xfrm>
                    <a:prstGeom prst="rect">
                      <a:avLst/>
                    </a:prstGeom>
                    <a:noFill/>
                    <a:ln>
                      <a:noFill/>
                    </a:ln>
                  </pic:spPr>
                </pic:pic>
              </a:graphicData>
            </a:graphic>
          </wp:inline>
        </w:drawing>
      </w:r>
    </w:p>
    <w:p w:rsidR="001B34D0" w:rsidRPr="001B34D0" w:rsidRDefault="001B34D0" w:rsidP="00A92D87">
      <w:pPr>
        <w:spacing w:line="240" w:lineRule="auto"/>
        <w:jc w:val="both"/>
      </w:pPr>
      <w:r w:rsidRPr="001B34D0">
        <w:t>Fuente: IDSN/SIVIGILA-2015</w:t>
      </w:r>
    </w:p>
    <w:p w:rsidR="001B34D0" w:rsidRPr="001B34D0" w:rsidRDefault="001B34D0" w:rsidP="00A92D87">
      <w:pPr>
        <w:numPr>
          <w:ilvl w:val="0"/>
          <w:numId w:val="31"/>
        </w:numPr>
        <w:autoSpaceDE w:val="0"/>
        <w:autoSpaceDN w:val="0"/>
        <w:adjustRightInd w:val="0"/>
        <w:spacing w:after="0" w:line="240" w:lineRule="auto"/>
        <w:jc w:val="both"/>
        <w:rPr>
          <w:rFonts w:cs="Arial"/>
        </w:rPr>
      </w:pPr>
    </w:p>
    <w:p w:rsidR="001B34D0" w:rsidRPr="001B34D0" w:rsidRDefault="001B34D0" w:rsidP="00A92D87">
      <w:pPr>
        <w:numPr>
          <w:ilvl w:val="0"/>
          <w:numId w:val="31"/>
        </w:numPr>
        <w:autoSpaceDE w:val="0"/>
        <w:autoSpaceDN w:val="0"/>
        <w:adjustRightInd w:val="0"/>
        <w:spacing w:after="0" w:line="240" w:lineRule="auto"/>
        <w:jc w:val="both"/>
        <w:rPr>
          <w:rFonts w:cs="Arial"/>
        </w:rPr>
      </w:pPr>
      <w:r w:rsidRPr="001B34D0">
        <w:rPr>
          <w:rFonts w:cs="Arial"/>
        </w:rPr>
        <w:t>La tabla numero 1 muestra la clasificación de las muertes maternas durante 2014, en ella se puede observar que 4 casos fueron clasificados como directas, correspondiente a los municipios de Colon, Cumbal y Tumaco, y 9 como indirectas en los municipios de Aldana, Barbacoas, El Charco, Ipiales, Olaya Herrera y Tumaco.</w:t>
      </w:r>
    </w:p>
    <w:p w:rsidR="001B34D0" w:rsidRPr="001B34D0" w:rsidRDefault="001B34D0" w:rsidP="00A92D87">
      <w:pPr>
        <w:numPr>
          <w:ilvl w:val="0"/>
          <w:numId w:val="31"/>
        </w:numPr>
        <w:autoSpaceDE w:val="0"/>
        <w:autoSpaceDN w:val="0"/>
        <w:adjustRightInd w:val="0"/>
        <w:spacing w:after="0" w:line="240" w:lineRule="auto"/>
        <w:jc w:val="both"/>
        <w:rPr>
          <w:rFonts w:cs="Arial"/>
        </w:rPr>
      </w:pPr>
    </w:p>
    <w:p w:rsidR="001B34D0" w:rsidRPr="001B34D0" w:rsidRDefault="001B34D0" w:rsidP="00A92D87">
      <w:pPr>
        <w:numPr>
          <w:ilvl w:val="0"/>
          <w:numId w:val="31"/>
        </w:numPr>
        <w:autoSpaceDE w:val="0"/>
        <w:autoSpaceDN w:val="0"/>
        <w:adjustRightInd w:val="0"/>
        <w:spacing w:after="0" w:line="240" w:lineRule="auto"/>
        <w:jc w:val="both"/>
        <w:rPr>
          <w:rFonts w:cs="Arial"/>
        </w:rPr>
      </w:pPr>
    </w:p>
    <w:p w:rsidR="001B34D0" w:rsidRPr="001B34D0" w:rsidRDefault="001B34D0" w:rsidP="00A92D87">
      <w:pPr>
        <w:spacing w:after="0" w:line="240" w:lineRule="auto"/>
        <w:jc w:val="center"/>
        <w:rPr>
          <w:b/>
        </w:rPr>
      </w:pPr>
      <w:r w:rsidRPr="001B34D0">
        <w:rPr>
          <w:b/>
        </w:rPr>
        <w:t>Tabla N° 2</w:t>
      </w:r>
    </w:p>
    <w:p w:rsidR="001B34D0" w:rsidRPr="001B34D0" w:rsidRDefault="001B34D0" w:rsidP="00A92D87">
      <w:pPr>
        <w:spacing w:after="0" w:line="240" w:lineRule="auto"/>
        <w:jc w:val="center"/>
        <w:rPr>
          <w:b/>
        </w:rPr>
      </w:pPr>
      <w:r w:rsidRPr="001B34D0">
        <w:rPr>
          <w:b/>
        </w:rPr>
        <w:t>Casos y razón ordenada (2014) de mortalidad materna por municipios</w:t>
      </w:r>
    </w:p>
    <w:p w:rsidR="001B34D0" w:rsidRPr="001B34D0" w:rsidRDefault="001B34D0" w:rsidP="00A92D87">
      <w:pPr>
        <w:spacing w:after="0" w:line="240" w:lineRule="auto"/>
        <w:jc w:val="center"/>
        <w:rPr>
          <w:b/>
        </w:rPr>
      </w:pPr>
      <w:r w:rsidRPr="001B34D0">
        <w:rPr>
          <w:b/>
        </w:rPr>
        <w:t>Departamento de Nariño, 2011-2014</w:t>
      </w:r>
    </w:p>
    <w:p w:rsidR="001B34D0" w:rsidRPr="001B34D0" w:rsidRDefault="001B34D0" w:rsidP="00A92D87">
      <w:pPr>
        <w:numPr>
          <w:ilvl w:val="0"/>
          <w:numId w:val="31"/>
        </w:numPr>
        <w:autoSpaceDE w:val="0"/>
        <w:autoSpaceDN w:val="0"/>
        <w:adjustRightInd w:val="0"/>
        <w:spacing w:after="0" w:line="240" w:lineRule="auto"/>
        <w:jc w:val="both"/>
        <w:rPr>
          <w:rFonts w:cs="Arial"/>
        </w:rPr>
      </w:pPr>
    </w:p>
    <w:p w:rsidR="001B34D0" w:rsidRPr="001B34D0" w:rsidRDefault="001B34D0" w:rsidP="00A92D87">
      <w:pPr>
        <w:numPr>
          <w:ilvl w:val="0"/>
          <w:numId w:val="31"/>
        </w:numPr>
        <w:autoSpaceDE w:val="0"/>
        <w:autoSpaceDN w:val="0"/>
        <w:adjustRightInd w:val="0"/>
        <w:spacing w:after="0" w:line="240" w:lineRule="auto"/>
        <w:jc w:val="both"/>
        <w:rPr>
          <w:rFonts w:cs="Arial"/>
        </w:rPr>
      </w:pPr>
      <w:r w:rsidRPr="001B34D0">
        <w:rPr>
          <w:rFonts w:cs="Arial"/>
          <w:noProof/>
          <w:color w:val="000000"/>
          <w:lang w:val="es-ES" w:eastAsia="es-ES"/>
        </w:rPr>
        <w:drawing>
          <wp:inline distT="0" distB="0" distL="0" distR="0">
            <wp:extent cx="5612130" cy="3888952"/>
            <wp:effectExtent l="0" t="0" r="762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888952"/>
                    </a:xfrm>
                    <a:prstGeom prst="rect">
                      <a:avLst/>
                    </a:prstGeom>
                    <a:noFill/>
                    <a:ln>
                      <a:noFill/>
                    </a:ln>
                  </pic:spPr>
                </pic:pic>
              </a:graphicData>
            </a:graphic>
          </wp:inline>
        </w:drawing>
      </w:r>
    </w:p>
    <w:p w:rsidR="001B34D0" w:rsidRPr="001B34D0" w:rsidRDefault="001B34D0" w:rsidP="00A92D87">
      <w:pPr>
        <w:spacing w:line="240" w:lineRule="auto"/>
        <w:jc w:val="both"/>
      </w:pPr>
      <w:r w:rsidRPr="001B34D0">
        <w:t>Fuente: IDSN/SIVIGILA-2015</w:t>
      </w:r>
    </w:p>
    <w:p w:rsidR="001B34D0" w:rsidRPr="00507A08" w:rsidRDefault="001B34D0" w:rsidP="00A92D87">
      <w:pPr>
        <w:numPr>
          <w:ilvl w:val="0"/>
          <w:numId w:val="31"/>
        </w:numPr>
        <w:autoSpaceDE w:val="0"/>
        <w:autoSpaceDN w:val="0"/>
        <w:adjustRightInd w:val="0"/>
        <w:spacing w:after="0" w:line="240" w:lineRule="auto"/>
        <w:jc w:val="both"/>
        <w:rPr>
          <w:rFonts w:cs="Arial"/>
        </w:rPr>
      </w:pPr>
      <w:r w:rsidRPr="001B34D0">
        <w:rPr>
          <w:rFonts w:cs="Arial"/>
        </w:rPr>
        <w:t>En la tabla número 2 observamos el número de casos y la razón de mortalidad materna x 100.000 nacidos vivos entre 2011 y 2014, este último año con la razón ordenada por municipios, donde Colón registra el mayor riesgo con una razón de 1.268 casos x 100.000 n.v. seguido de Aldana, Cumbal, Olaya Herrera, que ocupan los tres primeros puestos en este ranking. Vemos también que mientras en 2011 14 municipios presentaban casos en 2014 la cifra fue de 9, de ellos 4 municipios corresponden a la zona pacífica.</w:t>
      </w:r>
    </w:p>
    <w:p w:rsidR="001B34D0" w:rsidRPr="001B34D0" w:rsidRDefault="001B34D0" w:rsidP="00A92D87">
      <w:pPr>
        <w:spacing w:after="0" w:line="240" w:lineRule="auto"/>
        <w:jc w:val="center"/>
        <w:rPr>
          <w:b/>
        </w:rPr>
      </w:pPr>
    </w:p>
    <w:p w:rsidR="001B34D0" w:rsidRPr="001B34D0" w:rsidRDefault="001B34D0" w:rsidP="00A92D87">
      <w:pPr>
        <w:spacing w:line="240" w:lineRule="auto"/>
        <w:rPr>
          <w:b/>
        </w:rPr>
      </w:pPr>
      <w:r w:rsidRPr="001B34D0">
        <w:rPr>
          <w:b/>
        </w:rPr>
        <w:br w:type="page"/>
      </w:r>
    </w:p>
    <w:p w:rsidR="001B34D0" w:rsidRPr="001B34D0" w:rsidRDefault="001B34D0" w:rsidP="00A92D87">
      <w:pPr>
        <w:spacing w:after="0" w:line="240" w:lineRule="auto"/>
        <w:jc w:val="center"/>
        <w:rPr>
          <w:b/>
        </w:rPr>
      </w:pPr>
      <w:r w:rsidRPr="001B34D0">
        <w:rPr>
          <w:b/>
        </w:rPr>
        <w:lastRenderedPageBreak/>
        <w:t>Tabla N° 3</w:t>
      </w:r>
    </w:p>
    <w:p w:rsidR="001B34D0" w:rsidRPr="001B34D0" w:rsidRDefault="001B34D0" w:rsidP="00A92D87">
      <w:pPr>
        <w:spacing w:after="0" w:line="240" w:lineRule="auto"/>
        <w:jc w:val="center"/>
        <w:rPr>
          <w:b/>
        </w:rPr>
      </w:pPr>
      <w:r w:rsidRPr="001B34D0">
        <w:rPr>
          <w:b/>
        </w:rPr>
        <w:t>Casos y razón de mortalidad materna por grupos etareos</w:t>
      </w:r>
    </w:p>
    <w:p w:rsidR="001B34D0" w:rsidRPr="001B34D0" w:rsidRDefault="001B34D0" w:rsidP="00A92D87">
      <w:pPr>
        <w:spacing w:after="0" w:line="240" w:lineRule="auto"/>
        <w:jc w:val="center"/>
        <w:rPr>
          <w:b/>
        </w:rPr>
      </w:pPr>
      <w:r w:rsidRPr="001B34D0">
        <w:rPr>
          <w:b/>
        </w:rPr>
        <w:t>Departamento de Nariño, 2011-2014</w:t>
      </w:r>
    </w:p>
    <w:p w:rsidR="001B34D0" w:rsidRPr="001B34D0" w:rsidRDefault="001B34D0" w:rsidP="00A92D87">
      <w:pPr>
        <w:autoSpaceDE w:val="0"/>
        <w:autoSpaceDN w:val="0"/>
        <w:adjustRightInd w:val="0"/>
        <w:spacing w:after="0" w:line="240" w:lineRule="auto"/>
        <w:ind w:left="720"/>
        <w:jc w:val="both"/>
        <w:rPr>
          <w:rFonts w:cs="Arial"/>
          <w:b/>
        </w:rPr>
      </w:pPr>
    </w:p>
    <w:p w:rsidR="001B34D0" w:rsidRPr="001B34D0" w:rsidRDefault="001B34D0" w:rsidP="00A92D87">
      <w:pPr>
        <w:autoSpaceDE w:val="0"/>
        <w:autoSpaceDN w:val="0"/>
        <w:adjustRightInd w:val="0"/>
        <w:spacing w:after="0" w:line="240" w:lineRule="auto"/>
        <w:ind w:left="720"/>
        <w:jc w:val="both"/>
        <w:rPr>
          <w:rFonts w:cs="Arial"/>
        </w:rPr>
      </w:pPr>
      <w:r w:rsidRPr="001B34D0">
        <w:rPr>
          <w:rFonts w:cs="Arial"/>
          <w:noProof/>
          <w:color w:val="000000"/>
          <w:lang w:val="es-ES" w:eastAsia="es-ES"/>
        </w:rPr>
        <w:drawing>
          <wp:inline distT="0" distB="0" distL="0" distR="0">
            <wp:extent cx="5612130" cy="1188154"/>
            <wp:effectExtent l="0" t="0" r="762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1188154"/>
                    </a:xfrm>
                    <a:prstGeom prst="rect">
                      <a:avLst/>
                    </a:prstGeom>
                    <a:noFill/>
                    <a:ln>
                      <a:noFill/>
                    </a:ln>
                  </pic:spPr>
                </pic:pic>
              </a:graphicData>
            </a:graphic>
          </wp:inline>
        </w:drawing>
      </w:r>
    </w:p>
    <w:p w:rsidR="001B34D0" w:rsidRPr="001B34D0" w:rsidRDefault="001B34D0" w:rsidP="00A92D87">
      <w:pPr>
        <w:spacing w:line="240" w:lineRule="auto"/>
        <w:jc w:val="both"/>
      </w:pPr>
      <w:r w:rsidRPr="001B34D0">
        <w:t>Fuente: IDSN/SIVIGILA-2015</w:t>
      </w:r>
    </w:p>
    <w:p w:rsidR="001B34D0" w:rsidRPr="001B34D0" w:rsidRDefault="001B34D0" w:rsidP="00A92D87">
      <w:pPr>
        <w:numPr>
          <w:ilvl w:val="0"/>
          <w:numId w:val="31"/>
        </w:numPr>
        <w:autoSpaceDE w:val="0"/>
        <w:autoSpaceDN w:val="0"/>
        <w:adjustRightInd w:val="0"/>
        <w:spacing w:after="0" w:line="240" w:lineRule="auto"/>
        <w:jc w:val="both"/>
        <w:rPr>
          <w:rFonts w:cs="Arial"/>
        </w:rPr>
      </w:pPr>
      <w:r w:rsidRPr="001B34D0">
        <w:rPr>
          <w:rFonts w:cs="Arial"/>
        </w:rPr>
        <w:t>Entre 2012 a 2014 se notificaron al SIVIGILA 47 casos de muertes maternas, de ellas 1 caso se presentó en una menor de 15 años, 7 casos en menores de 20 años y 25 muertes en menores de 35 años de edad.</w:t>
      </w:r>
    </w:p>
    <w:p w:rsidR="001B34D0" w:rsidRPr="001B34D0" w:rsidRDefault="001B34D0" w:rsidP="00A92D87">
      <w:pPr>
        <w:autoSpaceDE w:val="0"/>
        <w:autoSpaceDN w:val="0"/>
        <w:adjustRightInd w:val="0"/>
        <w:spacing w:after="0" w:line="240" w:lineRule="auto"/>
        <w:ind w:left="720"/>
        <w:jc w:val="both"/>
        <w:rPr>
          <w:rFonts w:cs="Arial"/>
        </w:rPr>
      </w:pPr>
    </w:p>
    <w:p w:rsidR="001B34D0" w:rsidRPr="001B34D0" w:rsidRDefault="001B34D0" w:rsidP="00A92D87">
      <w:pPr>
        <w:spacing w:line="240" w:lineRule="auto"/>
        <w:rPr>
          <w:b/>
        </w:rPr>
      </w:pPr>
      <w:r w:rsidRPr="001B34D0">
        <w:rPr>
          <w:b/>
        </w:rPr>
        <w:t>2.- Situación detectada</w:t>
      </w:r>
    </w:p>
    <w:p w:rsidR="001B34D0" w:rsidRPr="001B34D0" w:rsidRDefault="001B34D0" w:rsidP="00A92D87">
      <w:pPr>
        <w:numPr>
          <w:ilvl w:val="0"/>
          <w:numId w:val="31"/>
        </w:numPr>
        <w:autoSpaceDE w:val="0"/>
        <w:autoSpaceDN w:val="0"/>
        <w:adjustRightInd w:val="0"/>
        <w:spacing w:after="0" w:line="240" w:lineRule="auto"/>
        <w:jc w:val="both"/>
        <w:rPr>
          <w:rFonts w:cs="Arial"/>
          <w:color w:val="000000"/>
        </w:rPr>
      </w:pPr>
      <w:r w:rsidRPr="001B34D0">
        <w:rPr>
          <w:rFonts w:cs="Arial"/>
          <w:color w:val="000000"/>
        </w:rPr>
        <w:t xml:space="preserve">La muerte materna es el resultado más evidente de la desigualdad e inequidad que enfrentan las mujeres, teniendo implicaciones adversas para la familia y la sociedad. Es el resultado final de una serie de factores determinantes relacionados al contexto socio-económico, entre los cuales se destacan la situación de desventaja económica que enfrentan las mujeres y sus familias, la educación así como, los relativos a su estado de salud relacionados a los comportamientos reproductivos, el acceso y calidad de los servicios de salud para la atención materna, y la planificación familiar. </w:t>
      </w:r>
    </w:p>
    <w:p w:rsidR="001B34D0" w:rsidRPr="001B34D0" w:rsidRDefault="001B34D0" w:rsidP="00A92D87">
      <w:pPr>
        <w:autoSpaceDE w:val="0"/>
        <w:autoSpaceDN w:val="0"/>
        <w:adjustRightInd w:val="0"/>
        <w:spacing w:after="0" w:line="240" w:lineRule="auto"/>
        <w:ind w:left="720"/>
        <w:jc w:val="both"/>
        <w:rPr>
          <w:rFonts w:cs="Arial"/>
          <w:color w:val="000000"/>
        </w:rPr>
      </w:pPr>
    </w:p>
    <w:p w:rsidR="001B34D0" w:rsidRPr="001B34D0" w:rsidRDefault="001B34D0" w:rsidP="00A92D87">
      <w:pPr>
        <w:spacing w:line="240" w:lineRule="auto"/>
        <w:jc w:val="both"/>
      </w:pPr>
      <w:r w:rsidRPr="001B34D0">
        <w:t>Garantizar una maternidad segura sustentada bajo un enfoque integral para el desarrollo pleno de la salud sexual y reproductiva es uno de los objetivos de desarrollo del milenio, en donde los mayores esfuerzos se han concentrado en la reducción de las muertes maternas por causas médicas y no médicas que son totalmente prevenibles mediante la oportuna aplicación de la tecnología disponible, así como las acciones de promoción y prevención y estrategias de acción intersectorial e interinstitucional.</w:t>
      </w:r>
    </w:p>
    <w:p w:rsidR="001B34D0" w:rsidRPr="001B34D0" w:rsidRDefault="001B34D0" w:rsidP="00A92D87">
      <w:pPr>
        <w:numPr>
          <w:ilvl w:val="0"/>
          <w:numId w:val="31"/>
        </w:numPr>
        <w:autoSpaceDE w:val="0"/>
        <w:autoSpaceDN w:val="0"/>
        <w:adjustRightInd w:val="0"/>
        <w:spacing w:after="0" w:line="240" w:lineRule="auto"/>
        <w:jc w:val="both"/>
        <w:rPr>
          <w:rFonts w:cs="Arial"/>
          <w:color w:val="000000"/>
        </w:rPr>
      </w:pPr>
      <w:r w:rsidRPr="001B34D0">
        <w:rPr>
          <w:rFonts w:cs="Arial"/>
          <w:color w:val="000000"/>
        </w:rPr>
        <w:t>Es prioridad mundial la salud materna e infantil, Colombia se ha comprometido con los objetivos de desarrollo del milenio (ODM), el ODM número 5 sobre salud materna busca disminuir en ¾ partes para el año 2015 las muertes maternas en el mundo, en el Conpes 140 de 2011 sobre las metas de Colombia para los objetivos del milenio se establece para el año 2015 la meta de 48.8 muertes maternas por cada 100.000 nacidos vivos. En el plan territorial de salud pública el departamento de Nariño fijo una meta para 2014 de 82.81 valor que a la fecha se ha superado con éxito</w:t>
      </w:r>
    </w:p>
    <w:p w:rsidR="001B34D0" w:rsidRPr="001B34D0" w:rsidRDefault="001B34D0" w:rsidP="00A92D87">
      <w:pPr>
        <w:autoSpaceDE w:val="0"/>
        <w:autoSpaceDN w:val="0"/>
        <w:adjustRightInd w:val="0"/>
        <w:spacing w:after="0" w:line="240" w:lineRule="auto"/>
        <w:ind w:left="720"/>
        <w:jc w:val="both"/>
        <w:rPr>
          <w:rFonts w:cs="Arial"/>
          <w:color w:val="000000"/>
        </w:rPr>
      </w:pPr>
    </w:p>
    <w:p w:rsidR="001B34D0" w:rsidRPr="001B34D0" w:rsidRDefault="001B34D0" w:rsidP="00A92D87">
      <w:pPr>
        <w:spacing w:line="240" w:lineRule="auto"/>
        <w:jc w:val="both"/>
      </w:pPr>
      <w:r w:rsidRPr="001B34D0">
        <w:t>En Colombia uno de los derechos fundamentales de las mujeres es la garantía de la atención materna, establecida desde la declaración internacional de derechos humanos, la conferencia de El Cairo y la Constitución Política de Colombia.</w:t>
      </w:r>
    </w:p>
    <w:p w:rsidR="001B34D0" w:rsidRPr="001B34D0" w:rsidRDefault="001B34D0" w:rsidP="00A92D87">
      <w:pPr>
        <w:spacing w:line="240" w:lineRule="auto"/>
        <w:rPr>
          <w:b/>
        </w:rPr>
      </w:pPr>
      <w:r w:rsidRPr="001B34D0">
        <w:rPr>
          <w:b/>
        </w:rPr>
        <w:lastRenderedPageBreak/>
        <w:t>3.- Insumos</w:t>
      </w:r>
    </w:p>
    <w:p w:rsidR="001B34D0" w:rsidRPr="001B34D0" w:rsidRDefault="001B34D0" w:rsidP="00A92D87">
      <w:pPr>
        <w:spacing w:line="240" w:lineRule="auto"/>
        <w:jc w:val="both"/>
      </w:pPr>
      <w:r w:rsidRPr="001B34D0">
        <w:t>El Instituto Departamental de Salud de Nariño, Incluyo la razón de mortalidad materna como indicador en los Planes de Desarrollo y Territorial de Salud del departamento, entre 2012 y 2015 destino a la Dimensión de Sexualidad y Salud Sexual y Reproductiva un total de $ 1.789.936.000 ($ 382.364.0000 en 2012, $ 486243.000 en 2013, $ 501.661.000 en 2014 y $ 419.668.000 en 2015) los cuales se han invertido en el cumplimiento de las competencias de inspección vigilancia y control, asistencia técnica y articulación intersectorial en el marco de los componentes de dicha prioridad,  promoción y empoderamiento de los Derechos Sexuales y Reproductivos y la mejora de los servicios de SSR. Adicionalmente se cuenta con un equipo de un profesional especializado de planta y seis de contrato quienes han apoyado el desarrollo de cada una de las actividades ejecutadas en el marco del Plan Operativo del Plan Territorial..</w:t>
      </w:r>
    </w:p>
    <w:p w:rsidR="001B34D0" w:rsidRPr="001B34D0" w:rsidRDefault="001B34D0" w:rsidP="00A92D87">
      <w:pPr>
        <w:spacing w:line="240" w:lineRule="auto"/>
        <w:rPr>
          <w:b/>
        </w:rPr>
      </w:pPr>
      <w:r w:rsidRPr="001B34D0">
        <w:rPr>
          <w:b/>
        </w:rPr>
        <w:t>4.- Actividades</w:t>
      </w:r>
    </w:p>
    <w:p w:rsidR="001B34D0" w:rsidRPr="001B34D0" w:rsidRDefault="001B34D0" w:rsidP="00A92D87">
      <w:pPr>
        <w:spacing w:line="240" w:lineRule="auto"/>
        <w:jc w:val="both"/>
      </w:pPr>
      <w:r w:rsidRPr="001B34D0">
        <w:rPr>
          <w:bCs/>
        </w:rPr>
        <w:t xml:space="preserve">COMUNICACIÓN Y MOVILIZACION SOCIAL: mediante equipos de movilización social se priorizaron municipios especialmente de costa pacífica para asistencia técnica en el fortalecimiento y empoderamiento de los derechos sexuales y reproductivos. Se diseñó campaña comunicativa "Si me quieres me cuidas", enfocada a la promoción de la salud materno infantil y derechos sexuales y reproductivos en la cual se creó productos o piezas educomunicativas alusivas a la campaña (jingle, cuñas, spot tv, avisos de prensa, banners y comunicados de prensa) divulgadas a través de radio, televisión y medios escritos contratados por el IDSN según plan de medios (40 municipios), y los institucionales como portal web y Facebook. </w:t>
      </w:r>
      <w:r w:rsidRPr="001B34D0">
        <w:t>También se ha c</w:t>
      </w:r>
      <w:r w:rsidRPr="001B34D0">
        <w:rPr>
          <w:bCs/>
        </w:rPr>
        <w:t xml:space="preserve">oordinó y ejecutó agendas de medios con los referentes de Salud Sexual y Reproductiva y Salud Infantil. </w:t>
      </w:r>
    </w:p>
    <w:p w:rsidR="001B34D0" w:rsidRPr="001B34D0" w:rsidRDefault="001B34D0" w:rsidP="00A92D87">
      <w:pPr>
        <w:spacing w:line="240" w:lineRule="auto"/>
        <w:jc w:val="both"/>
      </w:pPr>
      <w:r w:rsidRPr="001B34D0">
        <w:rPr>
          <w:bCs/>
        </w:rPr>
        <w:t xml:space="preserve">Asistencias técnicas a la Red de Comunicadores por la Salud de Pasto y la ex-provincia de Obando, con el acompañamiento a profesionales de los equipos de Salud Sexual y Reproductiva, Salud Infantil y Seguridad Alimentaria. </w:t>
      </w:r>
    </w:p>
    <w:p w:rsidR="001B34D0" w:rsidRPr="001B34D0" w:rsidRDefault="001B34D0" w:rsidP="00A92D87">
      <w:pPr>
        <w:spacing w:line="240" w:lineRule="auto"/>
        <w:jc w:val="both"/>
      </w:pPr>
      <w:r w:rsidRPr="001B34D0">
        <w:rPr>
          <w:bCs/>
        </w:rPr>
        <w:t>Visita a las EPS presentes en el departamento para el conocimiento de las acciones de Información Educación Comunicación y Movilización Social en articulación a la implementación de los Sistemas de Atención al Usuario, de acuerdo a competencias en comunicación.</w:t>
      </w:r>
    </w:p>
    <w:p w:rsidR="001B34D0" w:rsidRPr="001B34D0" w:rsidRDefault="001B34D0" w:rsidP="00A92D87">
      <w:pPr>
        <w:spacing w:line="240" w:lineRule="auto"/>
        <w:jc w:val="both"/>
        <w:rPr>
          <w:bCs/>
        </w:rPr>
      </w:pPr>
      <w:r w:rsidRPr="001B34D0">
        <w:rPr>
          <w:bCs/>
        </w:rPr>
        <w:t>ARTICULACIÓN INTRA E INTERSECTORIAL:</w:t>
      </w:r>
    </w:p>
    <w:p w:rsidR="001B34D0" w:rsidRPr="001B34D0" w:rsidRDefault="001B34D0" w:rsidP="00A92D87">
      <w:pPr>
        <w:spacing w:line="240" w:lineRule="auto"/>
        <w:jc w:val="both"/>
      </w:pPr>
      <w:r w:rsidRPr="001B34D0">
        <w:rPr>
          <w:bCs/>
        </w:rPr>
        <w:t xml:space="preserve">Se elaboró y concertó el Manual de Referencia el cual fue aprobado por el comité departamental de urgencias el 16 de mayo y adoptado mediante resolución 2197 de julio de 2014, en este manual se establecen los lineamientos departamentales de referencia y contra referencia. Además se realizaron visitas de Inspección y Vigilancia a todas las EPS que hacen presencia en el departamento para seguimiento al sistema de referencia y contra referencia. </w:t>
      </w:r>
    </w:p>
    <w:p w:rsidR="001B34D0" w:rsidRPr="001B34D0" w:rsidRDefault="001B34D0" w:rsidP="00A92D87">
      <w:pPr>
        <w:spacing w:line="240" w:lineRule="auto"/>
        <w:jc w:val="both"/>
        <w:rPr>
          <w:bCs/>
        </w:rPr>
      </w:pPr>
      <w:r w:rsidRPr="001B34D0">
        <w:rPr>
          <w:bCs/>
        </w:rPr>
        <w:t xml:space="preserve">Se concertaron acciones con Educación, ICFB, Secretaria de Genero e Inclusión Social, Universidades, Registraduría en la línea de Salud Infantil. Se coordinaron acciones en el marco de los comités de Política Social. </w:t>
      </w:r>
    </w:p>
    <w:p w:rsidR="001B34D0" w:rsidRPr="001B34D0" w:rsidRDefault="001B34D0" w:rsidP="00A92D87">
      <w:pPr>
        <w:spacing w:line="240" w:lineRule="auto"/>
        <w:jc w:val="both"/>
      </w:pPr>
      <w:r w:rsidRPr="001B34D0">
        <w:rPr>
          <w:bCs/>
        </w:rPr>
        <w:t>Se coordinaron acciones de articulación con Universidades Formadoras de Recurso Humano en Salud, en el marco del fortalecimiento de la academia como asistencia técnica a docentes y estudiantes de enfermería y medicina. (Salud Infantil, Salud Sexual y Reproductiva).</w:t>
      </w:r>
    </w:p>
    <w:p w:rsidR="001B34D0" w:rsidRPr="001B34D0" w:rsidRDefault="001B34D0" w:rsidP="00A92D87">
      <w:pPr>
        <w:spacing w:line="240" w:lineRule="auto"/>
        <w:jc w:val="both"/>
      </w:pPr>
      <w:r w:rsidRPr="001B34D0">
        <w:rPr>
          <w:bCs/>
        </w:rPr>
        <w:lastRenderedPageBreak/>
        <w:t>Se trabajó con Bienestares Universitarios con el fin de garantizar a la población universitaria el acceso a los servicios de Salud Sexual y Reproductiva, para lo cual se construyó unas rutas de atención en coordinación con las EPS, se dotó a los bienestares universitarios de dispensadores de preservativos para mejorar el acceso a estos, además se capacitación en temas de Salud Sexual y Reproductiva, Nutrición, Crónicas y Salud Mental</w:t>
      </w:r>
    </w:p>
    <w:p w:rsidR="001B34D0" w:rsidRPr="001B34D0" w:rsidRDefault="001B34D0" w:rsidP="00A92D87">
      <w:pPr>
        <w:spacing w:line="240" w:lineRule="auto"/>
        <w:jc w:val="both"/>
      </w:pPr>
      <w:r w:rsidRPr="001B34D0">
        <w:rPr>
          <w:bCs/>
        </w:rPr>
        <w:t>Igualmente se concertó un plan de trabajo con la Secretaria de Educación Departamental, Fondo de Población de Naciones Unidas (UNFPA), Gobernación, CONPES 147 e IDSN que permitan incidir en la problemática de embarazo en adolescentes, el cual se cumplió en un 100%</w:t>
      </w:r>
    </w:p>
    <w:p w:rsidR="001B34D0" w:rsidRPr="001B34D0" w:rsidRDefault="001B34D0" w:rsidP="00A92D87">
      <w:pPr>
        <w:spacing w:line="240" w:lineRule="auto"/>
        <w:jc w:val="both"/>
      </w:pPr>
      <w:r w:rsidRPr="001B34D0">
        <w:rPr>
          <w:bCs/>
        </w:rPr>
        <w:t>Se capacitó a líderes y lideresas que hacen parte de Ligas de Usuarios, madres comunitarias en Derechos Sexuales y Reproductivos de municipios priorizados.</w:t>
      </w:r>
    </w:p>
    <w:p w:rsidR="001B34D0" w:rsidRPr="001B34D0" w:rsidRDefault="001B34D0" w:rsidP="00A92D87">
      <w:pPr>
        <w:spacing w:line="240" w:lineRule="auto"/>
        <w:jc w:val="both"/>
        <w:rPr>
          <w:bCs/>
        </w:rPr>
      </w:pPr>
      <w:r w:rsidRPr="001B34D0">
        <w:rPr>
          <w:bCs/>
        </w:rPr>
        <w:t>FORTALECIMIENTO INSTITUCIONAL: Fortalecimiento de la estrategia Enlázate para una maternidad segura o georreferenciación de las gestantes" en pro de mejorar la red de apoyo social a través del seguimiento de las enfermeras subregionales.</w:t>
      </w:r>
    </w:p>
    <w:p w:rsidR="001B34D0" w:rsidRPr="001B34D0" w:rsidRDefault="001B34D0" w:rsidP="00A92D87">
      <w:pPr>
        <w:spacing w:line="240" w:lineRule="auto"/>
        <w:jc w:val="both"/>
        <w:rPr>
          <w:bCs/>
        </w:rPr>
      </w:pPr>
      <w:r w:rsidRPr="001B34D0">
        <w:rPr>
          <w:bCs/>
        </w:rPr>
        <w:t>Se coordinó con Direcciones Locales de Salud censo de AIEPI comunitario que permita un diagnóstico en prácticas claves de salud. Además se llevó a cabo taller de AIEPI Organizacional y comunitario con acompañamiento en la elaboración de AIEPI organizacional municipal.</w:t>
      </w:r>
    </w:p>
    <w:p w:rsidR="001B34D0" w:rsidRPr="001B34D0" w:rsidRDefault="001B34D0" w:rsidP="00A92D87">
      <w:pPr>
        <w:spacing w:line="240" w:lineRule="auto"/>
        <w:jc w:val="both"/>
      </w:pPr>
      <w:r w:rsidRPr="001B34D0">
        <w:rPr>
          <w:bCs/>
        </w:rPr>
        <w:t>Se brindó asistencia técnica a Municipios críticos en enfermedades prevenibles en Enfermedad Respiratoria Aguda, AIEPI Comunitario y Organizacional y acciones de Inspección Vigilancia y Control por la prioridad de salud infantil en el componente de AIEPI Organizacional, AIEPI Clínico, AIEPI Comunitario en los 64 Municipios del Departamento de Nariño.</w:t>
      </w:r>
    </w:p>
    <w:p w:rsidR="001B34D0" w:rsidRPr="001B34D0" w:rsidRDefault="001B34D0" w:rsidP="00A92D87">
      <w:pPr>
        <w:spacing w:line="240" w:lineRule="auto"/>
        <w:jc w:val="both"/>
      </w:pPr>
      <w:r w:rsidRPr="001B34D0">
        <w:rPr>
          <w:bCs/>
        </w:rPr>
        <w:t>Revisión y actualización del formato de auto apreciación IAMI de acuerdo a normatividad vigente en articulación con las líneas prioridad de: SSR, SI y la Subdirección de Calidad y Aseguramiento y La Secretaría Municipal de Salud de Pasto, además se realizaron visitas de seguimiento a implementación de la estrategia IAMI.</w:t>
      </w:r>
    </w:p>
    <w:p w:rsidR="001B34D0" w:rsidRPr="001B34D0" w:rsidRDefault="001B34D0" w:rsidP="00A92D87">
      <w:pPr>
        <w:spacing w:line="240" w:lineRule="auto"/>
        <w:jc w:val="both"/>
      </w:pPr>
      <w:r w:rsidRPr="001B34D0">
        <w:rPr>
          <w:bCs/>
        </w:rPr>
        <w:t>Celebración de la semana mundial de la lactancia materna. Generación de la circular 194 del 23 de julio de 2014 promoviendo el desarrollo de actividades en los 64 municipios del Departamento de Nariño en el marco de dicha semana.</w:t>
      </w:r>
    </w:p>
    <w:p w:rsidR="001B34D0" w:rsidRPr="001B34D0" w:rsidRDefault="001B34D0" w:rsidP="00A92D87">
      <w:pPr>
        <w:spacing w:line="240" w:lineRule="auto"/>
        <w:jc w:val="both"/>
      </w:pPr>
      <w:r w:rsidRPr="001B34D0">
        <w:rPr>
          <w:bCs/>
        </w:rPr>
        <w:t xml:space="preserve">Promoción de lactancia materna en las localidades intervenidas por el equipo de salud Infantil, Reunión con pediatras para socializar el código de </w:t>
      </w:r>
      <w:r w:rsidR="007C3396" w:rsidRPr="001B34D0">
        <w:rPr>
          <w:bCs/>
        </w:rPr>
        <w:t>sucedáneos</w:t>
      </w:r>
      <w:r w:rsidRPr="001B34D0">
        <w:rPr>
          <w:bCs/>
        </w:rPr>
        <w:t xml:space="preserve"> de LM.</w:t>
      </w:r>
    </w:p>
    <w:p w:rsidR="001B34D0" w:rsidRPr="001B34D0" w:rsidRDefault="001B34D0" w:rsidP="00A92D87">
      <w:pPr>
        <w:spacing w:line="240" w:lineRule="auto"/>
        <w:jc w:val="both"/>
      </w:pPr>
      <w:r w:rsidRPr="001B34D0">
        <w:rPr>
          <w:bCs/>
        </w:rPr>
        <w:t>Realización de Foro Departamental Derechos, Deberes y salud Materno Infantil para la prevención del bajo peso al nacer en Nariño.</w:t>
      </w:r>
    </w:p>
    <w:p w:rsidR="001B34D0" w:rsidRPr="001B34D0" w:rsidRDefault="001B34D0" w:rsidP="00A92D87">
      <w:pPr>
        <w:spacing w:line="240" w:lineRule="auto"/>
        <w:jc w:val="both"/>
        <w:rPr>
          <w:bCs/>
        </w:rPr>
      </w:pPr>
      <w:r w:rsidRPr="001B34D0">
        <w:rPr>
          <w:bCs/>
        </w:rPr>
        <w:t>Se realizaron talleres de entrenamientos en anticoncepción y en colocación de implante subdérmico capacitando a profesionales de ESEs/IPS de la red departamental de salud del departamento.</w:t>
      </w:r>
    </w:p>
    <w:p w:rsidR="001B34D0" w:rsidRPr="001B34D0" w:rsidRDefault="001B34D0" w:rsidP="00A92D87">
      <w:pPr>
        <w:spacing w:line="240" w:lineRule="auto"/>
        <w:jc w:val="both"/>
      </w:pPr>
      <w:r w:rsidRPr="001B34D0">
        <w:rPr>
          <w:bCs/>
        </w:rPr>
        <w:t>Se realizó requerimientos a las EAPB con relación al seguimiento en anticoncepción a adolescentes que se encuentran reportadas en base de datos de estadísticas vitales, de acuerdo a la consolidación solo el 40% de esta población está vinculada a programas de anticoncepción o planificación familiar.</w:t>
      </w:r>
    </w:p>
    <w:p w:rsidR="001B34D0" w:rsidRPr="001B34D0" w:rsidRDefault="001B34D0" w:rsidP="00A92D87">
      <w:pPr>
        <w:spacing w:line="240" w:lineRule="auto"/>
        <w:jc w:val="both"/>
        <w:rPr>
          <w:bCs/>
        </w:rPr>
      </w:pPr>
      <w:r w:rsidRPr="001B34D0">
        <w:rPr>
          <w:bCs/>
        </w:rPr>
        <w:lastRenderedPageBreak/>
        <w:t xml:space="preserve">Se ha realizado fortalecimiento de la estrategia de los Servicios de Salud Amigables para Adolescentes y Jóvenes (SSAAJ) mediante asistencia técnica permanente y dotación de material didáctico de Salud Sexual y Reproductiva. </w:t>
      </w:r>
    </w:p>
    <w:p w:rsidR="001B34D0" w:rsidRPr="001B34D0" w:rsidRDefault="001B34D0" w:rsidP="00A92D87">
      <w:pPr>
        <w:spacing w:line="240" w:lineRule="auto"/>
        <w:jc w:val="both"/>
        <w:rPr>
          <w:bCs/>
        </w:rPr>
      </w:pPr>
      <w:r w:rsidRPr="001B34D0">
        <w:rPr>
          <w:bCs/>
        </w:rPr>
        <w:t>Capacitación a través de talleres tipo simulacros de emergencia obstétrica con apoyo de gineco obstetra dirigido a profesionales de salud que atienden a gestantes (urgencias, sala de partos, hospitalización GO) de las ESEs/IPSs de los municipios del departamento.</w:t>
      </w:r>
    </w:p>
    <w:p w:rsidR="001B34D0" w:rsidRPr="001B34D0" w:rsidRDefault="001B34D0" w:rsidP="00A92D87">
      <w:pPr>
        <w:spacing w:line="240" w:lineRule="auto"/>
        <w:jc w:val="both"/>
      </w:pPr>
      <w:r w:rsidRPr="001B34D0">
        <w:rPr>
          <w:bCs/>
        </w:rPr>
        <w:t>Además se gestionó la realización de talleres "Prácticas Claves que Salvan Vidas en Emergencia Obstétrica" en coordinación con Ministerio de Salud en Tumaco e Ipiales desarrollados por expertos de nivel nacional.</w:t>
      </w:r>
    </w:p>
    <w:p w:rsidR="001B34D0" w:rsidRPr="001B34D0" w:rsidRDefault="001B34D0" w:rsidP="00A92D87">
      <w:pPr>
        <w:spacing w:line="240" w:lineRule="auto"/>
        <w:jc w:val="both"/>
      </w:pPr>
      <w:r w:rsidRPr="001B34D0">
        <w:t>Se realizó un t</w:t>
      </w:r>
      <w:r w:rsidRPr="001B34D0">
        <w:rPr>
          <w:bCs/>
        </w:rPr>
        <w:t>aller departamental realizado en Pasto y otro en Tumaco dirigido a municipios de las Costa Pacífica con el objeto de fortalecer la asistencia técnica en las líneas de acción en Salud Sexual y Reproductiva.</w:t>
      </w:r>
    </w:p>
    <w:p w:rsidR="001B34D0" w:rsidRPr="001B34D0" w:rsidRDefault="001B34D0" w:rsidP="00A92D87">
      <w:pPr>
        <w:spacing w:line="240" w:lineRule="auto"/>
        <w:jc w:val="both"/>
      </w:pPr>
      <w:r w:rsidRPr="001B34D0">
        <w:rPr>
          <w:bCs/>
        </w:rPr>
        <w:t xml:space="preserve">Se realizaron Rondas de Seguridad en maternidad segura a Hospitales de baja mediana y alta complejidad mediante la cual se concertaron planes de mejora en lo relacionado a servicios de salud a las gestantes. </w:t>
      </w:r>
    </w:p>
    <w:p w:rsidR="001B34D0" w:rsidRPr="001B34D0" w:rsidRDefault="001B34D0" w:rsidP="00A92D87">
      <w:pPr>
        <w:spacing w:line="240" w:lineRule="auto"/>
        <w:jc w:val="both"/>
        <w:rPr>
          <w:bCs/>
        </w:rPr>
      </w:pPr>
      <w:r w:rsidRPr="001B34D0">
        <w:t>Con e</w:t>
      </w:r>
      <w:r w:rsidRPr="001B34D0">
        <w:rPr>
          <w:bCs/>
        </w:rPr>
        <w:t>l equipo de subregiones se realizaron visitas permanentes de asistencia técnica e Inspección y Vigilancia a la red departamental de salud del departamento, con énfasis en la prestación de servicios de salud sexual y reproductiva.</w:t>
      </w:r>
    </w:p>
    <w:p w:rsidR="001B34D0" w:rsidRPr="001B34D0" w:rsidRDefault="001B34D0" w:rsidP="00A92D87">
      <w:pPr>
        <w:spacing w:line="240" w:lineRule="auto"/>
        <w:jc w:val="both"/>
        <w:rPr>
          <w:bCs/>
        </w:rPr>
      </w:pPr>
      <w:r w:rsidRPr="001B34D0">
        <w:rPr>
          <w:bCs/>
        </w:rPr>
        <w:t>Las EPS presentes en el departamento formularon ejecutaron el Plan de Reducción Mortalidad Materno Infantil al igual que las Direcciones Locales de Salud y ESEs/IPSs.</w:t>
      </w:r>
    </w:p>
    <w:p w:rsidR="001B34D0" w:rsidRPr="001B34D0" w:rsidRDefault="001B34D0" w:rsidP="00A92D87">
      <w:pPr>
        <w:spacing w:line="240" w:lineRule="auto"/>
        <w:jc w:val="both"/>
        <w:rPr>
          <w:bCs/>
        </w:rPr>
      </w:pPr>
      <w:r w:rsidRPr="001B34D0">
        <w:rPr>
          <w:bCs/>
        </w:rPr>
        <w:t>Se ha realizado acompañamiento a la ESE Centro de Salud Ricaurte en la implementación de Parto con enfoque etno-cultural, se realizó taller con gineco-obstetra en lo relacionado a la atención de parto vertical dirigido a médicos, enfermeras, de esta ESE con el fin de fortalecer la estrategia.</w:t>
      </w:r>
    </w:p>
    <w:p w:rsidR="001B34D0" w:rsidRPr="001B34D0" w:rsidRDefault="001B34D0" w:rsidP="00A92D87">
      <w:pPr>
        <w:spacing w:line="240" w:lineRule="auto"/>
        <w:jc w:val="both"/>
        <w:rPr>
          <w:bCs/>
        </w:rPr>
      </w:pPr>
      <w:r w:rsidRPr="001B34D0">
        <w:rPr>
          <w:bCs/>
        </w:rPr>
        <w:t>Mediante circular se adoptaron los Protocolos de Atención  Preconcepcional, Atención de Aborto Inseguro, Protocolo Gestante menor de 15 años y Guías de Prácticas Clínicas en control prenatal, parto puerperio y atención a Recién Nacido en la red de atención en salud.</w:t>
      </w:r>
    </w:p>
    <w:p w:rsidR="001B34D0" w:rsidRPr="001B34D0" w:rsidRDefault="001B34D0" w:rsidP="00A92D87">
      <w:pPr>
        <w:spacing w:line="240" w:lineRule="auto"/>
        <w:jc w:val="both"/>
        <w:rPr>
          <w:bCs/>
        </w:rPr>
      </w:pPr>
      <w:r w:rsidRPr="001B34D0">
        <w:rPr>
          <w:bCs/>
        </w:rPr>
        <w:t>Se realizaron visitas de Inspección, Vigilancia y Control a prestadores de mediana complejidad en horario nocturno con el fin de verificar la prestación del servicio en ginecología y neonatología.</w:t>
      </w:r>
    </w:p>
    <w:p w:rsidR="001B34D0" w:rsidRPr="001B34D0" w:rsidRDefault="001B34D0" w:rsidP="00A92D87">
      <w:pPr>
        <w:spacing w:line="240" w:lineRule="auto"/>
        <w:jc w:val="both"/>
        <w:rPr>
          <w:bCs/>
        </w:rPr>
      </w:pPr>
      <w:r w:rsidRPr="001B34D0">
        <w:rPr>
          <w:bCs/>
        </w:rPr>
        <w:t>Desde la Subdirección de Calidad y Aseguramiento se configuraron Procesos Administrativos Sancionatorios a algunas ESEs/IPSs por presuntas irregularidades en la atención a gestantes.</w:t>
      </w:r>
    </w:p>
    <w:p w:rsidR="001B34D0" w:rsidRPr="001B34D0" w:rsidRDefault="001B34D0" w:rsidP="00A92D87">
      <w:pPr>
        <w:spacing w:line="240" w:lineRule="auto"/>
        <w:jc w:val="both"/>
        <w:rPr>
          <w:bCs/>
        </w:rPr>
      </w:pPr>
      <w:r w:rsidRPr="001B34D0">
        <w:rPr>
          <w:bCs/>
        </w:rPr>
        <w:t>Se realizaron visitas de Inspección Vigilancia y Control al 100% los servicios transfusionales del departamento y a los dos bancos de sangre en conjunto con el Instituto Nacional de Salud, además se está realizando las visitas de cumplimiento a los planes de acción presentados por los servicios y bancos de sangre.</w:t>
      </w:r>
    </w:p>
    <w:p w:rsidR="001B34D0" w:rsidRPr="001B34D0" w:rsidRDefault="001B34D0" w:rsidP="00A92D87">
      <w:pPr>
        <w:spacing w:line="240" w:lineRule="auto"/>
        <w:jc w:val="both"/>
      </w:pPr>
      <w:r w:rsidRPr="001B34D0">
        <w:rPr>
          <w:bCs/>
        </w:rPr>
        <w:t>Semanalmente los días viernes hasta las 4 pm se realiza o recibe información de los servicios transfusionales sobre la cantidad de hemocomponentes en existencia, esta información se envía al CRUE para que puede tenerse en cuenta en alguna emergencia.</w:t>
      </w:r>
    </w:p>
    <w:p w:rsidR="001B34D0" w:rsidRPr="001B34D0" w:rsidRDefault="001B34D0" w:rsidP="00A92D87">
      <w:pPr>
        <w:spacing w:line="240" w:lineRule="auto"/>
        <w:jc w:val="both"/>
      </w:pPr>
      <w:r w:rsidRPr="001B34D0">
        <w:rPr>
          <w:bCs/>
        </w:rPr>
        <w:lastRenderedPageBreak/>
        <w:t>Mediante la línea amiga de Salud Sexual y Reproductiva se viene apoyando a las ESEs, IPS, EAPB en eventos relacionados con maternidad segura.</w:t>
      </w:r>
    </w:p>
    <w:p w:rsidR="001B34D0" w:rsidRPr="001B34D0" w:rsidRDefault="001B34D0" w:rsidP="00A92D87">
      <w:pPr>
        <w:spacing w:line="240" w:lineRule="auto"/>
        <w:jc w:val="both"/>
      </w:pPr>
      <w:r w:rsidRPr="001B34D0">
        <w:t xml:space="preserve">VIGILANCIA EN SALUD PUBLICA: </w:t>
      </w:r>
      <w:r w:rsidRPr="001B34D0">
        <w:rPr>
          <w:bCs/>
        </w:rPr>
        <w:t>Se analizaron el 100% de los eventos de MM, con formulación de Plan de mejora con seguimiento al cumplimiento, además se han realizado acciones encaminadas al fortalecimiento de la notificación.</w:t>
      </w:r>
    </w:p>
    <w:p w:rsidR="001B34D0" w:rsidRPr="001B34D0" w:rsidRDefault="001B34D0" w:rsidP="00A92D87">
      <w:pPr>
        <w:spacing w:line="240" w:lineRule="auto"/>
        <w:jc w:val="both"/>
      </w:pPr>
      <w:r w:rsidRPr="001B34D0">
        <w:rPr>
          <w:bCs/>
        </w:rPr>
        <w:t xml:space="preserve">Se viene publicando de manera semanal los indicadores trazadores, departamentales y por municipio, lo cual se ha convertido en una herramienta fundamental en la toma de decisiones en el marco de la mejora de la atención a las maternas. </w:t>
      </w:r>
    </w:p>
    <w:p w:rsidR="001B34D0" w:rsidRPr="001B34D0" w:rsidRDefault="001B34D0" w:rsidP="00A92D87">
      <w:pPr>
        <w:spacing w:line="240" w:lineRule="auto"/>
        <w:rPr>
          <w:b/>
        </w:rPr>
      </w:pPr>
      <w:r w:rsidRPr="001B34D0">
        <w:rPr>
          <w:b/>
        </w:rPr>
        <w:t>5.- Productos</w:t>
      </w:r>
    </w:p>
    <w:p w:rsidR="001B34D0" w:rsidRPr="001B34D0" w:rsidRDefault="001B34D0" w:rsidP="00A92D87">
      <w:pPr>
        <w:numPr>
          <w:ilvl w:val="0"/>
          <w:numId w:val="12"/>
        </w:numPr>
        <w:spacing w:after="200" w:line="240" w:lineRule="auto"/>
        <w:contextualSpacing/>
        <w:jc w:val="both"/>
        <w:rPr>
          <w:rFonts w:eastAsia="Times New Roman" w:cs="Times New Roman"/>
          <w:lang w:eastAsia="es-CO"/>
        </w:rPr>
      </w:pPr>
      <w:r w:rsidRPr="001B34D0">
        <w:rPr>
          <w:rFonts w:eastAsia="Times New Roman" w:cs="Times New Roman"/>
          <w:lang w:eastAsia="es-CO"/>
        </w:rPr>
        <w:t>Mayor adherencia a los protocolos y disponibilidad permanente de elementos esenciales en lo relacionado con atención materna.</w:t>
      </w:r>
    </w:p>
    <w:p w:rsidR="001B34D0" w:rsidRPr="001B34D0" w:rsidRDefault="001B34D0" w:rsidP="00A92D87">
      <w:pPr>
        <w:numPr>
          <w:ilvl w:val="0"/>
          <w:numId w:val="12"/>
        </w:numPr>
        <w:spacing w:after="200" w:line="240" w:lineRule="auto"/>
        <w:contextualSpacing/>
        <w:jc w:val="both"/>
        <w:rPr>
          <w:rFonts w:eastAsia="Times New Roman" w:cs="Times New Roman"/>
          <w:lang w:eastAsia="es-CO"/>
        </w:rPr>
      </w:pPr>
      <w:r w:rsidRPr="001B34D0">
        <w:rPr>
          <w:rFonts w:eastAsia="Times New Roman" w:cs="Times New Roman"/>
          <w:lang w:eastAsia="es-CO"/>
        </w:rPr>
        <w:t>Mayor utilización de métodos modernos en lo relacionado a anticoncepción.</w:t>
      </w:r>
    </w:p>
    <w:p w:rsidR="001B34D0" w:rsidRPr="001B34D0" w:rsidRDefault="001B34D0" w:rsidP="00A92D87">
      <w:pPr>
        <w:numPr>
          <w:ilvl w:val="0"/>
          <w:numId w:val="12"/>
        </w:numPr>
        <w:spacing w:after="200" w:line="240" w:lineRule="auto"/>
        <w:contextualSpacing/>
        <w:jc w:val="both"/>
        <w:rPr>
          <w:rFonts w:eastAsia="Times New Roman" w:cs="Times New Roman"/>
          <w:lang w:eastAsia="es-CO"/>
        </w:rPr>
      </w:pPr>
      <w:r w:rsidRPr="001B34D0">
        <w:rPr>
          <w:rFonts w:eastAsia="Times New Roman" w:cs="Times New Roman"/>
          <w:lang w:eastAsia="es-CO"/>
        </w:rPr>
        <w:t>Cumplimiento de un 97% de las acciones planteadas en el Plan Operativo Anual de Salud Sexual y Reproductiva.</w:t>
      </w:r>
    </w:p>
    <w:p w:rsidR="001B34D0" w:rsidRPr="001B34D0" w:rsidRDefault="001B34D0" w:rsidP="00A92D87">
      <w:pPr>
        <w:spacing w:line="240" w:lineRule="auto"/>
        <w:rPr>
          <w:b/>
        </w:rPr>
      </w:pPr>
      <w:r w:rsidRPr="001B34D0">
        <w:rPr>
          <w:b/>
        </w:rPr>
        <w:t>6.- Resultados</w:t>
      </w:r>
    </w:p>
    <w:p w:rsidR="001B34D0" w:rsidRPr="001B34D0" w:rsidRDefault="001B34D0" w:rsidP="00A92D87">
      <w:pPr>
        <w:numPr>
          <w:ilvl w:val="0"/>
          <w:numId w:val="12"/>
        </w:numPr>
        <w:spacing w:after="200" w:line="240" w:lineRule="auto"/>
        <w:contextualSpacing/>
        <w:rPr>
          <w:rFonts w:eastAsia="Times New Roman" w:cs="Times New Roman"/>
          <w:lang w:eastAsia="es-CO"/>
        </w:rPr>
      </w:pPr>
      <w:r w:rsidRPr="001B34D0">
        <w:rPr>
          <w:rFonts w:eastAsia="Times New Roman" w:cs="Times New Roman"/>
          <w:lang w:eastAsia="es-CO"/>
        </w:rPr>
        <w:t>El 87.4  % de nacidos vivos  con cuatro y más controles prenatales</w:t>
      </w:r>
    </w:p>
    <w:p w:rsidR="001B34D0" w:rsidRPr="001B34D0" w:rsidRDefault="001B34D0" w:rsidP="00A92D87">
      <w:pPr>
        <w:numPr>
          <w:ilvl w:val="0"/>
          <w:numId w:val="12"/>
        </w:numPr>
        <w:spacing w:after="200" w:line="240" w:lineRule="auto"/>
        <w:contextualSpacing/>
        <w:rPr>
          <w:rFonts w:eastAsia="Times New Roman" w:cs="Times New Roman"/>
          <w:lang w:eastAsia="es-CO"/>
        </w:rPr>
      </w:pPr>
      <w:r w:rsidRPr="001B34D0">
        <w:rPr>
          <w:rFonts w:eastAsia="Times New Roman" w:cs="Times New Roman"/>
          <w:lang w:eastAsia="es-CO"/>
        </w:rPr>
        <w:t>97% de parto institucional</w:t>
      </w:r>
    </w:p>
    <w:p w:rsidR="001B34D0" w:rsidRPr="001B34D0" w:rsidRDefault="001B34D0" w:rsidP="00A92D87">
      <w:pPr>
        <w:numPr>
          <w:ilvl w:val="0"/>
          <w:numId w:val="12"/>
        </w:numPr>
        <w:spacing w:after="200" w:line="240" w:lineRule="auto"/>
        <w:contextualSpacing/>
        <w:rPr>
          <w:rFonts w:eastAsia="Times New Roman" w:cs="Times New Roman"/>
          <w:lang w:eastAsia="es-CO"/>
        </w:rPr>
      </w:pPr>
      <w:r w:rsidRPr="001B34D0">
        <w:rPr>
          <w:rFonts w:eastAsia="Times New Roman" w:cs="Times New Roman"/>
          <w:lang w:eastAsia="es-CO"/>
        </w:rPr>
        <w:t>98% de atención parto por personal calificado</w:t>
      </w:r>
    </w:p>
    <w:p w:rsidR="001B34D0" w:rsidRPr="001B34D0" w:rsidRDefault="001B34D0" w:rsidP="00A92D87">
      <w:pPr>
        <w:numPr>
          <w:ilvl w:val="0"/>
          <w:numId w:val="12"/>
        </w:numPr>
        <w:spacing w:after="200" w:line="240" w:lineRule="auto"/>
        <w:contextualSpacing/>
        <w:jc w:val="both"/>
        <w:rPr>
          <w:rFonts w:eastAsia="Times New Roman" w:cs="Times New Roman"/>
          <w:lang w:eastAsia="es-CO"/>
        </w:rPr>
      </w:pPr>
      <w:r w:rsidRPr="001B34D0">
        <w:rPr>
          <w:rFonts w:eastAsia="Times New Roman" w:cs="Times New Roman"/>
          <w:lang w:eastAsia="es-CO"/>
        </w:rPr>
        <w:t>Tasa de letalidad materna en 4.9 por debajo de la meta establecida de 8 para 2015 en el departamento. (</w:t>
      </w:r>
      <w:r w:rsidRPr="001B34D0">
        <w:rPr>
          <w:rFonts w:eastAsia="Times New Roman" w:cs="Times New Roman"/>
          <w:bCs/>
          <w:lang w:eastAsia="es-CO"/>
        </w:rPr>
        <w:t>número de muertes maternas / morbilidades Maternas Extremas x 100)</w:t>
      </w:r>
    </w:p>
    <w:p w:rsidR="001B34D0" w:rsidRPr="001B34D0" w:rsidRDefault="001B34D0" w:rsidP="00A92D87">
      <w:pPr>
        <w:spacing w:line="240" w:lineRule="auto"/>
        <w:rPr>
          <w:b/>
        </w:rPr>
      </w:pPr>
      <w:r w:rsidRPr="001B34D0">
        <w:rPr>
          <w:b/>
        </w:rPr>
        <w:t>7.- Impacto</w:t>
      </w:r>
    </w:p>
    <w:p w:rsidR="001B34D0" w:rsidRPr="001B34D0" w:rsidRDefault="001B34D0" w:rsidP="00A92D87">
      <w:pPr>
        <w:numPr>
          <w:ilvl w:val="0"/>
          <w:numId w:val="13"/>
        </w:numPr>
        <w:spacing w:after="200" w:line="240" w:lineRule="auto"/>
        <w:contextualSpacing/>
        <w:rPr>
          <w:rFonts w:eastAsia="Times New Roman" w:cs="Times New Roman"/>
          <w:lang w:eastAsia="es-CO"/>
        </w:rPr>
      </w:pPr>
      <w:r w:rsidRPr="001B34D0">
        <w:rPr>
          <w:rFonts w:eastAsia="Times New Roman" w:cs="Times New Roman"/>
          <w:lang w:eastAsia="es-CO"/>
        </w:rPr>
        <w:t>Positivo: Se presentó entre 2011 y 2014 una reducción del 39.9 % en la razón de mortalidad materna en el departamento de Nariño. Además se observa una disminución significativa en las causas directas relacionadas con embarazo y puerperio.</w:t>
      </w:r>
    </w:p>
    <w:p w:rsidR="001B34D0" w:rsidRPr="001B34D0" w:rsidRDefault="001B34D0" w:rsidP="00A92D87">
      <w:pPr>
        <w:numPr>
          <w:ilvl w:val="0"/>
          <w:numId w:val="13"/>
        </w:numPr>
        <w:spacing w:after="200" w:line="240" w:lineRule="auto"/>
        <w:contextualSpacing/>
        <w:rPr>
          <w:rFonts w:eastAsia="Times New Roman" w:cs="Times New Roman"/>
          <w:lang w:eastAsia="es-CO"/>
        </w:rPr>
      </w:pPr>
      <w:r w:rsidRPr="001B34D0">
        <w:rPr>
          <w:rFonts w:eastAsia="Times New Roman" w:cs="Times New Roman"/>
          <w:lang w:eastAsia="es-CO"/>
        </w:rPr>
        <w:t>Se supera ampliamente la meta de reducción de la razón de mortalidad materna fijada en el plan territorial de salud que fue para 2014 de 82.81 (Razón de mm en 2014, 72.3 x 100.000 n.v.</w:t>
      </w:r>
    </w:p>
    <w:p w:rsidR="001B34D0" w:rsidRPr="001B34D0" w:rsidRDefault="001B34D0" w:rsidP="00A92D87">
      <w:pPr>
        <w:spacing w:line="240" w:lineRule="auto"/>
        <w:rPr>
          <w:b/>
        </w:rPr>
      </w:pPr>
      <w:r w:rsidRPr="001B34D0">
        <w:rPr>
          <w:b/>
        </w:rPr>
        <w:t>8.- Prioridades</w:t>
      </w:r>
    </w:p>
    <w:p w:rsidR="001B34D0" w:rsidRPr="001B34D0" w:rsidRDefault="001B34D0" w:rsidP="00A92D87">
      <w:pPr>
        <w:spacing w:line="240" w:lineRule="auto"/>
        <w:jc w:val="both"/>
      </w:pPr>
      <w:r w:rsidRPr="001B34D0">
        <w:t>Es prioridad departamental fortalecer a los municipios con mayores índices de mortalidad materna, perinatal, baja adherencia al cumplimiento de la normatividad vigente, además es indispensable definir un modelo de atención de gestantes que apunten a reducir las barreras de acceso a servicios de salud con calidad.</w:t>
      </w:r>
    </w:p>
    <w:p w:rsidR="001B34D0" w:rsidRPr="001B34D0" w:rsidRDefault="001B34D0" w:rsidP="00A92D87">
      <w:pPr>
        <w:spacing w:line="240" w:lineRule="auto"/>
        <w:rPr>
          <w:b/>
        </w:rPr>
      </w:pPr>
      <w:r w:rsidRPr="001B34D0">
        <w:rPr>
          <w:b/>
        </w:rPr>
        <w:t>9.- Recomendaciones</w:t>
      </w:r>
    </w:p>
    <w:p w:rsidR="001B34D0" w:rsidRDefault="001B34D0" w:rsidP="00A92D87">
      <w:pPr>
        <w:spacing w:line="240" w:lineRule="auto"/>
        <w:jc w:val="both"/>
      </w:pPr>
      <w:r w:rsidRPr="001B34D0">
        <w:t>Implementar la Política Nacional de Salud Sexual y Reproductiva Actualizada en el departamento de Nariño con participación de todos los sectores, como herramienta que permita cumplir con los objetivos y metas establecidos por el Plan Decenal a 2021.</w:t>
      </w:r>
    </w:p>
    <w:p w:rsidR="006E6C52" w:rsidRDefault="006E6C52" w:rsidP="00A92D87">
      <w:pPr>
        <w:spacing w:line="240" w:lineRule="auto"/>
        <w:jc w:val="both"/>
      </w:pPr>
    </w:p>
    <w:p w:rsidR="006E6C52" w:rsidRPr="001B34D0" w:rsidRDefault="006E6C52" w:rsidP="00A92D87">
      <w:pPr>
        <w:spacing w:line="240" w:lineRule="auto"/>
        <w:jc w:val="both"/>
      </w:pPr>
    </w:p>
    <w:p w:rsidR="001B34D0" w:rsidRPr="001B34D0" w:rsidRDefault="001B34D0" w:rsidP="00A92D87">
      <w:pPr>
        <w:pBdr>
          <w:top w:val="single" w:sz="4" w:space="10" w:color="4F81BD"/>
          <w:bottom w:val="single" w:sz="4" w:space="10" w:color="4F81BD"/>
        </w:pBdr>
        <w:spacing w:before="360" w:after="360" w:line="240" w:lineRule="auto"/>
        <w:ind w:left="864" w:right="864"/>
        <w:jc w:val="center"/>
        <w:rPr>
          <w:rFonts w:eastAsia="Calibri" w:cs="Times New Roman"/>
          <w:b/>
          <w:iCs/>
        </w:rPr>
      </w:pPr>
      <w:r w:rsidRPr="001B34D0">
        <w:rPr>
          <w:rFonts w:eastAsia="Calibri" w:cs="Times New Roman"/>
          <w:b/>
          <w:i/>
          <w:iCs/>
        </w:rPr>
        <w:t>DESCRIPCIÓN DEL INDICADOR No.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8"/>
      </w:tblGrid>
      <w:tr w:rsidR="001B34D0" w:rsidRPr="001B34D0" w:rsidTr="00000F81">
        <w:trPr>
          <w:trHeight w:val="303"/>
          <w:jc w:val="center"/>
        </w:trPr>
        <w:tc>
          <w:tcPr>
            <w:tcW w:w="8828" w:type="dxa"/>
            <w:shd w:val="clear" w:color="auto" w:fill="FFFFFF"/>
          </w:tcPr>
          <w:p w:rsidR="001B34D0" w:rsidRPr="001B34D0" w:rsidRDefault="001B34D0" w:rsidP="00A92D87">
            <w:pPr>
              <w:spacing w:after="0" w:line="240" w:lineRule="auto"/>
              <w:rPr>
                <w:rFonts w:eastAsia="Calibri" w:cs="Times New Roman"/>
                <w:b/>
                <w:bCs/>
              </w:rPr>
            </w:pPr>
            <w:r w:rsidRPr="001B34D0">
              <w:rPr>
                <w:rFonts w:eastAsia="Calibri" w:cs="Times New Roman"/>
                <w:b/>
                <w:bCs/>
              </w:rPr>
              <w:t>MUNICIPIO: PASTO</w:t>
            </w:r>
          </w:p>
        </w:tc>
      </w:tr>
      <w:tr w:rsidR="001B34D0" w:rsidRPr="001B34D0" w:rsidTr="00000F81">
        <w:trPr>
          <w:trHeight w:val="579"/>
          <w:jc w:val="center"/>
        </w:trPr>
        <w:tc>
          <w:tcPr>
            <w:tcW w:w="8828" w:type="dxa"/>
            <w:shd w:val="clear" w:color="auto" w:fill="D9E2F3"/>
          </w:tcPr>
          <w:p w:rsidR="001B34D0" w:rsidRPr="001B34D0" w:rsidRDefault="001B34D0" w:rsidP="00A92D87">
            <w:pPr>
              <w:spacing w:after="0" w:line="240" w:lineRule="auto"/>
              <w:rPr>
                <w:rFonts w:eastAsia="Calibri" w:cs="Times New Roman"/>
                <w:b/>
                <w:bCs/>
              </w:rPr>
            </w:pPr>
            <w:r w:rsidRPr="001B34D0">
              <w:rPr>
                <w:rFonts w:eastAsia="Calibri" w:cs="Times New Roman"/>
                <w:b/>
                <w:bCs/>
              </w:rPr>
              <w:t>Nombre del indicador: Porcentaje de atención institucional del parto por personal calificado</w:t>
            </w:r>
          </w:p>
        </w:tc>
      </w:tr>
      <w:tr w:rsidR="001B34D0" w:rsidRPr="001B34D0" w:rsidTr="00000F81">
        <w:trPr>
          <w:trHeight w:val="332"/>
          <w:jc w:val="center"/>
        </w:trPr>
        <w:tc>
          <w:tcPr>
            <w:tcW w:w="8828" w:type="dxa"/>
          </w:tcPr>
          <w:p w:rsidR="001B34D0" w:rsidRPr="001B34D0" w:rsidRDefault="001B34D0" w:rsidP="00A92D87">
            <w:pPr>
              <w:spacing w:after="0" w:line="240" w:lineRule="auto"/>
              <w:rPr>
                <w:rFonts w:eastAsia="Calibri" w:cs="Times New Roman"/>
                <w:b/>
                <w:bCs/>
              </w:rPr>
            </w:pPr>
            <w:r w:rsidRPr="001B34D0">
              <w:rPr>
                <w:rFonts w:eastAsia="Calibri" w:cs="Times New Roman"/>
                <w:b/>
                <w:bCs/>
              </w:rPr>
              <w:t xml:space="preserve">Fuente Nacional: </w:t>
            </w:r>
          </w:p>
          <w:p w:rsidR="001B34D0" w:rsidRPr="001B34D0" w:rsidRDefault="001B34D0" w:rsidP="00A92D87">
            <w:pPr>
              <w:spacing w:after="0" w:line="240" w:lineRule="auto"/>
              <w:rPr>
                <w:rFonts w:eastAsia="Calibri" w:cs="Times New Roman"/>
                <w:b/>
                <w:bCs/>
              </w:rPr>
            </w:pPr>
            <w:r w:rsidRPr="001B34D0">
              <w:rPr>
                <w:rFonts w:eastAsia="Calibri" w:cs="Times New Roman"/>
                <w:b/>
                <w:bCs/>
              </w:rPr>
              <w:t>Otra Fuente: RUAF-ND</w:t>
            </w:r>
          </w:p>
        </w:tc>
      </w:tr>
      <w:tr w:rsidR="001B34D0" w:rsidRPr="001B34D0" w:rsidTr="00000F81">
        <w:trPr>
          <w:trHeight w:val="458"/>
          <w:jc w:val="center"/>
        </w:trPr>
        <w:tc>
          <w:tcPr>
            <w:tcW w:w="8828" w:type="dxa"/>
            <w:shd w:val="clear" w:color="auto" w:fill="D9E2F3"/>
          </w:tcPr>
          <w:p w:rsidR="001B34D0" w:rsidRPr="001B34D0" w:rsidRDefault="001B34D0" w:rsidP="00A92D87">
            <w:pPr>
              <w:spacing w:after="0" w:line="240" w:lineRule="auto"/>
              <w:rPr>
                <w:rFonts w:eastAsia="Calibri" w:cs="Times New Roman"/>
                <w:b/>
                <w:bCs/>
              </w:rPr>
            </w:pPr>
            <w:r w:rsidRPr="001B34D0">
              <w:rPr>
                <w:rFonts w:eastAsia="Calibri" w:cs="Times New Roman"/>
                <w:b/>
                <w:bCs/>
              </w:rPr>
              <w:t xml:space="preserve">Categoría de derechos: </w:t>
            </w:r>
          </w:p>
        </w:tc>
      </w:tr>
      <w:tr w:rsidR="001B34D0" w:rsidRPr="001B34D0" w:rsidTr="00000F81">
        <w:trPr>
          <w:trHeight w:val="458"/>
          <w:jc w:val="center"/>
        </w:trPr>
        <w:tc>
          <w:tcPr>
            <w:tcW w:w="8828" w:type="dxa"/>
          </w:tcPr>
          <w:p w:rsidR="001B34D0" w:rsidRPr="001B34D0" w:rsidRDefault="001B34D0" w:rsidP="00A92D87">
            <w:pPr>
              <w:spacing w:after="0" w:line="240" w:lineRule="auto"/>
              <w:rPr>
                <w:rFonts w:eastAsia="Calibri" w:cs="Times New Roman"/>
                <w:b/>
                <w:bCs/>
              </w:rPr>
            </w:pPr>
            <w:r w:rsidRPr="001B34D0">
              <w:rPr>
                <w:rFonts w:eastAsia="Calibri" w:cs="Times New Roman"/>
                <w:b/>
                <w:bCs/>
              </w:rPr>
              <w:t>Metodología: Análisis de la información a partir de la cadena de resultados</w:t>
            </w:r>
          </w:p>
        </w:tc>
      </w:tr>
    </w:tbl>
    <w:p w:rsidR="001B34D0" w:rsidRPr="001B34D0" w:rsidRDefault="001B34D0" w:rsidP="00A92D87">
      <w:pPr>
        <w:numPr>
          <w:ilvl w:val="0"/>
          <w:numId w:val="62"/>
        </w:numPr>
        <w:spacing w:after="0" w:line="240" w:lineRule="auto"/>
        <w:contextualSpacing/>
        <w:rPr>
          <w:rFonts w:eastAsia="Times New Roman" w:cs="Times New Roman"/>
          <w:b/>
          <w:lang w:val="es-ES" w:eastAsia="ar-SA"/>
        </w:rPr>
      </w:pPr>
      <w:r w:rsidRPr="001B34D0">
        <w:rPr>
          <w:rFonts w:eastAsia="Times New Roman" w:cs="Times New Roman"/>
          <w:b/>
          <w:lang w:val="es-ES" w:eastAsia="ar-SA"/>
        </w:rPr>
        <w:t>Información Estadística:</w:t>
      </w:r>
    </w:p>
    <w:p w:rsidR="001B34D0" w:rsidRPr="001B34D0" w:rsidRDefault="001B34D0" w:rsidP="00A92D87">
      <w:pPr>
        <w:suppressAutoHyphens/>
        <w:spacing w:after="0" w:line="240" w:lineRule="auto"/>
        <w:ind w:left="720"/>
        <w:contextualSpacing/>
        <w:rPr>
          <w:rFonts w:eastAsia="Times New Roman" w:cs="Times New Roman"/>
          <w:b/>
          <w:lang w:val="es-ES" w:eastAsia="ar-SA"/>
        </w:rPr>
      </w:pPr>
    </w:p>
    <w:p w:rsidR="001B34D0" w:rsidRPr="001B34D0" w:rsidRDefault="001B34D0" w:rsidP="00A92D87">
      <w:pPr>
        <w:spacing w:after="200" w:line="240" w:lineRule="auto"/>
        <w:jc w:val="both"/>
        <w:rPr>
          <w:rFonts w:eastAsia="Calibri" w:cs="Times New Roman"/>
          <w:noProof/>
          <w:lang w:eastAsia="es-CO"/>
        </w:rPr>
      </w:pPr>
      <w:r w:rsidRPr="001B34D0">
        <w:rPr>
          <w:rFonts w:eastAsia="Calibri" w:cs="Times New Roman"/>
          <w:noProof/>
          <w:lang w:val="es-ES" w:eastAsia="es-ES"/>
        </w:rPr>
        <w:drawing>
          <wp:inline distT="0" distB="0" distL="0" distR="0">
            <wp:extent cx="5924550" cy="3781425"/>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3781425"/>
                    </a:xfrm>
                    <a:prstGeom prst="rect">
                      <a:avLst/>
                    </a:prstGeom>
                    <a:noFill/>
                    <a:ln>
                      <a:noFill/>
                    </a:ln>
                  </pic:spPr>
                </pic:pic>
              </a:graphicData>
            </a:graphic>
          </wp:inline>
        </w:drawing>
      </w:r>
    </w:p>
    <w:p w:rsidR="001B34D0" w:rsidRPr="001B34D0" w:rsidRDefault="001B34D0" w:rsidP="00A92D87">
      <w:pPr>
        <w:spacing w:after="200" w:line="240" w:lineRule="auto"/>
        <w:jc w:val="both"/>
        <w:rPr>
          <w:rFonts w:eastAsia="Calibri" w:cs="Times New Roman"/>
          <w:noProof/>
          <w:lang w:eastAsia="es-CO"/>
        </w:rPr>
      </w:pPr>
    </w:p>
    <w:p w:rsidR="001B34D0" w:rsidRPr="001B34D0" w:rsidRDefault="001B34D0" w:rsidP="00A92D87">
      <w:pPr>
        <w:numPr>
          <w:ilvl w:val="0"/>
          <w:numId w:val="62"/>
        </w:numPr>
        <w:spacing w:after="0" w:line="240" w:lineRule="auto"/>
        <w:ind w:left="426" w:hanging="426"/>
        <w:contextualSpacing/>
        <w:jc w:val="both"/>
        <w:rPr>
          <w:rFonts w:eastAsia="Times New Roman" w:cs="Times New Roman"/>
          <w:b/>
          <w:lang w:val="es-ES" w:eastAsia="ar-SA"/>
        </w:rPr>
      </w:pPr>
      <w:r w:rsidRPr="001B34D0">
        <w:rPr>
          <w:rFonts w:eastAsia="Times New Roman" w:cs="Times New Roman"/>
          <w:b/>
          <w:lang w:val="es-ES" w:eastAsia="ar-SA"/>
        </w:rPr>
        <w:t>Situación detectada</w:t>
      </w:r>
    </w:p>
    <w:p w:rsidR="001B34D0" w:rsidRPr="001B34D0" w:rsidRDefault="001B34D0" w:rsidP="00A92D87">
      <w:pPr>
        <w:spacing w:after="200" w:line="240" w:lineRule="auto"/>
        <w:jc w:val="both"/>
        <w:rPr>
          <w:rFonts w:eastAsia="Calibri" w:cs="Times New Roman"/>
          <w:lang w:eastAsia="es-ES"/>
        </w:rPr>
      </w:pPr>
      <w:r w:rsidRPr="001B34D0">
        <w:rPr>
          <w:rFonts w:eastAsia="Calibri" w:cs="Times New Roman"/>
          <w:b/>
        </w:rPr>
        <w:lastRenderedPageBreak/>
        <w:t xml:space="preserve"> </w:t>
      </w:r>
      <w:r w:rsidRPr="001B34D0">
        <w:rPr>
          <w:rFonts w:eastAsia="Calibri" w:cs="Times New Roman"/>
          <w:lang w:eastAsia="es-ES"/>
        </w:rPr>
        <w:t xml:space="preserve">La atención del parto Institucional por personal calificado es una prioridad a nivel Internacional, nacional y local ya que  está relacionado con el cuidado de la  salud materna, en la medida que se cumple se contribuye a la disminución de complicaciones en la gestante y si se presenta intervenirlas oportunamente evitando la mortalidad materna y perinatal. </w:t>
      </w:r>
      <w:r w:rsidRPr="001B34D0">
        <w:rPr>
          <w:rFonts w:eastAsia="Calibri" w:cs="Times New Roman"/>
        </w:rPr>
        <w:t xml:space="preserve">El comportamiento de la tasa de  mortalidad en el 2014 es = 0. La mortalidad perinatal en niños y niñas aumento en el 2011,  sin embargo  para los años 2012, 2013 disminuyo y 2014 la tasa anual  aumenta, con relación a la meta. </w:t>
      </w:r>
      <w:r w:rsidRPr="001B34D0">
        <w:rPr>
          <w:rFonts w:eastAsia="Calibri" w:cs="Times New Roman"/>
          <w:lang w:eastAsia="es-ES"/>
        </w:rPr>
        <w:t xml:space="preserve"> </w:t>
      </w:r>
    </w:p>
    <w:p w:rsidR="001B34D0" w:rsidRPr="001B34D0" w:rsidRDefault="001B34D0" w:rsidP="00A92D87">
      <w:pPr>
        <w:spacing w:after="0" w:line="240" w:lineRule="auto"/>
        <w:jc w:val="both"/>
        <w:rPr>
          <w:rFonts w:eastAsia="Times New Roman" w:cs="Times New Roman"/>
          <w:lang w:val="es-ES" w:eastAsia="es-ES"/>
        </w:rPr>
      </w:pPr>
    </w:p>
    <w:p w:rsidR="001B34D0" w:rsidRPr="001B34D0" w:rsidRDefault="001B34D0" w:rsidP="00A92D87">
      <w:pPr>
        <w:spacing w:after="200" w:line="240" w:lineRule="auto"/>
        <w:jc w:val="both"/>
        <w:rPr>
          <w:rFonts w:eastAsia="Calibri" w:cs="Times New Roman"/>
        </w:rPr>
      </w:pPr>
      <w:r w:rsidRPr="001B34D0">
        <w:rPr>
          <w:rFonts w:eastAsia="Calibri" w:cs="Times New Roman"/>
        </w:rPr>
        <w:t>Al relacionar estos datos con las causas de mortalidad Perinatal, es necesario analizar y hacer mejores esfuerzos frente a lo relacionado con el cuidado materno y perinatal, a nivel institucional y comunitario, seguimiento, valoración y cuidado nutricional de la gestante, así como la identificación y manejo del riesgo preconcepcional, control prenatal periódico y parto institucional</w:t>
      </w:r>
    </w:p>
    <w:p w:rsidR="001B34D0" w:rsidRPr="001B34D0" w:rsidRDefault="001B34D0" w:rsidP="00A92D87">
      <w:pPr>
        <w:numPr>
          <w:ilvl w:val="0"/>
          <w:numId w:val="62"/>
        </w:numPr>
        <w:spacing w:after="0" w:line="240" w:lineRule="auto"/>
        <w:ind w:left="426" w:hanging="426"/>
        <w:contextualSpacing/>
        <w:jc w:val="both"/>
        <w:rPr>
          <w:rFonts w:eastAsia="Times New Roman" w:cs="Times New Roman"/>
          <w:b/>
          <w:lang w:val="es-ES" w:eastAsia="ar-SA"/>
        </w:rPr>
      </w:pPr>
      <w:r w:rsidRPr="001B34D0">
        <w:rPr>
          <w:rFonts w:eastAsia="Times New Roman" w:cs="Times New Roman"/>
          <w:b/>
          <w:lang w:val="es-ES" w:eastAsia="ar-SA"/>
        </w:rPr>
        <w:t>Insumos</w:t>
      </w:r>
    </w:p>
    <w:p w:rsidR="001B34D0" w:rsidRPr="001B34D0" w:rsidRDefault="001B34D0" w:rsidP="00A92D87">
      <w:pPr>
        <w:spacing w:after="200" w:line="240" w:lineRule="auto"/>
        <w:jc w:val="both"/>
        <w:rPr>
          <w:rFonts w:eastAsia="Calibri" w:cs="Times New Roman"/>
          <w:b/>
        </w:rPr>
      </w:pPr>
      <w:r w:rsidRPr="001B34D0">
        <w:rPr>
          <w:rFonts w:eastAsia="Calibri" w:cs="Times New Roman"/>
          <w:b/>
        </w:rPr>
        <w:t xml:space="preserve"> </w:t>
      </w:r>
      <w:r w:rsidRPr="001B34D0">
        <w:rPr>
          <w:rFonts w:eastAsia="Calibri" w:cs="Times New Roman"/>
        </w:rPr>
        <w:t>La Secretaria Municipal de Salud de Pasto, Incluyo el indicador de Atención del parto Institucional por personal calificado en los Planes de Desarrollo y Territorial de Salud del municipio, 2012 - 2015  y destino a la Prioridad de Sexualidad Derechos sexuales y derechos Reproductivos un total de</w:t>
      </w:r>
      <w:r w:rsidRPr="001B34D0">
        <w:rPr>
          <w:rFonts w:eastAsia="Times New Roman" w:cs="Calibri"/>
          <w:color w:val="000000"/>
          <w:lang w:eastAsia="es-CO"/>
        </w:rPr>
        <w:t xml:space="preserve"> </w:t>
      </w:r>
      <w:r w:rsidRPr="001B34D0">
        <w:rPr>
          <w:rFonts w:eastAsia="Times New Roman" w:cs="Calibri"/>
          <w:lang w:eastAsia="es-CO"/>
        </w:rPr>
        <w:t>$1.090.916.00, distribuidos así: año 2012, $278.849.398, año 2013  $ 278.849.398, año 2014, $308.169.560, año 2015 $ 225.048.400, l</w:t>
      </w:r>
      <w:r w:rsidRPr="001B34D0">
        <w:rPr>
          <w:rFonts w:eastAsia="Calibri" w:cs="Times New Roman"/>
        </w:rPr>
        <w:t>os cuales se han invertido en el cumplimiento de las competencias de seguimiento, evaluación, vigilancia y control, asistencia técnica y articulación intersectorial en el marco de los componentes de dicha prioridad,  promoción y empoderamiento de los Derechos Sexuales y Reproductivos y la mejora de la atención de  los servicios de SSR. Adicional se cuenta con un equipo de profesionales contratistas disciplina: una médica, 2 enfermeras y una tecnóloga en promoción de la salud, quienes han apoyado el desarrollo de cada una de las actividades ejecutadas en el marco del Plan Operativo del Plan Territorial de Salud del Municipio. Además hay un contrato de acciones colectivas con Pasto Salud ESE, quienes con la asesoría de la Secretaria de Salud, lideran un proceso comunitario con organizaciones sociales para la formulación de una política pública de Salud Colectiva que contribuya al mejoramiento de la calidad de vida de la población del Municipio.</w:t>
      </w:r>
    </w:p>
    <w:p w:rsidR="001B34D0" w:rsidRPr="001B34D0" w:rsidRDefault="001B34D0" w:rsidP="00A92D87">
      <w:pPr>
        <w:suppressAutoHyphens/>
        <w:spacing w:after="0" w:line="240" w:lineRule="auto"/>
        <w:ind w:left="360"/>
        <w:contextualSpacing/>
        <w:jc w:val="both"/>
        <w:rPr>
          <w:rFonts w:eastAsia="Times New Roman" w:cs="Times New Roman"/>
          <w:b/>
          <w:lang w:val="es-ES" w:eastAsia="ar-SA"/>
        </w:rPr>
      </w:pPr>
    </w:p>
    <w:p w:rsidR="001B34D0" w:rsidRPr="001B34D0" w:rsidRDefault="001B34D0" w:rsidP="00A92D87">
      <w:pPr>
        <w:numPr>
          <w:ilvl w:val="0"/>
          <w:numId w:val="62"/>
        </w:numPr>
        <w:spacing w:after="0" w:line="240" w:lineRule="auto"/>
        <w:ind w:left="426" w:hanging="426"/>
        <w:contextualSpacing/>
        <w:jc w:val="both"/>
        <w:rPr>
          <w:rFonts w:eastAsia="Times New Roman" w:cs="Times New Roman"/>
          <w:b/>
          <w:lang w:val="es-ES" w:eastAsia="ar-SA"/>
        </w:rPr>
      </w:pPr>
      <w:r w:rsidRPr="001B34D0">
        <w:rPr>
          <w:rFonts w:eastAsia="Times New Roman" w:cs="Times New Roman"/>
          <w:b/>
          <w:lang w:val="es-ES" w:eastAsia="ar-SA"/>
        </w:rPr>
        <w:t>Programas, Proyectos y Acciones para mejorar la situación del indicador (2012 -2015)</w:t>
      </w:r>
    </w:p>
    <w:p w:rsidR="001B34D0" w:rsidRPr="001B34D0" w:rsidRDefault="001B34D0" w:rsidP="00A92D87">
      <w:pPr>
        <w:spacing w:after="0" w:line="240" w:lineRule="auto"/>
        <w:jc w:val="both"/>
        <w:rPr>
          <w:rFonts w:eastAsia="Times New Roman" w:cs="Times New Roman"/>
          <w:lang w:val="es-ES" w:eastAsia="es-ES"/>
        </w:rPr>
      </w:pPr>
      <w:r w:rsidRPr="001B34D0">
        <w:rPr>
          <w:rFonts w:eastAsia="Times New Roman" w:cs="Times New Roman"/>
          <w:lang w:val="es-ES" w:eastAsia="es-ES"/>
        </w:rPr>
        <w:t xml:space="preserve">Ejecución acciones estratégicas  desde la Secretaria Municipal de Salud Prioridad SSR relacionadas con los seguimientos a Modelo de Gestión del Riesgo implementado por las EPS, inciden en que las gestantes afiliadas accedan a parto institucional, en especial en las EPS, que tienen estrategias comunitarias de promoción y demanda inducida a los servicios de atención prenatal. También es importante el seguimiento que se realiza a las EPS, en el cumplimiento de indicadores A través de Sala Situacional lo cual las motiva y obliga a realizar auditorías a sus IPS Contratadas para que presten un servicio de calidad que incluye la referencia a parto Institucional. Se ejecuta la estrategia de “Mapeo de Gestante” en las IPS de baja complejidad, con el objeto de monitorear permanentemente a las gestantes y lograr que su parto sea atendido en una Institución de </w:t>
      </w:r>
      <w:r w:rsidR="007C3396" w:rsidRPr="001B34D0">
        <w:rPr>
          <w:rFonts w:eastAsia="Times New Roman" w:cs="Times New Roman"/>
          <w:lang w:val="es-ES" w:eastAsia="es-ES"/>
        </w:rPr>
        <w:t>salud.</w:t>
      </w:r>
      <w:r w:rsidR="007C3396" w:rsidRPr="001B34D0">
        <w:rPr>
          <w:rFonts w:eastAsia="Times New Roman" w:cs="Arial"/>
          <w:lang w:val="es-ES"/>
        </w:rPr>
        <w:t xml:space="preserve"> También</w:t>
      </w:r>
      <w:r w:rsidRPr="001B34D0">
        <w:rPr>
          <w:rFonts w:eastAsia="Times New Roman" w:cs="Arial"/>
          <w:lang w:val="es-ES"/>
        </w:rPr>
        <w:t xml:space="preserve"> se desarrolla el Plan de Intervenciones </w:t>
      </w:r>
      <w:r w:rsidR="007C3396" w:rsidRPr="001B34D0">
        <w:rPr>
          <w:rFonts w:eastAsia="Times New Roman" w:cs="Arial"/>
          <w:lang w:val="es-ES"/>
        </w:rPr>
        <w:t>colectivas a</w:t>
      </w:r>
      <w:r w:rsidRPr="001B34D0">
        <w:rPr>
          <w:rFonts w:eastAsia="Times New Roman" w:cs="Arial"/>
          <w:lang w:val="es-ES"/>
        </w:rPr>
        <w:t xml:space="preserve"> </w:t>
      </w:r>
      <w:r w:rsidR="007C3396" w:rsidRPr="001B34D0">
        <w:rPr>
          <w:rFonts w:eastAsia="Times New Roman" w:cs="Arial"/>
          <w:lang w:val="es-ES"/>
        </w:rPr>
        <w:t>través de</w:t>
      </w:r>
      <w:r w:rsidRPr="001B34D0">
        <w:rPr>
          <w:rFonts w:eastAsia="Times New Roman" w:cs="Arial"/>
          <w:lang w:val="es-ES"/>
        </w:rPr>
        <w:t xml:space="preserve"> la estrategia de Movilización Social “Ciudad Bienestar</w:t>
      </w:r>
      <w:r w:rsidR="007C3396" w:rsidRPr="001B34D0">
        <w:rPr>
          <w:rFonts w:eastAsia="Times New Roman" w:cs="Arial"/>
          <w:lang w:val="es-ES"/>
        </w:rPr>
        <w:t>” con</w:t>
      </w:r>
      <w:r w:rsidRPr="001B34D0">
        <w:rPr>
          <w:rFonts w:eastAsia="Times New Roman" w:cs="Arial"/>
          <w:lang w:val="es-ES"/>
        </w:rPr>
        <w:t xml:space="preserve"> perspectiva de derechos, para el empoderamiento de la comunidad hacia el cuidado de su salud.</w:t>
      </w:r>
    </w:p>
    <w:p w:rsidR="001B34D0" w:rsidRPr="001B34D0" w:rsidRDefault="001B34D0" w:rsidP="00A92D87">
      <w:pPr>
        <w:numPr>
          <w:ilvl w:val="0"/>
          <w:numId w:val="62"/>
        </w:numPr>
        <w:spacing w:after="0" w:line="240" w:lineRule="auto"/>
        <w:ind w:left="284" w:hanging="284"/>
        <w:contextualSpacing/>
        <w:jc w:val="both"/>
        <w:rPr>
          <w:rFonts w:eastAsia="Times New Roman" w:cs="Arial"/>
          <w:color w:val="000000"/>
          <w:lang w:val="es-ES" w:eastAsia="ar-SA"/>
        </w:rPr>
      </w:pPr>
      <w:r w:rsidRPr="001B34D0">
        <w:rPr>
          <w:rFonts w:eastAsia="Times New Roman" w:cs="Times New Roman"/>
          <w:b/>
          <w:lang w:val="es-ES" w:eastAsia="ar-SA"/>
        </w:rPr>
        <w:lastRenderedPageBreak/>
        <w:t>Productos</w:t>
      </w:r>
    </w:p>
    <w:p w:rsidR="001B34D0" w:rsidRPr="001B34D0" w:rsidRDefault="001B34D0" w:rsidP="00A92D87">
      <w:pPr>
        <w:numPr>
          <w:ilvl w:val="0"/>
          <w:numId w:val="1"/>
        </w:numPr>
        <w:spacing w:after="0" w:line="240" w:lineRule="auto"/>
        <w:contextualSpacing/>
        <w:jc w:val="both"/>
        <w:rPr>
          <w:rFonts w:eastAsia="Times New Roman" w:cs="Arial"/>
          <w:b/>
          <w:bCs/>
          <w:color w:val="000000"/>
          <w:lang w:val="es-ES_tradnl" w:eastAsia="es-ES"/>
        </w:rPr>
      </w:pPr>
      <w:r w:rsidRPr="001B34D0">
        <w:rPr>
          <w:rFonts w:eastAsia="Times New Roman" w:cs="Arial"/>
          <w:color w:val="000000"/>
          <w:lang w:val="es-ES" w:eastAsia="ar-SA"/>
        </w:rPr>
        <w:t>Política pública Municipal de Adolescencia y Juventud operando a nivel Intersectorial.</w:t>
      </w:r>
    </w:p>
    <w:p w:rsidR="001B34D0" w:rsidRPr="001B34D0" w:rsidRDefault="001B34D0" w:rsidP="00A92D87">
      <w:pPr>
        <w:numPr>
          <w:ilvl w:val="0"/>
          <w:numId w:val="1"/>
        </w:numPr>
        <w:spacing w:after="0" w:line="240" w:lineRule="auto"/>
        <w:jc w:val="both"/>
        <w:rPr>
          <w:rFonts w:eastAsia="Calibri" w:cs="Arial"/>
          <w:color w:val="000000"/>
        </w:rPr>
      </w:pPr>
      <w:r w:rsidRPr="001B34D0">
        <w:rPr>
          <w:rFonts w:eastAsia="Calibri" w:cs="Arial"/>
          <w:color w:val="000000"/>
        </w:rPr>
        <w:t>Lograda la adherencia a guías, normas técnicas y estrategias relacionadas con la Salud Materna.</w:t>
      </w:r>
    </w:p>
    <w:p w:rsidR="001B34D0" w:rsidRPr="001B34D0" w:rsidRDefault="001B34D0" w:rsidP="00A92D87">
      <w:pPr>
        <w:numPr>
          <w:ilvl w:val="0"/>
          <w:numId w:val="1"/>
        </w:numPr>
        <w:spacing w:after="0" w:line="240" w:lineRule="auto"/>
        <w:jc w:val="both"/>
        <w:rPr>
          <w:rFonts w:eastAsia="Calibri" w:cs="Arial"/>
          <w:b/>
        </w:rPr>
      </w:pPr>
      <w:r w:rsidRPr="001B34D0">
        <w:rPr>
          <w:rFonts w:eastAsia="Calibri" w:cs="Arial"/>
          <w:color w:val="000000"/>
        </w:rPr>
        <w:t xml:space="preserve">Implementada la estrategia de movilización social para el empoderamiento de la comunidad en el cuidado de la salud. </w:t>
      </w:r>
    </w:p>
    <w:p w:rsidR="001B34D0" w:rsidRPr="001B34D0" w:rsidRDefault="001B34D0" w:rsidP="00A92D87">
      <w:pPr>
        <w:numPr>
          <w:ilvl w:val="0"/>
          <w:numId w:val="1"/>
        </w:numPr>
        <w:spacing w:after="0" w:line="240" w:lineRule="auto"/>
        <w:jc w:val="both"/>
        <w:rPr>
          <w:rFonts w:eastAsia="Calibri" w:cs="Arial"/>
          <w:b/>
        </w:rPr>
      </w:pPr>
      <w:r w:rsidRPr="001B34D0">
        <w:rPr>
          <w:rFonts w:eastAsia="Calibri" w:cs="Arial"/>
          <w:color w:val="000000"/>
        </w:rPr>
        <w:t>Ruta de atención integral a la gestante y gestante menor de 15 años.</w:t>
      </w:r>
    </w:p>
    <w:p w:rsidR="001B34D0" w:rsidRPr="001B34D0" w:rsidRDefault="001B34D0" w:rsidP="00A92D87">
      <w:pPr>
        <w:suppressAutoHyphens/>
        <w:spacing w:after="0" w:line="240" w:lineRule="auto"/>
        <w:ind w:left="720"/>
        <w:contextualSpacing/>
        <w:jc w:val="both"/>
        <w:rPr>
          <w:rFonts w:eastAsia="Times New Roman" w:cs="Times New Roman"/>
          <w:b/>
          <w:lang w:val="es-ES" w:eastAsia="ar-SA"/>
        </w:rPr>
      </w:pPr>
    </w:p>
    <w:p w:rsidR="001B34D0" w:rsidRPr="001B34D0" w:rsidRDefault="001B34D0" w:rsidP="00A92D87">
      <w:pPr>
        <w:numPr>
          <w:ilvl w:val="0"/>
          <w:numId w:val="62"/>
        </w:numPr>
        <w:spacing w:after="0" w:line="240" w:lineRule="auto"/>
        <w:contextualSpacing/>
        <w:jc w:val="both"/>
        <w:rPr>
          <w:rFonts w:eastAsia="Times New Roman" w:cs="Times New Roman"/>
          <w:b/>
          <w:lang w:val="es-ES" w:eastAsia="ar-SA"/>
        </w:rPr>
      </w:pPr>
      <w:r w:rsidRPr="001B34D0">
        <w:rPr>
          <w:rFonts w:eastAsia="Times New Roman" w:cs="Times New Roman"/>
          <w:b/>
          <w:lang w:val="es-ES" w:eastAsia="ar-SA"/>
        </w:rPr>
        <w:t xml:space="preserve">Resultados al término de la gestión  (2012 -2014): </w:t>
      </w:r>
    </w:p>
    <w:p w:rsidR="001B34D0" w:rsidRPr="001B34D0" w:rsidRDefault="001B34D0" w:rsidP="00A92D87">
      <w:pPr>
        <w:suppressAutoHyphens/>
        <w:spacing w:after="0" w:line="240" w:lineRule="auto"/>
        <w:ind w:left="720"/>
        <w:contextualSpacing/>
        <w:jc w:val="both"/>
        <w:rPr>
          <w:rFonts w:eastAsia="Times New Roman" w:cs="Times New Roman"/>
          <w:b/>
          <w:lang w:val="es-ES" w:eastAsia="ar-SA"/>
        </w:rPr>
      </w:pPr>
    </w:p>
    <w:p w:rsidR="001B34D0" w:rsidRPr="001B34D0" w:rsidRDefault="001B34D0" w:rsidP="00A92D87">
      <w:pPr>
        <w:numPr>
          <w:ilvl w:val="0"/>
          <w:numId w:val="63"/>
        </w:numPr>
        <w:spacing w:after="0" w:line="240" w:lineRule="auto"/>
        <w:contextualSpacing/>
        <w:jc w:val="both"/>
        <w:rPr>
          <w:rFonts w:eastAsia="Times New Roman" w:cs="Arial"/>
          <w:b/>
          <w:bCs/>
          <w:color w:val="000000"/>
          <w:lang w:val="es-ES_tradnl" w:eastAsia="es-ES"/>
        </w:rPr>
      </w:pPr>
      <w:r w:rsidRPr="001B34D0">
        <w:rPr>
          <w:rFonts w:eastAsia="Times New Roman" w:cs="Arial"/>
          <w:color w:val="000000"/>
          <w:lang w:val="es-ES" w:eastAsia="ar-SA"/>
        </w:rPr>
        <w:t>Política pública Municipal de Adolescencia y Juventud.</w:t>
      </w:r>
    </w:p>
    <w:p w:rsidR="001B34D0" w:rsidRPr="001B34D0" w:rsidRDefault="001B34D0" w:rsidP="00A92D87">
      <w:pPr>
        <w:numPr>
          <w:ilvl w:val="0"/>
          <w:numId w:val="1"/>
        </w:numPr>
        <w:spacing w:after="0" w:line="240" w:lineRule="auto"/>
        <w:jc w:val="both"/>
        <w:rPr>
          <w:rFonts w:eastAsia="Calibri" w:cs="Arial"/>
          <w:color w:val="000000"/>
        </w:rPr>
      </w:pPr>
      <w:r w:rsidRPr="001B34D0">
        <w:rPr>
          <w:rFonts w:eastAsia="Calibri" w:cs="Arial"/>
          <w:color w:val="000000"/>
        </w:rPr>
        <w:t>Adherencia a guías, normas técnicas y estrategias relacionadas con la Salud Materna.</w:t>
      </w:r>
    </w:p>
    <w:p w:rsidR="001B34D0" w:rsidRPr="001B34D0" w:rsidRDefault="001B34D0" w:rsidP="00A92D87">
      <w:pPr>
        <w:numPr>
          <w:ilvl w:val="0"/>
          <w:numId w:val="1"/>
        </w:numPr>
        <w:spacing w:after="0" w:line="240" w:lineRule="auto"/>
        <w:jc w:val="both"/>
        <w:rPr>
          <w:rFonts w:eastAsia="Calibri" w:cs="Arial"/>
          <w:b/>
        </w:rPr>
      </w:pPr>
      <w:r w:rsidRPr="001B34D0">
        <w:rPr>
          <w:rFonts w:eastAsia="Calibri" w:cs="Arial"/>
          <w:color w:val="000000"/>
        </w:rPr>
        <w:t xml:space="preserve">Implementada la estrategia de movilización social para el empoderamiento de la comunidad en el cuidado de la salud. </w:t>
      </w:r>
    </w:p>
    <w:p w:rsidR="001B34D0" w:rsidRPr="001B34D0" w:rsidRDefault="001B34D0" w:rsidP="00A92D87">
      <w:pPr>
        <w:numPr>
          <w:ilvl w:val="0"/>
          <w:numId w:val="1"/>
        </w:numPr>
        <w:spacing w:after="0" w:line="240" w:lineRule="auto"/>
        <w:jc w:val="both"/>
        <w:rPr>
          <w:rFonts w:eastAsia="Calibri" w:cs="Arial"/>
          <w:b/>
        </w:rPr>
      </w:pPr>
      <w:r w:rsidRPr="001B34D0">
        <w:rPr>
          <w:rFonts w:eastAsia="Calibri" w:cs="Arial"/>
          <w:color w:val="000000"/>
        </w:rPr>
        <w:t>Ruta de atención integral a la gestante y gestante menor de 15 años.</w:t>
      </w:r>
    </w:p>
    <w:p w:rsidR="001B34D0" w:rsidRPr="001B34D0" w:rsidRDefault="001B34D0" w:rsidP="00A92D87">
      <w:pPr>
        <w:suppressAutoHyphens/>
        <w:spacing w:after="0" w:line="240" w:lineRule="auto"/>
        <w:ind w:left="360"/>
        <w:contextualSpacing/>
        <w:jc w:val="both"/>
        <w:rPr>
          <w:rFonts w:eastAsia="Times New Roman" w:cs="Times New Roman"/>
          <w:lang w:val="es-ES" w:eastAsia="ar-SA"/>
        </w:rPr>
      </w:pPr>
    </w:p>
    <w:p w:rsidR="001B34D0" w:rsidRPr="001B34D0" w:rsidRDefault="001B34D0" w:rsidP="00A92D87">
      <w:pPr>
        <w:numPr>
          <w:ilvl w:val="0"/>
          <w:numId w:val="62"/>
        </w:numPr>
        <w:spacing w:after="0" w:line="240" w:lineRule="auto"/>
        <w:ind w:left="284" w:hanging="284"/>
        <w:contextualSpacing/>
        <w:jc w:val="both"/>
        <w:rPr>
          <w:rFonts w:eastAsia="Times New Roman" w:cs="Times New Roman"/>
          <w:b/>
          <w:lang w:val="es-ES" w:eastAsia="ar-SA"/>
        </w:rPr>
      </w:pPr>
      <w:r w:rsidRPr="001B34D0">
        <w:rPr>
          <w:rFonts w:eastAsia="Times New Roman" w:cs="Times New Roman"/>
          <w:b/>
          <w:lang w:val="es-ES" w:eastAsia="ar-SA"/>
        </w:rPr>
        <w:t xml:space="preserve">Impacto: </w:t>
      </w:r>
    </w:p>
    <w:p w:rsidR="001B34D0" w:rsidRPr="001B34D0" w:rsidRDefault="001B34D0" w:rsidP="00A92D87">
      <w:pPr>
        <w:spacing w:after="200" w:line="240" w:lineRule="auto"/>
        <w:jc w:val="both"/>
        <w:rPr>
          <w:rFonts w:eastAsia="Calibri" w:cs="Times New Roman"/>
        </w:rPr>
      </w:pPr>
      <w:r w:rsidRPr="001B34D0">
        <w:rPr>
          <w:rFonts w:eastAsia="Calibri" w:cs="Times New Roman"/>
        </w:rPr>
        <w:t>Positivo: Se evidencia que el indicador de Atención de parto Institucional por personal calificado es Óptimo, cumple con la  meta propuesta en los Planes de Desarrollo y Territorial del Municipio, contribuyendo a la disminución de muerte materna y perinatal y Morbilidad Materna Extrema.</w:t>
      </w:r>
    </w:p>
    <w:p w:rsidR="001B34D0" w:rsidRPr="001B34D0" w:rsidRDefault="001B34D0" w:rsidP="00A92D87">
      <w:pPr>
        <w:numPr>
          <w:ilvl w:val="0"/>
          <w:numId w:val="62"/>
        </w:numPr>
        <w:spacing w:after="200" w:line="240" w:lineRule="auto"/>
        <w:ind w:left="284" w:hanging="284"/>
        <w:jc w:val="both"/>
        <w:rPr>
          <w:rFonts w:eastAsia="Calibri" w:cs="Times New Roman"/>
          <w:b/>
        </w:rPr>
      </w:pPr>
      <w:r w:rsidRPr="001B34D0">
        <w:rPr>
          <w:rFonts w:eastAsia="Calibri" w:cs="Times New Roman"/>
          <w:b/>
        </w:rPr>
        <w:t>Prioridades</w:t>
      </w:r>
    </w:p>
    <w:p w:rsidR="001B34D0" w:rsidRPr="001B34D0" w:rsidRDefault="001B34D0" w:rsidP="00A92D87">
      <w:pPr>
        <w:spacing w:after="200" w:line="240" w:lineRule="auto"/>
        <w:jc w:val="both"/>
        <w:rPr>
          <w:rFonts w:eastAsia="Calibri" w:cs="Times New Roman"/>
        </w:rPr>
      </w:pPr>
      <w:r w:rsidRPr="001B34D0">
        <w:rPr>
          <w:rFonts w:eastAsia="Calibri" w:cs="Times New Roman"/>
        </w:rPr>
        <w:t>Es prioridad para el municipio mantener estos indicadores de impacto fortaleciendo y dando continuidad a los programas y estrategias que permitieron lograrlo, apoyados en la normatividad vigente y la coordinación Institucional e intersectorial y transectorial en el marco de Plan Decenal 2012 – 2021.</w:t>
      </w:r>
    </w:p>
    <w:p w:rsidR="001B34D0" w:rsidRPr="001B34D0" w:rsidRDefault="001B34D0" w:rsidP="00A92D87">
      <w:pPr>
        <w:numPr>
          <w:ilvl w:val="0"/>
          <w:numId w:val="62"/>
        </w:numPr>
        <w:spacing w:after="200" w:line="240" w:lineRule="auto"/>
        <w:ind w:left="284" w:hanging="284"/>
        <w:jc w:val="both"/>
        <w:rPr>
          <w:rFonts w:eastAsia="Calibri" w:cs="Times New Roman"/>
          <w:b/>
        </w:rPr>
      </w:pPr>
      <w:r w:rsidRPr="001B34D0">
        <w:rPr>
          <w:rFonts w:eastAsia="Calibri" w:cs="Times New Roman"/>
          <w:b/>
        </w:rPr>
        <w:t>Recomendaciones</w:t>
      </w:r>
    </w:p>
    <w:p w:rsidR="001B34D0" w:rsidRPr="001B34D0" w:rsidRDefault="001B34D0" w:rsidP="00A92D87">
      <w:pPr>
        <w:numPr>
          <w:ilvl w:val="0"/>
          <w:numId w:val="64"/>
        </w:numPr>
        <w:spacing w:after="0" w:line="240" w:lineRule="auto"/>
        <w:ind w:left="714" w:hanging="357"/>
        <w:jc w:val="both"/>
        <w:rPr>
          <w:rFonts w:eastAsia="Calibri" w:cs="Times New Roman"/>
        </w:rPr>
      </w:pPr>
      <w:r w:rsidRPr="001B34D0">
        <w:rPr>
          <w:rFonts w:eastAsia="Calibri" w:cs="Times New Roman"/>
        </w:rPr>
        <w:t>Implementar y monitorear la Política Nacional de Sexualidad, DSDR de Ministerio de Salud y Protección Social en el  Municipio de Pasto.</w:t>
      </w:r>
    </w:p>
    <w:p w:rsidR="001B34D0" w:rsidRPr="001B34D0" w:rsidRDefault="001B34D0" w:rsidP="00A92D87">
      <w:pPr>
        <w:numPr>
          <w:ilvl w:val="0"/>
          <w:numId w:val="64"/>
        </w:numPr>
        <w:spacing w:after="0" w:line="240" w:lineRule="auto"/>
        <w:ind w:left="714" w:hanging="357"/>
        <w:jc w:val="both"/>
        <w:rPr>
          <w:rFonts w:eastAsia="Calibri" w:cs="Times New Roman"/>
        </w:rPr>
      </w:pPr>
      <w:r w:rsidRPr="001B34D0">
        <w:rPr>
          <w:rFonts w:eastAsia="Calibri" w:cs="Times New Roman"/>
        </w:rPr>
        <w:t>Planear y ejecutar POA, SSR CON LOS LINEAMIENTOS DE Plan decenal 2012 – 2021.</w:t>
      </w:r>
    </w:p>
    <w:p w:rsidR="001B34D0" w:rsidRPr="001B34D0" w:rsidRDefault="001B34D0" w:rsidP="00A92D87">
      <w:pPr>
        <w:numPr>
          <w:ilvl w:val="0"/>
          <w:numId w:val="64"/>
        </w:numPr>
        <w:spacing w:after="0" w:line="240" w:lineRule="auto"/>
        <w:ind w:left="714" w:hanging="357"/>
        <w:jc w:val="both"/>
        <w:rPr>
          <w:rFonts w:eastAsia="Calibri" w:cs="Times New Roman"/>
          <w:b/>
        </w:rPr>
      </w:pPr>
      <w:r w:rsidRPr="001B34D0">
        <w:rPr>
          <w:rFonts w:eastAsia="Calibri" w:cs="Times New Roman"/>
        </w:rPr>
        <w:t>Fortalecer el Sistema de información de SSR, con SISPRO del MSPS.</w:t>
      </w:r>
    </w:p>
    <w:p w:rsidR="001B34D0" w:rsidRPr="001B34D0" w:rsidRDefault="001B34D0" w:rsidP="00A92D87">
      <w:pPr>
        <w:spacing w:line="240" w:lineRule="auto"/>
      </w:pPr>
    </w:p>
    <w:p w:rsidR="001B34D0" w:rsidRPr="00AB2385" w:rsidRDefault="00AE74F6" w:rsidP="00A42797">
      <w:pPr>
        <w:pStyle w:val="Ttulo1"/>
        <w:numPr>
          <w:ilvl w:val="1"/>
          <w:numId w:val="72"/>
        </w:numPr>
        <w:jc w:val="center"/>
        <w:rPr>
          <w:b/>
          <w:color w:val="auto"/>
          <w:sz w:val="22"/>
          <w:szCs w:val="22"/>
        </w:rPr>
      </w:pPr>
      <w:bookmarkStart w:id="124" w:name="_Toc437376069"/>
      <w:r w:rsidRPr="00AB2385">
        <w:rPr>
          <w:b/>
          <w:color w:val="auto"/>
          <w:sz w:val="22"/>
          <w:szCs w:val="22"/>
        </w:rPr>
        <w:t>B</w:t>
      </w:r>
      <w:r w:rsidR="00CF1016" w:rsidRPr="00AB2385">
        <w:rPr>
          <w:b/>
          <w:color w:val="auto"/>
          <w:sz w:val="22"/>
          <w:szCs w:val="22"/>
        </w:rPr>
        <w:t>UENAS PRÁCTICAS</w:t>
      </w:r>
      <w:bookmarkEnd w:id="124"/>
    </w:p>
    <w:p w:rsidR="00CF1016" w:rsidRPr="00AB2385" w:rsidRDefault="00CF1016" w:rsidP="00CF1016"/>
    <w:p w:rsidR="00CF1016" w:rsidRDefault="007C3396" w:rsidP="00A42797">
      <w:r>
        <w:rPr>
          <w:b/>
        </w:rPr>
        <w:t>1)</w:t>
      </w:r>
      <w:r w:rsidR="00A42797">
        <w:rPr>
          <w:b/>
        </w:rPr>
        <w:t xml:space="preserve"> </w:t>
      </w:r>
      <w:r w:rsidR="00CF1016" w:rsidRPr="00A42797">
        <w:rPr>
          <w:b/>
        </w:rPr>
        <w:t>NOMBRE:</w:t>
      </w:r>
      <w:r w:rsidR="00CF1016">
        <w:t xml:space="preserve"> </w:t>
      </w:r>
      <w:r w:rsidR="00CF1016" w:rsidRPr="00CF1016">
        <w:t>CENTROS DE DESARROLLO INFANTIL NIDOS NUTRIR</w:t>
      </w:r>
    </w:p>
    <w:p w:rsidR="00CF1016" w:rsidRDefault="00CF1016" w:rsidP="00CF1016">
      <w:r w:rsidRPr="00CF1016">
        <w:rPr>
          <w:b/>
        </w:rPr>
        <w:t>CATEGORÍA DE DERECHOS</w:t>
      </w:r>
      <w:r>
        <w:t xml:space="preserve">: PROTECCIÓN </w:t>
      </w:r>
    </w:p>
    <w:p w:rsidR="00CF1016" w:rsidRDefault="00CF1016" w:rsidP="00CF1016">
      <w:r w:rsidRPr="00CF1016">
        <w:rPr>
          <w:b/>
        </w:rPr>
        <w:t>CICLO VITAL</w:t>
      </w:r>
      <w:r>
        <w:t>: PRIMERA INFANCIA</w:t>
      </w:r>
    </w:p>
    <w:p w:rsidR="00CF1016" w:rsidRDefault="00CF1016" w:rsidP="00CF1016">
      <w:r w:rsidRPr="00CF1016">
        <w:rPr>
          <w:b/>
        </w:rPr>
        <w:t>OBJETIVO:</w:t>
      </w:r>
      <w:r>
        <w:t xml:space="preserve"> Objetivo plan de desarrollo</w:t>
      </w:r>
    </w:p>
    <w:p w:rsidR="00CF1016" w:rsidRDefault="00CF1016" w:rsidP="00CF1016">
      <w:r>
        <w:lastRenderedPageBreak/>
        <w:t>Implementar proceso de apoyo a la recuperación y complemento nutricional a la primera infancia</w:t>
      </w:r>
    </w:p>
    <w:p w:rsidR="00CF1016" w:rsidRDefault="00CF1016" w:rsidP="00CF1016">
      <w:r>
        <w:t xml:space="preserve">Objetivo general del proyecto: </w:t>
      </w:r>
    </w:p>
    <w:p w:rsidR="00CF1016" w:rsidRDefault="00CF1016" w:rsidP="00CF1016">
      <w:r>
        <w:t>Garantizar la nutrición, el desarrollo integral y la estabilidad socio familiar en los niños y niñas menores de cinco años del Municipio de Pasto.</w:t>
      </w:r>
    </w:p>
    <w:p w:rsidR="00CF1016" w:rsidRDefault="00CF1016" w:rsidP="00CF1016">
      <w:r w:rsidRPr="00023C03">
        <w:rPr>
          <w:b/>
        </w:rPr>
        <w:t>COBERTURA PROGRAMADA:</w:t>
      </w:r>
      <w:r>
        <w:t xml:space="preserve"> 1200</w:t>
      </w:r>
    </w:p>
    <w:p w:rsidR="0072741F" w:rsidRDefault="0072741F" w:rsidP="00CF1016">
      <w:r w:rsidRPr="00023C03">
        <w:rPr>
          <w:b/>
        </w:rPr>
        <w:t>COBERTURA LOGRADA:</w:t>
      </w:r>
      <w:r>
        <w:t xml:space="preserve"> 1424</w:t>
      </w:r>
    </w:p>
    <w:p w:rsidR="00CF1016" w:rsidRDefault="0072741F" w:rsidP="00CF1016">
      <w:r w:rsidRPr="00023C03">
        <w:rPr>
          <w:b/>
        </w:rPr>
        <w:t>INVERSIÓN PROGRAMADA:</w:t>
      </w:r>
      <w:r>
        <w:t xml:space="preserve"> 21.4748.3647 (PESOS)</w:t>
      </w:r>
    </w:p>
    <w:p w:rsidR="0072741F" w:rsidRDefault="0072741F" w:rsidP="00CF1016">
      <w:r w:rsidRPr="00023C03">
        <w:rPr>
          <w:b/>
        </w:rPr>
        <w:t>INVERSIÓN EJECUTADA:</w:t>
      </w:r>
      <w:r>
        <w:t xml:space="preserve"> 547.500.000 (PESOS)</w:t>
      </w:r>
    </w:p>
    <w:p w:rsidR="0072741F" w:rsidRDefault="0072741F" w:rsidP="00CF1016">
      <w:r w:rsidRPr="00023C03">
        <w:rPr>
          <w:b/>
        </w:rPr>
        <w:t>DURACIÓN (MESES</w:t>
      </w:r>
      <w:r>
        <w:t>): 43</w:t>
      </w:r>
    </w:p>
    <w:p w:rsidR="00023C03" w:rsidRDefault="0072741F" w:rsidP="0072741F">
      <w:pPr>
        <w:jc w:val="both"/>
      </w:pPr>
      <w:r w:rsidRPr="00023C03">
        <w:rPr>
          <w:b/>
        </w:rPr>
        <w:t>DESCRIPCION DEL PROCESO:</w:t>
      </w:r>
      <w:r w:rsidRPr="0072741F">
        <w:t xml:space="preserve"> </w:t>
      </w:r>
    </w:p>
    <w:p w:rsidR="0072741F" w:rsidRDefault="0072741F" w:rsidP="0072741F">
      <w:pPr>
        <w:jc w:val="both"/>
      </w:pPr>
      <w:r>
        <w:t>Con el fin de garantizar la recuperación nutricional de los niños menores de cinco (5) años, el programa contempla 3 componentes liderados por un Coordinador responsable del proyecto, quien tendrá el compromiso de hacer cumplir los siguientes componentes: COMPONENTE NUTRICIONAL, PSICOSOCIAL, PEDAGÓGICO Y OPERATIVO.</w:t>
      </w:r>
    </w:p>
    <w:p w:rsidR="0072741F" w:rsidRDefault="0072741F" w:rsidP="0072741F">
      <w:pPr>
        <w:jc w:val="both"/>
      </w:pPr>
      <w:r>
        <w:t>En el componente psicosocial se trabaja  con el área de psicología y trabajo social; el componente nutricional está apoyado por el área de nutrición, enfermería, un técnico de alimentos y las manipuladoras de alimentos; en el componente pedagógico, el programa cuenta con el apoyo de pedagogas, un profesional en educación con afines en áreas sociales.</w:t>
      </w:r>
    </w:p>
    <w:p w:rsidR="0072741F" w:rsidRDefault="0072741F" w:rsidP="0072741F">
      <w:pPr>
        <w:jc w:val="both"/>
      </w:pPr>
      <w:r>
        <w:t xml:space="preserve">De igual manera con el fin de brindarles todas las garantías a los niños y niñas adscritos al programa, se cuenta con el apoyo del área contable, almacenamiento y entrega de alimentos, conductores de busetas y el servicio de celaduría, quienes se encargan de desarrollar  funciones contractuales de acuerdo a las necesidades de los niños y niñas. </w:t>
      </w:r>
    </w:p>
    <w:p w:rsidR="0072741F" w:rsidRDefault="0072741F" w:rsidP="0072741F">
      <w:pPr>
        <w:jc w:val="both"/>
      </w:pPr>
      <w:r>
        <w:t>Para el fortalecimiento de los componentes, el programa cuenta con la participación e intervención directa de estudiantes en práctica, a través de conveníos institucionales  con la Secretaria de Bienestar Social, con la facultad de promoción y prevención de la Universidad de Nariño y de investigación de la facultad de medicina de la Universidad Cooperativa.</w:t>
      </w:r>
    </w:p>
    <w:p w:rsidR="0072741F" w:rsidRDefault="0072741F" w:rsidP="0072741F">
      <w:pPr>
        <w:jc w:val="both"/>
      </w:pPr>
      <w:r>
        <w:t>El programa tiene 10 años de creado.</w:t>
      </w:r>
    </w:p>
    <w:p w:rsidR="0072741F" w:rsidRDefault="0072741F" w:rsidP="0072741F">
      <w:pPr>
        <w:jc w:val="both"/>
      </w:pPr>
      <w:r>
        <w:t xml:space="preserve">Requisitos. </w:t>
      </w:r>
    </w:p>
    <w:p w:rsidR="0072741F" w:rsidRDefault="0072741F" w:rsidP="0072741F">
      <w:pPr>
        <w:jc w:val="both"/>
      </w:pPr>
      <w:r>
        <w:t>1.</w:t>
      </w:r>
      <w:r>
        <w:tab/>
        <w:t>Niños y niñas entre un año y medio y 4 años 11 meses.</w:t>
      </w:r>
    </w:p>
    <w:p w:rsidR="0072741F" w:rsidRDefault="0072741F" w:rsidP="0072741F">
      <w:pPr>
        <w:jc w:val="both"/>
      </w:pPr>
      <w:r>
        <w:t>2.</w:t>
      </w:r>
      <w:r>
        <w:tab/>
        <w:t>Pertenecer a población con vulnerabilidad socioeconómica y psicosocial</w:t>
      </w:r>
    </w:p>
    <w:p w:rsidR="0072741F" w:rsidRDefault="0072741F" w:rsidP="0072741F">
      <w:pPr>
        <w:jc w:val="both"/>
      </w:pPr>
      <w:r>
        <w:t>3.</w:t>
      </w:r>
      <w:r>
        <w:tab/>
        <w:t>Pertenecer a población Sisben con puntaje menor a 30, ser indígena y/o ser víctima del conflicto armado</w:t>
      </w:r>
    </w:p>
    <w:p w:rsidR="0072741F" w:rsidRDefault="0072741F" w:rsidP="0072741F">
      <w:pPr>
        <w:jc w:val="both"/>
      </w:pPr>
      <w:r>
        <w:lastRenderedPageBreak/>
        <w:t>Ejes de desarrollo:</w:t>
      </w:r>
    </w:p>
    <w:p w:rsidR="0072741F" w:rsidRDefault="0072741F" w:rsidP="0072741F">
      <w:pPr>
        <w:jc w:val="both"/>
      </w:pPr>
      <w:r>
        <w:t>Atención integral en el componente nutricional, pedagógico, psicosocial y de transporte a 84 niños y niñas en CDI Nido Nutrir la Palma, 84 niños y niñas en CDI Nido Nutrir Popular, 80 niños y niñas en CDI Nido Nutrir Piloto, 60 niños y niñas en CDI Nido Nutrir Tescual, 48 niños y niñas CDI Nido Nutrir Juanoy y 40 niños y niñas Nido Nutrir Cujacal.</w:t>
      </w:r>
    </w:p>
    <w:p w:rsidR="0072741F" w:rsidRDefault="0072741F" w:rsidP="0072741F">
      <w:pPr>
        <w:jc w:val="both"/>
      </w:pPr>
      <w:r>
        <w:t>Además se desarrollaron las siguientes acciones:</w:t>
      </w:r>
    </w:p>
    <w:p w:rsidR="0072741F" w:rsidRDefault="0072741F" w:rsidP="0072741F">
      <w:pPr>
        <w:jc w:val="both"/>
      </w:pPr>
      <w:r>
        <w:t>Componente Nutricional: Toma de peso y talla, seguimiento y mejoramiento de los procesos nutricionales así como desarrollo de buenos hábitos alimenticios.</w:t>
      </w:r>
    </w:p>
    <w:p w:rsidR="0072741F" w:rsidRDefault="0072741F" w:rsidP="0072741F">
      <w:pPr>
        <w:jc w:val="both"/>
      </w:pPr>
      <w:r>
        <w:t>Componente Pedagógico: Procesos de construcción colectivos y permanentes de Relaciones, Conocimientos y habilidades de los niños y niñas con los proyectos haciendo amigos y la aventura de aprender con relación a una planeación mensual en temas como: Soy único, especial y maravilloso, Derecho a la felicidad, Así vivo yo, Mi querida San Juan de Pasto, Como se hacen las cosas, Me relaciono con el Medio ambiente, Yo quiero, Yo puedo y Soy capaz, apóyame en mi desarrollo, Disfruto aprendiendo buenas normas y costumbres.</w:t>
      </w:r>
    </w:p>
    <w:p w:rsidR="0072741F" w:rsidRDefault="0072741F" w:rsidP="0072741F">
      <w:pPr>
        <w:jc w:val="both"/>
      </w:pPr>
      <w:r>
        <w:t xml:space="preserve">Informe con los indicadores de logro alcanzado, no alcanzado y refuerzo en las áreas de necesarias. </w:t>
      </w:r>
    </w:p>
    <w:p w:rsidR="00833724" w:rsidRPr="001B34D0" w:rsidRDefault="0072741F" w:rsidP="0049054A">
      <w:pPr>
        <w:jc w:val="both"/>
        <w:rPr>
          <w:b/>
        </w:rPr>
      </w:pPr>
      <w:r>
        <w:t>Componente Psicosocial: Mejoramiento de la Calidad de Vida de Niños y Niñas de los 5 Nidos Nutrir, mediante estrategias de intervención, individual y familiar</w:t>
      </w:r>
      <w:r w:rsidR="007C3396">
        <w:t>, a</w:t>
      </w:r>
      <w:r>
        <w:t xml:space="preserve"> fin de garantizar la prevalencia de los derechos, en temáticas como: Relación con los Pares, Autoestima, Reconocimiento del Cuerpo, Derechos de los Niños y Niñas, Papitos No me maltraten.</w:t>
      </w:r>
    </w:p>
    <w:p w:rsidR="00023C03" w:rsidRDefault="00023C03" w:rsidP="00023C03">
      <w:pPr>
        <w:spacing w:line="240" w:lineRule="auto"/>
        <w:jc w:val="both"/>
      </w:pPr>
      <w:r w:rsidRPr="00023C03">
        <w:rPr>
          <w:b/>
        </w:rPr>
        <w:t>DESCRIPCIÓN DE LOGROS:</w:t>
      </w:r>
      <w:r>
        <w:t xml:space="preserve"> </w:t>
      </w:r>
    </w:p>
    <w:p w:rsidR="00023C03" w:rsidRDefault="00023C03" w:rsidP="00023C03">
      <w:pPr>
        <w:spacing w:line="240" w:lineRule="auto"/>
        <w:jc w:val="both"/>
      </w:pPr>
      <w:r>
        <w:t>Beneficiarios. Desde el mes de mayo del año 2012 hasta mayo de 2015 se han atendido 1424 niños y niñas.</w:t>
      </w:r>
    </w:p>
    <w:p w:rsidR="00023C03" w:rsidRDefault="00023C03" w:rsidP="00023C03">
      <w:pPr>
        <w:spacing w:line="240" w:lineRule="auto"/>
        <w:jc w:val="both"/>
      </w:pPr>
      <w:r>
        <w:t>Vinculación al sistema educativo. Se ha logrado vincular en los últimos tres años 300 niños y niñas graduados de los CDI nidos nutrir a las diferentes instituciones educativas del municipio de Pasto.</w:t>
      </w:r>
    </w:p>
    <w:p w:rsidR="00023C03" w:rsidRDefault="00023C03" w:rsidP="00023C03">
      <w:pPr>
        <w:spacing w:line="240" w:lineRule="auto"/>
        <w:jc w:val="both"/>
      </w:pPr>
      <w:r>
        <w:t xml:space="preserve">Convenios. Se ha logrado firmar un convenio con el ICBF para que los nidos transiten a Centros de Desarrollo Infantil CDI, estrategia de Cero a Siempre, en donde se inyecto más recursos a nivel nacional, se mejoró la minuta, se aumentó el talento humano profesional, altamente calificado, como Licenciadas en Preescolar, Licenciado en Educación Física, Recreación y Deporte, artes, Sicólogas y Manipuladoras de Alimentos para la atención adecuada de los niños y niñas.   </w:t>
      </w:r>
    </w:p>
    <w:p w:rsidR="00023C03" w:rsidRDefault="00023C03" w:rsidP="00023C03">
      <w:pPr>
        <w:spacing w:line="240" w:lineRule="auto"/>
        <w:jc w:val="both"/>
      </w:pPr>
      <w:r>
        <w:t xml:space="preserve">En convenio con la Universidad Cooperativa se logró obtener gratuitamente los certificados médicos y odontológicos del 100% de los niños y niñas. </w:t>
      </w:r>
    </w:p>
    <w:p w:rsidR="00023C03" w:rsidRDefault="00023C03" w:rsidP="00023C03">
      <w:pPr>
        <w:spacing w:line="240" w:lineRule="auto"/>
        <w:jc w:val="both"/>
      </w:pPr>
      <w:r>
        <w:t xml:space="preserve">Convenio con la Fundación Rayuela, con la que se trabajó el proyecto Leamos de la Mano por Los Caminos del Sur Primera Infancia, articulados con el Ministerio de Cultura, donde prima el acompañamiento afectivo de cuatro docentes que se trasladan a cada nido nutrir, para promover </w:t>
      </w:r>
      <w:r>
        <w:lastRenderedPageBreak/>
        <w:t>el hábito de la lectura de manera didáctica, la construcción del Rincón de la Lectura, así como la visita de los niños y niñas a la biblioteca de la misma.</w:t>
      </w:r>
    </w:p>
    <w:p w:rsidR="00023C03" w:rsidRDefault="00023C03" w:rsidP="00023C03">
      <w:pPr>
        <w:spacing w:line="240" w:lineRule="auto"/>
        <w:jc w:val="both"/>
      </w:pPr>
      <w:r>
        <w:t xml:space="preserve">Con la Fundación ÉXITO se logró obtener una dotación para material didáctico, mobiliario, 4 T.V., 4 DVD y 4 grabadoras, por valor de DIECISIETE MILLONES DE PESOS MDA/CTE                      ($ 17.000.000)                               </w:t>
      </w:r>
    </w:p>
    <w:p w:rsidR="00023C03" w:rsidRDefault="00023C03" w:rsidP="00023C03">
      <w:pPr>
        <w:spacing w:line="240" w:lineRule="auto"/>
        <w:jc w:val="both"/>
      </w:pPr>
      <w:r>
        <w:t xml:space="preserve">En gestiones adelantadas en la Cruz Roja se logró la atención al 100% de los niños y niñas por parte de un médico general, quien realizo la respectiva valoración, entrega de medicamentos y mercados para las familias.                          </w:t>
      </w:r>
    </w:p>
    <w:p w:rsidR="00023C03" w:rsidRDefault="00023C03" w:rsidP="00023C03">
      <w:pPr>
        <w:spacing w:line="240" w:lineRule="auto"/>
        <w:jc w:val="both"/>
      </w:pPr>
      <w:r>
        <w:t>Participación en diferentes programas y proyectos. Se participó en la semana de la cultura, día de la familia, día del niño.</w:t>
      </w:r>
    </w:p>
    <w:p w:rsidR="00023C03" w:rsidRDefault="00023C03" w:rsidP="00023C03">
      <w:pPr>
        <w:spacing w:line="240" w:lineRule="auto"/>
        <w:jc w:val="both"/>
      </w:pPr>
      <w:r>
        <w:t xml:space="preserve">Se organizó el primer encuentro de danzas primera infancia del municipio de Pasto. </w:t>
      </w:r>
    </w:p>
    <w:p w:rsidR="00023C03" w:rsidRDefault="00023C03" w:rsidP="00023C03">
      <w:pPr>
        <w:spacing w:line="240" w:lineRule="auto"/>
        <w:jc w:val="both"/>
      </w:pPr>
      <w:r>
        <w:t>En los últimos tres años se ha logrado que el 98% de los niños y niñas suban de talla.</w:t>
      </w:r>
    </w:p>
    <w:p w:rsidR="00023C03" w:rsidRDefault="00023C03" w:rsidP="00023C03">
      <w:pPr>
        <w:spacing w:line="240" w:lineRule="auto"/>
        <w:jc w:val="both"/>
      </w:pPr>
      <w:r>
        <w:t xml:space="preserve">Vinculación de 20 niños y niñas con habilidades especiales. Desde el año 2013 se vinculó a 20 niños y niñas con habilidades especiales a los CDI nidos nutrir provenientes de un proyecto creado por la Secretaria de Bienestar Social llamado “Ángeles de Dios”, siendo este un pilotaje a nivel nacional, que tiene en cuenta la inclusión planteada por la estrategia de Cero a Siempre. </w:t>
      </w:r>
    </w:p>
    <w:p w:rsidR="00023C03" w:rsidRDefault="00023C03" w:rsidP="00023C03">
      <w:pPr>
        <w:spacing w:line="240" w:lineRule="auto"/>
        <w:jc w:val="both"/>
      </w:pPr>
      <w:r>
        <w:t xml:space="preserve">Ampliación de cobertura. Desde el año 2012 la Alcaldía de Pasto por medio de un convenio con la Fundación María de Nazaret realiza aportes para la atención de 40 niños y niñas. </w:t>
      </w:r>
    </w:p>
    <w:p w:rsidR="00023C03" w:rsidRDefault="00023C03" w:rsidP="00023C03">
      <w:pPr>
        <w:spacing w:line="240" w:lineRule="auto"/>
        <w:jc w:val="both"/>
      </w:pPr>
      <w:r>
        <w:t>En el año 2013 se logró ampliación de cobertura de 330 cupos para Pasto esto se dio ya que a raíz del convenio la Alcaldía realiza la financiación del transporte para los niños y niñas que lo requieran.</w:t>
      </w:r>
    </w:p>
    <w:p w:rsidR="00023C03" w:rsidRDefault="00023C03" w:rsidP="00023C03">
      <w:pPr>
        <w:spacing w:line="240" w:lineRule="auto"/>
        <w:jc w:val="both"/>
      </w:pPr>
      <w:r>
        <w:t>En este año 2015 se logró que el jardín piloto se convirtiera en CDI nido nutrir ampliando cobertura de 80 niños y niñas.</w:t>
      </w:r>
    </w:p>
    <w:p w:rsidR="00023C03" w:rsidRDefault="00023C03" w:rsidP="00023C03">
      <w:pPr>
        <w:spacing w:line="240" w:lineRule="auto"/>
        <w:jc w:val="both"/>
      </w:pPr>
    </w:p>
    <w:p w:rsidR="00982E3B" w:rsidRDefault="00023C03" w:rsidP="00023C03">
      <w:pPr>
        <w:spacing w:line="240" w:lineRule="auto"/>
        <w:jc w:val="both"/>
      </w:pPr>
      <w:r>
        <w:t>Generación de empleo. Con la creación del convenio y así lograr la atención integral de los niños y niñas beneficiarios del proyecto se ve la necesidad de contratar más profesionales y personal de apoyo con esto se genera más trabajo en el municipio ya que hay más recursos.</w:t>
      </w:r>
    </w:p>
    <w:p w:rsidR="00023C03" w:rsidRDefault="00023C03" w:rsidP="00023C03">
      <w:pPr>
        <w:spacing w:line="240" w:lineRule="auto"/>
        <w:jc w:val="both"/>
        <w:rPr>
          <w:b/>
        </w:rPr>
      </w:pPr>
      <w:r w:rsidRPr="00023C03">
        <w:rPr>
          <w:b/>
        </w:rPr>
        <w:t>APRENDIZAJES:</w:t>
      </w:r>
    </w:p>
    <w:p w:rsidR="00023C03" w:rsidRDefault="00023C03" w:rsidP="00023C03">
      <w:pPr>
        <w:spacing w:line="240" w:lineRule="auto"/>
        <w:jc w:val="both"/>
      </w:pPr>
      <w:r>
        <w:t xml:space="preserve"> El programa CDI nidos nutrir se inscribe en el marco de los propósitos de garantía y protección integral de los derechos de los niños, niñas y adolescentes, establecidos en la constitución Política de Colombia, la ley 1098 de 2006 de infancia y adolescencia, la Convención sobre los Derechos de los niños, niñas y adolescentes, estos últimos adoptados por el Estado Colombiano, además es un aporte para lograr las metas y objetivos de desarrollo del milenio, en este marco normativo la garantía de los derechos de la infancia y la adolescencia es una obligación del Estado, de la familia y la sociedad que tiene como finalidad lograr una vida digna y justa para la infancia y la adolescencia colombiana.</w:t>
      </w:r>
    </w:p>
    <w:p w:rsidR="00023C03" w:rsidRDefault="00023C03" w:rsidP="00023C03">
      <w:pPr>
        <w:spacing w:line="240" w:lineRule="auto"/>
        <w:jc w:val="both"/>
      </w:pPr>
      <w:r>
        <w:lastRenderedPageBreak/>
        <w:t>En este marco doctrinario el país ha pasado de una visión de los niños y las niñas como “menores” indefensos y sujetos de la caridad y de la buena voluntad de los adultos, hacia su reconocimiento como sujetos de derechos.</w:t>
      </w:r>
    </w:p>
    <w:p w:rsidR="00023C03" w:rsidRDefault="00023C03" w:rsidP="00023C03">
      <w:pPr>
        <w:spacing w:line="240" w:lineRule="auto"/>
        <w:jc w:val="both"/>
      </w:pPr>
      <w:r>
        <w:t>Implementar una política clara y efectiva para garantizar un proceso de estimulación temprana a todos los niños entre 0 y 5 años de edad. Está demostrado que aquellos niños que la reciben, incluso desde el vientre, obtienen una gran ventaja frente a los demás en su educación básica y media.</w:t>
      </w:r>
    </w:p>
    <w:p w:rsidR="00023C03" w:rsidRDefault="00023C03" w:rsidP="00023C03">
      <w:pPr>
        <w:spacing w:line="240" w:lineRule="auto"/>
        <w:jc w:val="both"/>
      </w:pPr>
      <w:r>
        <w:t xml:space="preserve">Estos primeros años de vida son cruciales para el futuro, ya que en ellos se sientan las bases para las capacidades y oportunidades que se tendrán a lo largo de la vida. </w:t>
      </w:r>
    </w:p>
    <w:p w:rsidR="00023C03" w:rsidRDefault="00023C03" w:rsidP="00023C03">
      <w:pPr>
        <w:spacing w:line="240" w:lineRule="auto"/>
        <w:jc w:val="both"/>
      </w:pPr>
      <w:r>
        <w:t>En este sentido la metodología a seguir  toma como punto de partida considerar al niño y la niña  como centro de la actividad, lo que significa que la estructuración de las actividades que se planifican, los métodos y procedimientos de trabajo, las relaciones que se establecen entre los profesionales como adultos significativos,  él niño y la niña  y sus compañeritos tienen que estar en correspondencia con las particularidades de su edad, con sus intereses y necesidades, y fundamentalmente tener un verdadero significado y sentido personal.</w:t>
      </w:r>
    </w:p>
    <w:p w:rsidR="00023C03" w:rsidRDefault="00023C03" w:rsidP="00023C03">
      <w:pPr>
        <w:spacing w:line="240" w:lineRule="auto"/>
        <w:jc w:val="both"/>
      </w:pPr>
      <w:r>
        <w:t>La afectividad en todos los momentos de la vida del niño y la niña, constituye la piedra angular de la atención en esta etapa del desarrollo. Sin amor y  sin afecto, no hay lugar para el desarrollo.  En este período de su vida el niño  -  la niña, aprende, se forma y desarrolla mediante las experiencias que vive, y las relaciones directas que establece con los objetos, con las personas. Es en contacto con su medio, con su tiempo y con su espacio  donde se da  un acercamiento a su realidad, siente el deseo de comprenderla, hacerla suya, amarla y  apropiarse de ella, entonces  se enriquece y se desarrolla.</w:t>
      </w:r>
    </w:p>
    <w:p w:rsidR="00023C03" w:rsidRDefault="00023C03" w:rsidP="00023C03">
      <w:pPr>
        <w:spacing w:line="240" w:lineRule="auto"/>
        <w:jc w:val="both"/>
      </w:pPr>
      <w:r>
        <w:t>Se tiene cuenta el juego como actividad vital del niño – niña, orientado a   ofrecerle un tiempo para hacer independientemente lo que sienta deseos de hacer, de permitirle el movimiento y el intercambio con los otros niños; el convertir el tiempo de las actividades programadas en un momento de alegría y satisfacción, como parte de sus requisitos pedagógicos; el cambiar inclusive lo programado en un momento específico para no interrumpir alguna actividad, todo ello es la expresión  de considerar el papel protagónico del niño en el proceso enseñanza- aprendizaje lo que significa que pueda participar activamente en la determinación de qué hacer y cómo hacerlo, es decir, que comprenda la finalidad de sus acciones.</w:t>
      </w:r>
    </w:p>
    <w:p w:rsidR="00023C03" w:rsidRDefault="00023C03" w:rsidP="00023C03">
      <w:pPr>
        <w:spacing w:line="240" w:lineRule="auto"/>
        <w:jc w:val="both"/>
      </w:pPr>
      <w:r>
        <w:t>La vinculación, Familia – CDI Nido Nutrir, presupone una doble proyección: el Nido proyectándose hacia la familia para conocer sus posibilidades y necesidades, las condiciones reales de la vida del niño y orientar a los padres, madres y/o responsables para lograr en el hogar la continuidad de la tarea educativa. La familia, proyectándose hacia el nido para ofrecer información, apoyo, sus posibilidades como potencial educativo. Se trata de una vinculación que se plasme en un plan de intervención común, con objetivos y estrategias similares; en una conjugación de intereses y acciones.</w:t>
      </w:r>
    </w:p>
    <w:p w:rsidR="00023C03" w:rsidRDefault="00023C03" w:rsidP="00023C03">
      <w:pPr>
        <w:spacing w:line="240" w:lineRule="auto"/>
        <w:jc w:val="both"/>
      </w:pPr>
      <w:r>
        <w:t xml:space="preserve">La formación psicosocial de los padres es una inevitable tarea del CDI Nido Nutrir, por cuanto resulta  esta estrategia un medio esencial que garantiza la estrecha comunicación entre madres,  </w:t>
      </w:r>
      <w:r>
        <w:lastRenderedPageBreak/>
        <w:t>padres y/o responsables con los profesionales como vía para lograr un desarrollo pleno y una mayor satisfacción y alegría en los niños.</w:t>
      </w:r>
    </w:p>
    <w:p w:rsidR="00023C03" w:rsidRDefault="00023C03" w:rsidP="00023C03">
      <w:pPr>
        <w:spacing w:line="240" w:lineRule="auto"/>
        <w:jc w:val="both"/>
      </w:pPr>
      <w:r>
        <w:t>En este sentido se considera como alternativa de solución la implementación de los Centros de Desarrollo Infantil Nido Nutrir en el Municipio de Pasto, debido a que esta alternativa de solución previene e interviene los efectos directos que genera la desnutrición y el desequilibrio socio familiar como sistema inmune deficiente en niños y niñas de 0 a 5 años, comportamientos agresivos, dificultades de aprendizaje, altos índices de morbilidad, alteración del desarrollo integral, baja autoestima, problemas de conducta y mortalidad infantil y disfuncionalidades familiares como violencia de pareja, maltrato infantil en sus diferentes tipologías (física, sexual, negligencia, abandono psicológica), perdida de roles,  inadecuada comunicación, pérdida de autoridad entre otras por lo tanto es supremamente importante la intervención sistémica del desarrollo humano, cristalizado mediante la dinamización de la intervención interdisciplinaria y su articulación mediante los componentes del actuar profesional, lo cual logra la solución a las dificultades que ataña a la primera infancia.</w:t>
      </w:r>
    </w:p>
    <w:p w:rsidR="00023C03" w:rsidRDefault="00023C03" w:rsidP="00023C03">
      <w:pPr>
        <w:spacing w:line="240" w:lineRule="auto"/>
        <w:jc w:val="both"/>
      </w:pPr>
      <w:r w:rsidRPr="00023C03">
        <w:rPr>
          <w:b/>
        </w:rPr>
        <w:t>HERRAMIENTAS:</w:t>
      </w:r>
      <w:r>
        <w:t xml:space="preserve"> </w:t>
      </w:r>
    </w:p>
    <w:p w:rsidR="00023C03" w:rsidRDefault="00023C03" w:rsidP="00023C03">
      <w:pPr>
        <w:spacing w:line="240" w:lineRule="auto"/>
        <w:jc w:val="both"/>
      </w:pPr>
      <w:r>
        <w:t>Los Centros de Recuperación Nutricional denominados Nidos Nutrir, son una modalidad semi – internado que permiten atender a niños y niñas en su primera infancia, en donde se minimiza la vulneración de derechos a través de la recuperación nutricional y la habilitación de la familia en el desarrollo humano del niño.</w:t>
      </w:r>
    </w:p>
    <w:p w:rsidR="00023C03" w:rsidRDefault="00023C03" w:rsidP="00023C03">
      <w:pPr>
        <w:spacing w:line="240" w:lineRule="auto"/>
        <w:jc w:val="both"/>
      </w:pPr>
      <w:r>
        <w:t>Los Nidos Nutrir se ha convertido en una experiencia exitosa, por cuanto su analogía es objetivamente verificable, dado que los nidos se han convertido en lugar que ofrecen factores de protección a través de la atención integral que brindan las Docentes, Psicólogos, Trabajadora Social, Nutricionista, Auxiliar de enfermería, Técnico en alimentos, Administrador de empresas involucrados en el desarrollo de los componentes pedagógico, nutricional, familiar, comunitario y administrativo.</w:t>
      </w:r>
    </w:p>
    <w:p w:rsidR="00023C03" w:rsidRDefault="00023C03" w:rsidP="00023C03">
      <w:pPr>
        <w:spacing w:line="240" w:lineRule="auto"/>
        <w:jc w:val="both"/>
      </w:pPr>
      <w:r>
        <w:t>Además de acuerdo a la pertinencia del contexto se desarrolla el modelo de “detección, prevención y tratamiento de la Violencia Intrafamiliar” en su componente de Educación, con el fin de promocionar comportamientos pro sociales, disminuir comportamientos riesgos y desarrollar una sexualidad sana en niños y niñas de  tres a cinco años y sus familias y se ha implementado la estrategia “APÓYAME EN MI DESARROLLO”,  el cual se focaliza en fortalecer cada una de las áreas del desarrollo evolutivo del niño de uno a cinco años de acuerdo a la  edad  de los niños  y niñas, discriminándola de la siguiente manera, NIDO “A” que corresponde  a la edad de 1 a 2 años, NIDO “B”  corresponde a la edad de 2 a 3 años, y NIDO “C”, corresponde a la edad de 3 a 5 años.</w:t>
      </w:r>
    </w:p>
    <w:p w:rsidR="00023C03" w:rsidRDefault="00023C03" w:rsidP="00023C03">
      <w:pPr>
        <w:spacing w:line="240" w:lineRule="auto"/>
        <w:jc w:val="both"/>
      </w:pPr>
      <w:r>
        <w:t>En este sentido la alternativa es personalizada, pertinente y garante de atender de manera integral el desarrollo integral del niño, así lo muestran las historias de vida de niños que se han vinculado al sistema educativo y han incorporado para toda su vida elementos físicos, psicológicos y comporta mentales que solo se logran desarrollar y garantizar durante la primera infancia.</w:t>
      </w:r>
    </w:p>
    <w:p w:rsidR="00023C03" w:rsidRDefault="00023C03" w:rsidP="00023C03">
      <w:pPr>
        <w:spacing w:line="240" w:lineRule="auto"/>
        <w:jc w:val="both"/>
      </w:pPr>
      <w:r>
        <w:t>Teniendo en cuenta que después de firmar el convenio de cooperación interinstitucional entre el ICBF y la alcaldía Municipal los llamados anteriormente Nidos Nutrir se convierten en Centros de Desarrollo Infantil –CDI.</w:t>
      </w:r>
    </w:p>
    <w:p w:rsidR="00023C03" w:rsidRDefault="00023C03" w:rsidP="00023C03">
      <w:pPr>
        <w:spacing w:line="240" w:lineRule="auto"/>
        <w:jc w:val="both"/>
      </w:pPr>
      <w:r>
        <w:lastRenderedPageBreak/>
        <w:t>Los Centros de Desarrollo Infantil, se conciben como instituciones dirigidas a atender y promover un desarrollo integral a través de la educación inicial, con el apoyo de profesionales idóneos en temas relacionados con los diferentes componentes de la atención integral y cuidado, y de la generación de oportunidades de expresión y comunicación con pares y adultos, bajo las cuales se potencia el desarrollo en la primera infancia.</w:t>
      </w:r>
    </w:p>
    <w:p w:rsidR="00023C03" w:rsidRDefault="00023C03" w:rsidP="00023C03">
      <w:pPr>
        <w:spacing w:line="240" w:lineRule="auto"/>
        <w:jc w:val="both"/>
      </w:pPr>
      <w:r>
        <w:t>Para la organización de las modalidades de atención en el marco de la estrategia, que la atención debe ser diferencial para los niños y niñas según su edad. Preferiblemente los niños y niñas mayores de dos años deben asistir a los Centros de Desarrollo Infantil y los menores de dos años, permanecer bajo el cuidado y crianza de su familia o red de apoyo de la misma. Aun así, las condiciones de las familias no permiten que esto se constituye en una postura inflexible, muchos bebes deben asistir a Centros de Desarrollo Infantil porque las condiciones familiares así lo requieren.</w:t>
      </w:r>
    </w:p>
    <w:p w:rsidR="00607C1C" w:rsidRDefault="00607C1C" w:rsidP="00023C03">
      <w:pPr>
        <w:spacing w:line="240" w:lineRule="auto"/>
        <w:jc w:val="both"/>
      </w:pPr>
    </w:p>
    <w:p w:rsidR="00607C1C" w:rsidRPr="00000450" w:rsidRDefault="00A42797" w:rsidP="00023C03">
      <w:pPr>
        <w:spacing w:line="240" w:lineRule="auto"/>
        <w:jc w:val="both"/>
      </w:pPr>
      <w:r>
        <w:rPr>
          <w:b/>
        </w:rPr>
        <w:t xml:space="preserve">2) </w:t>
      </w:r>
      <w:r w:rsidR="00000450" w:rsidRPr="00000450">
        <w:rPr>
          <w:b/>
        </w:rPr>
        <w:t xml:space="preserve">NOMBRE: </w:t>
      </w:r>
      <w:r w:rsidR="00000450" w:rsidRPr="00000450">
        <w:t xml:space="preserve">GESTANDO CIUDADANÍA </w:t>
      </w:r>
    </w:p>
    <w:p w:rsidR="00000450" w:rsidRDefault="00000450" w:rsidP="00023C03">
      <w:pPr>
        <w:spacing w:line="240" w:lineRule="auto"/>
        <w:jc w:val="both"/>
        <w:rPr>
          <w:b/>
        </w:rPr>
      </w:pPr>
      <w:r>
        <w:rPr>
          <w:b/>
        </w:rPr>
        <w:t xml:space="preserve">CATEGORÍA DE DERECHOS: </w:t>
      </w:r>
      <w:r w:rsidRPr="00000450">
        <w:t>CIUDADANÍA</w:t>
      </w:r>
    </w:p>
    <w:p w:rsidR="00000450" w:rsidRDefault="00000450" w:rsidP="00023C03">
      <w:pPr>
        <w:spacing w:line="240" w:lineRule="auto"/>
        <w:jc w:val="both"/>
      </w:pPr>
      <w:r>
        <w:rPr>
          <w:b/>
        </w:rPr>
        <w:t xml:space="preserve">OBJETIVOS: </w:t>
      </w:r>
      <w:r w:rsidRPr="00000450">
        <w:t xml:space="preserve">Inclusión de niños/as y jóvenes a partir de los 14 años en procesos de participación ciudadana como juntas de acción comunal y veedurías en </w:t>
      </w:r>
      <w:r>
        <w:t xml:space="preserve">sus establecimientos educativos </w:t>
      </w:r>
      <w:r w:rsidRPr="00000450">
        <w:t>buscando que se oxigenen las juntas de acción comunal, veeredales o barriales</w:t>
      </w:r>
      <w:r>
        <w:t>.</w:t>
      </w:r>
    </w:p>
    <w:p w:rsidR="00000450" w:rsidRDefault="00000450" w:rsidP="00023C03">
      <w:pPr>
        <w:spacing w:line="240" w:lineRule="auto"/>
        <w:jc w:val="both"/>
      </w:pPr>
      <w:r w:rsidRPr="00000450">
        <w:t>Buscar el aporte de los niños/as y jóvenes a las instituciones educativas con ideas críticas, novedosas y propositivas</w:t>
      </w:r>
      <w:r>
        <w:t>.</w:t>
      </w:r>
    </w:p>
    <w:p w:rsidR="00000450" w:rsidRDefault="00000450" w:rsidP="00023C03">
      <w:pPr>
        <w:spacing w:line="240" w:lineRule="auto"/>
        <w:jc w:val="both"/>
      </w:pPr>
      <w:r w:rsidRPr="00000450">
        <w:t>Lograr que los participantes elaboren proyectos para su IEM mediante el acompañamiento de la Secretaria de desarrollo comunitario y que hagan el respectivo control y vigilancia de los recursos públicos que son asignados a las IEM al salir las licitaciones del proyecto que presenta la JAC estudiantil o sobre los recursos públicos designados ya para las IEM</w:t>
      </w:r>
      <w:r>
        <w:t>.</w:t>
      </w:r>
    </w:p>
    <w:p w:rsidR="00000450" w:rsidRDefault="00000450" w:rsidP="00023C03">
      <w:pPr>
        <w:spacing w:line="240" w:lineRule="auto"/>
        <w:jc w:val="both"/>
      </w:pPr>
      <w:r w:rsidRPr="00000450">
        <w:rPr>
          <w:b/>
        </w:rPr>
        <w:t>COBERTURA PROGRAMADA Y LOGRADA</w:t>
      </w:r>
      <w:r>
        <w:t>: 1232</w:t>
      </w:r>
    </w:p>
    <w:p w:rsidR="00000450" w:rsidRPr="00000450" w:rsidRDefault="00000450" w:rsidP="00023C03">
      <w:pPr>
        <w:spacing w:line="240" w:lineRule="auto"/>
        <w:jc w:val="both"/>
      </w:pPr>
      <w:r w:rsidRPr="00000450">
        <w:rPr>
          <w:b/>
        </w:rPr>
        <w:t xml:space="preserve">INVERSIÓN PROGRAMADA Y EJECUTADA: </w:t>
      </w:r>
      <w:r w:rsidRPr="00000450">
        <w:t>80.528.</w:t>
      </w:r>
    </w:p>
    <w:p w:rsidR="00000450" w:rsidRDefault="00000450" w:rsidP="00023C03">
      <w:pPr>
        <w:spacing w:line="240" w:lineRule="auto"/>
        <w:jc w:val="both"/>
      </w:pPr>
      <w:r w:rsidRPr="00000450">
        <w:rPr>
          <w:b/>
        </w:rPr>
        <w:t>DURACIÓN MESES</w:t>
      </w:r>
      <w:r>
        <w:t>: 24</w:t>
      </w:r>
    </w:p>
    <w:p w:rsidR="00000450" w:rsidRDefault="00000450" w:rsidP="00000450">
      <w:pPr>
        <w:spacing w:line="240" w:lineRule="auto"/>
        <w:jc w:val="both"/>
      </w:pPr>
      <w:r w:rsidRPr="00000450">
        <w:rPr>
          <w:b/>
        </w:rPr>
        <w:t>DESCRIPCIÓN DEL PROCESO:</w:t>
      </w:r>
      <w:r>
        <w:t xml:space="preserve"> Procesos de capacitación a los docentes de las instituciones educativas: se realiza la socialización del proyecto y la respectiva capacitación para involucrar a los docentes mediante talleres sobre la junta de acción comunal y la veeduría ciudadana.</w:t>
      </w:r>
    </w:p>
    <w:p w:rsidR="00000450" w:rsidRDefault="00000450" w:rsidP="00000450">
      <w:pPr>
        <w:spacing w:line="240" w:lineRule="auto"/>
        <w:jc w:val="both"/>
      </w:pPr>
      <w:r>
        <w:t>2) Procesos de sensibilización a estudiantes: se realizan talleres lúdicos pedagógicos- por aula de clase cada uno en un promedio de 2 horas a la semana.</w:t>
      </w:r>
    </w:p>
    <w:p w:rsidR="00000450" w:rsidRDefault="00000450" w:rsidP="00000450">
      <w:pPr>
        <w:spacing w:line="240" w:lineRule="auto"/>
        <w:jc w:val="both"/>
      </w:pPr>
      <w:r>
        <w:t>3) Elección de una junta de acción comunal y un comité veedor: se realizara mediante el festival de la democracia en cada institución educativa donde los participantes del proyecto elegirán a los directivos de la JAC con sus respectivas comisiones de trabajo y un comité veedor.</w:t>
      </w:r>
    </w:p>
    <w:p w:rsidR="00000450" w:rsidRDefault="00000450" w:rsidP="00000450">
      <w:pPr>
        <w:spacing w:line="240" w:lineRule="auto"/>
        <w:jc w:val="both"/>
      </w:pPr>
      <w:r>
        <w:lastRenderedPageBreak/>
        <w:t>4) Desarrollo de las comisiones de trabajo: se realiza procesos de diagnóstico, planeación y gestión según las dificultades y fortalezas encontradas por institución educativas y se subirán los resultados y actividades a las redes sociales para incentivar a los jóvenes a participar activamente en el desarrollo del mismo.</w:t>
      </w:r>
    </w:p>
    <w:p w:rsidR="00000450" w:rsidRDefault="00000450" w:rsidP="00000450">
      <w:pPr>
        <w:spacing w:line="240" w:lineRule="auto"/>
        <w:jc w:val="both"/>
      </w:pPr>
      <w:r>
        <w:t>5) Reconocimiento a líderes y veedores: se realiza convocatoria a los líderes y veedores mediante llamadas telefónicas durante el primer mes de ejecución del proyecto con el fin de comprometerlos a asistir a la socialización del proyecto y posteriormente a los talleres de sistematización de sus experiencias.</w:t>
      </w:r>
    </w:p>
    <w:p w:rsidR="00000450" w:rsidRDefault="00000450" w:rsidP="00000450">
      <w:pPr>
        <w:spacing w:line="240" w:lineRule="auto"/>
        <w:jc w:val="both"/>
      </w:pPr>
      <w:r>
        <w:t>6) Inclusión de niños, niñas y jóvenes a las Juntas de acción comunal: se realizara seguimiento semestralmente ante la Secretaria de Desarrollo Comunitario del Municipio para verificar las inscripciones de los jóvenes a los comités de trabajo de las juntas de acción comunal y comités veedores.</w:t>
      </w:r>
    </w:p>
    <w:p w:rsidR="00000450" w:rsidRDefault="00000450" w:rsidP="00000450">
      <w:pPr>
        <w:spacing w:line="240" w:lineRule="auto"/>
        <w:jc w:val="both"/>
      </w:pPr>
      <w:r>
        <w:t xml:space="preserve">7) Foros Institucionales: se realizan convocatoria a los estudiantes participantes por institución para participar en el foro de experiencias de la juntas de acción comunal y comités veedores juveniles “Renovación participativa”. </w:t>
      </w:r>
    </w:p>
    <w:p w:rsidR="00000450" w:rsidRDefault="00000450" w:rsidP="00000450">
      <w:pPr>
        <w:spacing w:line="240" w:lineRule="auto"/>
        <w:jc w:val="both"/>
      </w:pPr>
      <w:r w:rsidRPr="00000450">
        <w:rPr>
          <w:b/>
        </w:rPr>
        <w:t>DESCRIPCIÓN DE LOGROS:</w:t>
      </w:r>
      <w:r>
        <w:t xml:space="preserve"> </w:t>
      </w:r>
      <w:r w:rsidRPr="00000450">
        <w:t>Escuela “Gestando ciudadanía” para niños/as y jóvenes escolarizados creada e implementada en 11 Instituciones Educativas Municipales</w:t>
      </w:r>
      <w:r>
        <w:t>.</w:t>
      </w:r>
    </w:p>
    <w:p w:rsidR="00000450" w:rsidRDefault="00000450" w:rsidP="00000450">
      <w:pPr>
        <w:spacing w:line="240" w:lineRule="auto"/>
        <w:jc w:val="both"/>
      </w:pPr>
      <w:r w:rsidRPr="00000450">
        <w:rPr>
          <w:b/>
        </w:rPr>
        <w:t>APRENDIZAJES:</w:t>
      </w:r>
      <w:r>
        <w:t xml:space="preserve"> Juntas de acción comunal y veedurías estudiantiles conformadas en instituciones educativas en los corregimientos y comunas; en pro del fortalecimiento institucional y comunitario.</w:t>
      </w:r>
    </w:p>
    <w:p w:rsidR="00000450" w:rsidRDefault="00000450" w:rsidP="00000450">
      <w:pPr>
        <w:spacing w:line="240" w:lineRule="auto"/>
        <w:jc w:val="both"/>
      </w:pPr>
      <w:r>
        <w:t>Estrategia modelo en el municipio en cuanto a participación comunitaria y formación de nuevos líderes y lideresas juveniles capacitados y sensibilizados en incrementar la responsabilidad en las decisiones comunitarias fundamentadas en los relevos generacionales de liderazgo; dichos relevos permiten la oxigenación de las organizaciones y el compromiso activo de nuevas generaciones en la transformación de la ciudad.</w:t>
      </w:r>
    </w:p>
    <w:p w:rsidR="00000450" w:rsidRDefault="00813132" w:rsidP="00813132">
      <w:pPr>
        <w:spacing w:line="240" w:lineRule="auto"/>
        <w:jc w:val="both"/>
      </w:pPr>
      <w:r w:rsidRPr="00813132">
        <w:rPr>
          <w:b/>
        </w:rPr>
        <w:t>HERRAMIENTAS:</w:t>
      </w:r>
      <w:r w:rsidRPr="00813132">
        <w:t xml:space="preserve"> </w:t>
      </w:r>
      <w:r>
        <w:t>C</w:t>
      </w:r>
      <w:r w:rsidRPr="00813132">
        <w:t xml:space="preserve">artilla de gestando ciudadanía, </w:t>
      </w:r>
      <w:r>
        <w:t>las presentaciones en Power P</w:t>
      </w:r>
      <w:r w:rsidRPr="00813132">
        <w:t>oint de las temáticas, recurso humano</w:t>
      </w:r>
      <w:r>
        <w:t xml:space="preserve">. </w:t>
      </w:r>
    </w:p>
    <w:p w:rsidR="00813132" w:rsidRPr="00813132" w:rsidRDefault="00813132" w:rsidP="00813132">
      <w:pPr>
        <w:spacing w:line="240" w:lineRule="auto"/>
        <w:jc w:val="both"/>
        <w:rPr>
          <w:b/>
        </w:rPr>
      </w:pPr>
    </w:p>
    <w:p w:rsidR="009E7E9E" w:rsidRPr="00000450" w:rsidRDefault="00A42797" w:rsidP="009E7E9E">
      <w:pPr>
        <w:spacing w:line="240" w:lineRule="auto"/>
        <w:jc w:val="both"/>
      </w:pPr>
      <w:r>
        <w:rPr>
          <w:b/>
        </w:rPr>
        <w:t xml:space="preserve">3) </w:t>
      </w:r>
      <w:r w:rsidR="009E7E9E" w:rsidRPr="00000450">
        <w:rPr>
          <w:b/>
        </w:rPr>
        <w:t xml:space="preserve">NOMBRE: </w:t>
      </w:r>
      <w:r w:rsidR="009E7E9E" w:rsidRPr="009E7E9E">
        <w:t>PROGRAMA DE MADRES GESTANTES Y LACTANTES</w:t>
      </w:r>
    </w:p>
    <w:p w:rsidR="009E7E9E" w:rsidRDefault="009E7E9E" w:rsidP="009E7E9E">
      <w:pPr>
        <w:spacing w:line="240" w:lineRule="auto"/>
        <w:jc w:val="both"/>
        <w:rPr>
          <w:b/>
        </w:rPr>
      </w:pPr>
      <w:r>
        <w:rPr>
          <w:b/>
        </w:rPr>
        <w:t xml:space="preserve">CATEGORÍA DE DERECHOS: </w:t>
      </w:r>
      <w:r>
        <w:t>P</w:t>
      </w:r>
      <w:r w:rsidRPr="009E7E9E">
        <w:t xml:space="preserve">rotección </w:t>
      </w:r>
    </w:p>
    <w:p w:rsidR="009E7E9E" w:rsidRDefault="009E7E9E" w:rsidP="009E7E9E">
      <w:pPr>
        <w:spacing w:line="240" w:lineRule="auto"/>
        <w:jc w:val="both"/>
      </w:pPr>
      <w:r>
        <w:rPr>
          <w:b/>
        </w:rPr>
        <w:t xml:space="preserve">OBJETIVOS: </w:t>
      </w:r>
      <w:r w:rsidRPr="009E7E9E">
        <w:t>Optimizar el proyecto de vida las adolescentes madres gestantes y lactantes en condición de vulnerabilidad socio económico y afectivo, mediante la elaboración e implementación de estrategias de apoyo y acompañamiento interdisciplinario e institucional en el mejoramiento de calidad de vida, a través del programa Nutrición y Afecto de la Alcaldía Municipal de Pasto</w:t>
      </w:r>
      <w:r w:rsidRPr="009E7E9E">
        <w:rPr>
          <w:b/>
        </w:rPr>
        <w:t>.</w:t>
      </w:r>
    </w:p>
    <w:p w:rsidR="009E7E9E" w:rsidRDefault="009E7E9E" w:rsidP="009E7E9E">
      <w:pPr>
        <w:spacing w:line="240" w:lineRule="auto"/>
        <w:jc w:val="both"/>
        <w:rPr>
          <w:b/>
        </w:rPr>
      </w:pPr>
      <w:r w:rsidRPr="00000450">
        <w:rPr>
          <w:b/>
        </w:rPr>
        <w:t>COBERTURA PROGRAMADA</w:t>
      </w:r>
      <w:r>
        <w:rPr>
          <w:b/>
        </w:rPr>
        <w:t xml:space="preserve">: </w:t>
      </w:r>
      <w:r w:rsidRPr="009E7E9E">
        <w:t xml:space="preserve">200 </w:t>
      </w:r>
    </w:p>
    <w:p w:rsidR="009E7E9E" w:rsidRDefault="009E7E9E" w:rsidP="009E7E9E">
      <w:pPr>
        <w:spacing w:line="240" w:lineRule="auto"/>
        <w:jc w:val="both"/>
      </w:pPr>
      <w:r>
        <w:rPr>
          <w:b/>
        </w:rPr>
        <w:lastRenderedPageBreak/>
        <w:t xml:space="preserve">COBERTURA </w:t>
      </w:r>
      <w:r w:rsidRPr="00000450">
        <w:rPr>
          <w:b/>
        </w:rPr>
        <w:t>LOGRADA</w:t>
      </w:r>
      <w:r>
        <w:t>: 290</w:t>
      </w:r>
    </w:p>
    <w:p w:rsidR="009E7E9E" w:rsidRDefault="009E7E9E" w:rsidP="009E7E9E">
      <w:pPr>
        <w:spacing w:line="240" w:lineRule="auto"/>
        <w:jc w:val="both"/>
        <w:rPr>
          <w:b/>
        </w:rPr>
      </w:pPr>
      <w:r w:rsidRPr="00000450">
        <w:rPr>
          <w:b/>
        </w:rPr>
        <w:t>INVERSI</w:t>
      </w:r>
      <w:r>
        <w:rPr>
          <w:b/>
        </w:rPr>
        <w:t xml:space="preserve">ÓN PROGRAMADA: </w:t>
      </w:r>
      <w:r w:rsidRPr="009E7E9E">
        <w:t>240.000</w:t>
      </w:r>
    </w:p>
    <w:p w:rsidR="009E7E9E" w:rsidRPr="00000450" w:rsidRDefault="009E7E9E" w:rsidP="009E7E9E">
      <w:pPr>
        <w:spacing w:line="240" w:lineRule="auto"/>
        <w:jc w:val="both"/>
      </w:pPr>
      <w:r>
        <w:rPr>
          <w:b/>
        </w:rPr>
        <w:t>INVERSIÓN</w:t>
      </w:r>
      <w:r w:rsidRPr="00000450">
        <w:rPr>
          <w:b/>
        </w:rPr>
        <w:t xml:space="preserve"> EJECUTADA: </w:t>
      </w:r>
      <w:r w:rsidRPr="009E7E9E">
        <w:t>645</w:t>
      </w:r>
      <w:r>
        <w:t>.</w:t>
      </w:r>
      <w:r w:rsidRPr="009E7E9E">
        <w:t>647</w:t>
      </w:r>
    </w:p>
    <w:p w:rsidR="009E7E9E" w:rsidRDefault="009E7E9E" w:rsidP="009E7E9E">
      <w:pPr>
        <w:spacing w:line="240" w:lineRule="auto"/>
        <w:jc w:val="both"/>
      </w:pPr>
      <w:r w:rsidRPr="00000450">
        <w:rPr>
          <w:b/>
        </w:rPr>
        <w:t>DURACIÓN MESES</w:t>
      </w:r>
      <w:r>
        <w:t>: 39</w:t>
      </w:r>
    </w:p>
    <w:p w:rsidR="009E7E9E" w:rsidRDefault="009E7E9E" w:rsidP="009E7E9E">
      <w:pPr>
        <w:spacing w:line="240" w:lineRule="auto"/>
        <w:jc w:val="both"/>
      </w:pPr>
      <w:r w:rsidRPr="00000450">
        <w:rPr>
          <w:b/>
        </w:rPr>
        <w:t>DESCRIPCIÓN DEL PROCESO:</w:t>
      </w:r>
      <w:r>
        <w:t xml:space="preserve"> En octubre de 2012 nace el proyecto “Abrazo de Amor”. La base de datos fue construida con las diferentes dependencias de la administración municipal que trabajan con población en vulnerabilidad económica y social, haciendo énfasis en los puestos de salud. En principio fueron identificadas 100 beneficiarias </w:t>
      </w:r>
      <w:r w:rsidR="00A42797">
        <w:t>a las</w:t>
      </w:r>
      <w:r>
        <w:t xml:space="preserve"> cuales se les realizó un estudio preliminar que incluyó una visita domiciliaria para conocer las condiciones reales del núcleo familiar.</w:t>
      </w:r>
    </w:p>
    <w:p w:rsidR="009E7E9E" w:rsidRDefault="009E7E9E" w:rsidP="009E7E9E">
      <w:pPr>
        <w:spacing w:line="240" w:lineRule="auto"/>
        <w:jc w:val="both"/>
      </w:pPr>
      <w:r>
        <w:t xml:space="preserve">Requisitos. </w:t>
      </w:r>
    </w:p>
    <w:p w:rsidR="009E7E9E" w:rsidRDefault="009E7E9E" w:rsidP="009E7E9E">
      <w:pPr>
        <w:spacing w:line="240" w:lineRule="auto"/>
        <w:jc w:val="both"/>
      </w:pPr>
      <w:r>
        <w:t>1.</w:t>
      </w:r>
      <w:r>
        <w:tab/>
        <w:t>La adolescente debe estar entre 13 y 18 años.</w:t>
      </w:r>
    </w:p>
    <w:p w:rsidR="009E7E9E" w:rsidRDefault="009E7E9E" w:rsidP="009E7E9E">
      <w:pPr>
        <w:spacing w:line="240" w:lineRule="auto"/>
        <w:jc w:val="both"/>
      </w:pPr>
      <w:r>
        <w:t>2.</w:t>
      </w:r>
      <w:r>
        <w:tab/>
        <w:t>La gestación debe estar entre el 1er y 6 meses.</w:t>
      </w:r>
    </w:p>
    <w:p w:rsidR="009E7E9E" w:rsidRDefault="009E7E9E" w:rsidP="009E7E9E">
      <w:pPr>
        <w:spacing w:line="240" w:lineRule="auto"/>
        <w:jc w:val="both"/>
      </w:pPr>
      <w:r>
        <w:t>3.</w:t>
      </w:r>
      <w:r>
        <w:tab/>
        <w:t>Pertenecer a población con vulnerabilidad socioeconómica y psicosocial</w:t>
      </w:r>
    </w:p>
    <w:p w:rsidR="009E7E9E" w:rsidRDefault="009E7E9E" w:rsidP="009E7E9E">
      <w:pPr>
        <w:spacing w:line="240" w:lineRule="auto"/>
        <w:jc w:val="both"/>
      </w:pPr>
      <w:r>
        <w:t>4.</w:t>
      </w:r>
      <w:r>
        <w:tab/>
        <w:t>Pertenecer a población Sisben con puntaje menor a 30, ser indígena y/o ser víctima del conflicto armado</w:t>
      </w:r>
    </w:p>
    <w:p w:rsidR="009E7E9E" w:rsidRDefault="009E7E9E" w:rsidP="009E7E9E">
      <w:pPr>
        <w:spacing w:line="240" w:lineRule="auto"/>
        <w:jc w:val="both"/>
      </w:pPr>
      <w:r>
        <w:t>Ejes de desarrollo</w:t>
      </w:r>
    </w:p>
    <w:p w:rsidR="009E7E9E" w:rsidRDefault="009E7E9E" w:rsidP="009E7E9E">
      <w:pPr>
        <w:spacing w:line="240" w:lineRule="auto"/>
        <w:jc w:val="both"/>
      </w:pPr>
      <w:r>
        <w:t>Salud: Esta componente apunta a generar una adecuada articulación con las diferentes entidades públicas y privadas con el fin de mejorar los servicios de salud para la madre y el bebé antes y después del parto. En este componente contamos con el apoyo de la Secretaria de Salud Municipal y la ESE Pasto Salud, y ante la necesidad de prevenir los embarazos a temprana edad y evitar un segundo embarazo nuestras beneficiarias tienen el acompañamiento de Profamilia.</w:t>
      </w:r>
    </w:p>
    <w:p w:rsidR="009E7E9E" w:rsidRDefault="009E7E9E" w:rsidP="009E7E9E">
      <w:pPr>
        <w:spacing w:line="240" w:lineRule="auto"/>
        <w:jc w:val="both"/>
      </w:pPr>
      <w:r>
        <w:t>Educación: El programa también tiene como objetivo disminuir la deserción escolar contamos con el acompañamiento de la Secretaria de Educación, para un retorno efectivo al aula</w:t>
      </w:r>
      <w:r w:rsidR="00B21121">
        <w:t>.</w:t>
      </w:r>
    </w:p>
    <w:p w:rsidR="009E7E9E" w:rsidRDefault="009E7E9E" w:rsidP="009E7E9E">
      <w:pPr>
        <w:spacing w:line="240" w:lineRule="auto"/>
        <w:jc w:val="both"/>
      </w:pPr>
      <w:r>
        <w:t>Formación para el trabajo: Buscamos brindarle a las adolescentes herramientas para la auto sostenibilidad y la manutención de su hijo o hija</w:t>
      </w:r>
    </w:p>
    <w:p w:rsidR="009E7E9E" w:rsidRDefault="009E7E9E" w:rsidP="009E7E9E">
      <w:pPr>
        <w:spacing w:line="240" w:lineRule="auto"/>
        <w:jc w:val="both"/>
      </w:pPr>
      <w:r>
        <w:t>SENA: Capacitar a un grupo de 25 beneficiarias del programa de madres Gestantes y Lactantes en Joyería, formar para el trabajo y aumentar la autoestima a través de capacitaciones integrales.</w:t>
      </w:r>
    </w:p>
    <w:p w:rsidR="009E7E9E" w:rsidRDefault="009E7E9E" w:rsidP="009E7E9E">
      <w:pPr>
        <w:spacing w:line="240" w:lineRule="auto"/>
        <w:jc w:val="both"/>
      </w:pPr>
      <w:r>
        <w:t>PARQUE SOFT: un grupo de 25 madres gestantes y/o lactantes son las beneficiarias del programa POETA “oportunidades para el empleo a través de la tecnología de las Américas y “Youth Spark”</w:t>
      </w:r>
    </w:p>
    <w:p w:rsidR="009E7E9E" w:rsidRDefault="009E7E9E" w:rsidP="009E7E9E">
      <w:pPr>
        <w:spacing w:line="240" w:lineRule="auto"/>
        <w:jc w:val="both"/>
      </w:pPr>
      <w:r>
        <w:t xml:space="preserve">Nutrición. Este eje es liderado por Fundación Éxito quien mensualmente hace la donación de 240 mercados, aportando el 80% de los requerimientos nutricionales para una mujer en estado de gestación. </w:t>
      </w:r>
    </w:p>
    <w:p w:rsidR="009E7E9E" w:rsidRDefault="009E7E9E" w:rsidP="009E7E9E">
      <w:pPr>
        <w:spacing w:line="240" w:lineRule="auto"/>
        <w:jc w:val="both"/>
      </w:pPr>
      <w:r>
        <w:t xml:space="preserve">Atención psicosocial: Las gestantes y/o lactantes tienen un espacio de terapias individuales, grupales y familiares, dependiendo del tipo de problemas y dificultades que tengan. Así mismo, en </w:t>
      </w:r>
      <w:r>
        <w:lastRenderedPageBreak/>
        <w:t>el marco de la educación no formal, nuestras beneficiarias reciben talleres y cursos para la reconstrucción de su proyecto de vida a partir de la maternidad y el fortalecimiento de su rol como mujer y madre en su comunidad</w:t>
      </w:r>
    </w:p>
    <w:p w:rsidR="009E7E9E" w:rsidRDefault="009E7E9E" w:rsidP="009E7E9E">
      <w:pPr>
        <w:spacing w:line="240" w:lineRule="auto"/>
        <w:jc w:val="both"/>
      </w:pPr>
      <w:r>
        <w:t xml:space="preserve">Fundación Quiero: Con el apoyo de Unicef el objetivo fue empoderar a estas adolescentes a través del desarrollo de talleres enfocados </w:t>
      </w:r>
      <w:r w:rsidR="00B21121">
        <w:t>a proyecto</w:t>
      </w:r>
      <w:r>
        <w:t xml:space="preserve"> de vida, autoestima y desarrollo de sueños.</w:t>
      </w:r>
    </w:p>
    <w:p w:rsidR="009E7E9E" w:rsidRDefault="009E7E9E" w:rsidP="009E7E9E">
      <w:pPr>
        <w:spacing w:line="240" w:lineRule="auto"/>
        <w:jc w:val="both"/>
      </w:pPr>
      <w:r>
        <w:t>“Ciudades Prósperas de los Niños, Niñas y Adolescentes”: Con el propósito de garantizar el derecho a la participación y la ciudadanía efectiva, las beneficiarias fueron vinculadas al proyecto “Ciudades Prósperas de los Niños, Niñas y Adolescentes” liderado por el ICBF y la Alcaldía de Pasto, con el apoyo y acompañamiento de PNUD.</w:t>
      </w:r>
    </w:p>
    <w:p w:rsidR="009E7E9E" w:rsidRDefault="009E7E9E" w:rsidP="009E7E9E">
      <w:pPr>
        <w:spacing w:line="240" w:lineRule="auto"/>
        <w:jc w:val="both"/>
      </w:pPr>
      <w:r>
        <w:t xml:space="preserve">Cuidarte: Con la intención de fortalecer las prácticas de cuidado y crianza, y la </w:t>
      </w:r>
      <w:r w:rsidR="00B21121">
        <w:t>promoción del</w:t>
      </w:r>
      <w:r>
        <w:t xml:space="preserve"> desarrollo infantil, se realiza esta alianza estratégica para capacitar a las adolescentes en los 18 momentos o aconteceres de la vida de un niño o niña, además de hacerlo interactivo utilizando la caja cuidarte.</w:t>
      </w:r>
    </w:p>
    <w:p w:rsidR="009E7E9E" w:rsidRDefault="009E7E9E" w:rsidP="009E7E9E">
      <w:pPr>
        <w:spacing w:line="240" w:lineRule="auto"/>
        <w:jc w:val="both"/>
      </w:pPr>
      <w:r w:rsidRPr="00000450">
        <w:rPr>
          <w:b/>
        </w:rPr>
        <w:t>DESCRIPCIÓN DE LOGROS:</w:t>
      </w:r>
      <w:r>
        <w:t xml:space="preserve"> Atención integral. Generamos una atención integral, teniendo en cuenta la estrategia de “Cero a Siempre” liderada por Presidencia de la Republica, a través de la articulación con los diferentes programas ofrecidos la Secretaria de Bienestar Social así:</w:t>
      </w:r>
    </w:p>
    <w:p w:rsidR="009E7E9E" w:rsidRDefault="009E7E9E" w:rsidP="009E7E9E">
      <w:pPr>
        <w:spacing w:line="240" w:lineRule="auto"/>
        <w:jc w:val="both"/>
      </w:pPr>
      <w:r>
        <w:t>ATENCION INTEGRAL</w:t>
      </w:r>
    </w:p>
    <w:p w:rsidR="009E7E9E" w:rsidRDefault="009E7E9E" w:rsidP="009E7E9E">
      <w:pPr>
        <w:spacing w:line="240" w:lineRule="auto"/>
        <w:jc w:val="both"/>
      </w:pPr>
      <w:r>
        <w:t>PROGRAMA DE NUTRICION Y AFECTO</w:t>
      </w:r>
    </w:p>
    <w:p w:rsidR="009E7E9E" w:rsidRDefault="009E7E9E" w:rsidP="009E7E9E">
      <w:pPr>
        <w:spacing w:line="240" w:lineRule="auto"/>
        <w:jc w:val="both"/>
      </w:pPr>
      <w:r>
        <w:t>Beneficiarios. Desde el mes de octubre del año 2012 hasta mayo de 2014 se han atendido 166 adolescentes gestantes y/o lactantes.</w:t>
      </w:r>
    </w:p>
    <w:p w:rsidR="009E7E9E" w:rsidRDefault="009E7E9E" w:rsidP="009E7E9E">
      <w:pPr>
        <w:spacing w:line="240" w:lineRule="auto"/>
        <w:jc w:val="both"/>
      </w:pPr>
      <w:r>
        <w:t>Nacimientos. Durante lo corrido del programa se han presentado 118 nacimientos, la mayoría en buenas condiciones.</w:t>
      </w:r>
    </w:p>
    <w:p w:rsidR="009E7E9E" w:rsidRDefault="009E7E9E" w:rsidP="009E7E9E">
      <w:pPr>
        <w:spacing w:line="240" w:lineRule="auto"/>
        <w:jc w:val="both"/>
      </w:pPr>
      <w:r>
        <w:t>Retorno positivo al aula. Se ha mejorado la permanencia en el sistema educativo o el retorno al mismo de nuestras beneficiarias. En este año 2014, tenemos 14 niñas graduadas de bachiller, y algunas de ellas continúan con su formación en tecnologías y universidades, 49 continúan asistiendo a sus jornadas escolares normalmente. Sin embargo, tenemos retos frente a la escolarización de las madres pues 53 de ellas están en este momento sin estudiar, la mayoría por su estado, pues son embarazos de alto riesgo.</w:t>
      </w:r>
    </w:p>
    <w:p w:rsidR="009E7E9E" w:rsidRDefault="009E7E9E" w:rsidP="009E7E9E">
      <w:pPr>
        <w:spacing w:line="240" w:lineRule="auto"/>
        <w:jc w:val="both"/>
      </w:pPr>
      <w:r>
        <w:t xml:space="preserve">Prevención del segundo embarazo: Gracias al apoyo de otras entidades como PROFAMILIA el 100% de las beneficiarias del programa (120) niñas están capacitadas en los diferentes métodos anticonceptivos y en los derechos sexuales y reproductivos, 101 niñas lactantes están planificado con algún método anticonceptivo.  </w:t>
      </w:r>
    </w:p>
    <w:p w:rsidR="009E7E9E" w:rsidRDefault="009E7E9E" w:rsidP="009E7E9E">
      <w:pPr>
        <w:spacing w:line="240" w:lineRule="auto"/>
        <w:jc w:val="both"/>
      </w:pPr>
      <w:r>
        <w:t xml:space="preserve">Formación y fortalecimiento de proyecto de vida, autoestima y liderazgo. Con el fin de mejorar la calidad de vida de las adolescentes como de sus bebes y formarlas para el futuro se realizan diferentes talleres acompañados por el área de psicología y trabajo social, como también articulación con las </w:t>
      </w:r>
      <w:r w:rsidR="00B21121">
        <w:t>diferentes</w:t>
      </w:r>
      <w:r>
        <w:t xml:space="preserve"> secretarias de la Alcaldía.</w:t>
      </w:r>
    </w:p>
    <w:p w:rsidR="009E7E9E" w:rsidRDefault="009E7E9E" w:rsidP="009E7E9E">
      <w:pPr>
        <w:spacing w:line="240" w:lineRule="auto"/>
        <w:jc w:val="both"/>
      </w:pPr>
      <w:r>
        <w:lastRenderedPageBreak/>
        <w:t>Disminución de violencia intrafamiliar. En algunos casos se ha logrado incrementar la participación de los padres de los bebés, así como al núcleo familiar de las adolescentes en las diferentes actividades de formación. Hemos socializado temas de violencia intrafamiliar, así como el marco legal y la ruta de atención en Pasto para la violencia intrafamiliar y violencias basadas en género.</w:t>
      </w:r>
    </w:p>
    <w:p w:rsidR="009E7E9E" w:rsidRDefault="009E7E9E" w:rsidP="009E7E9E">
      <w:pPr>
        <w:spacing w:line="240" w:lineRule="auto"/>
        <w:jc w:val="both"/>
      </w:pPr>
      <w:r>
        <w:t>Disminución de la desnutrición. El programa presenta resultados muy positivos en los estados nutricionales de las madres gestantes y lactantes, así como de los recién nacidos. En este año se presentaron 31 nacimientos, de los cuales 20 con peso superior a 3000 gr. y en óptimas condiciones. La mayoría de las gestantes entran al programa bajas de peso, se busca mejorar esta condición para que él bebe nazca con el peso adecuado.</w:t>
      </w:r>
    </w:p>
    <w:p w:rsidR="009E7E9E" w:rsidRDefault="009E7E9E" w:rsidP="009E7E9E">
      <w:pPr>
        <w:spacing w:line="240" w:lineRule="auto"/>
        <w:jc w:val="both"/>
      </w:pPr>
      <w:r>
        <w:t xml:space="preserve">Creación de lazos de confianza, afecto y motivación. </w:t>
      </w:r>
      <w:r w:rsidR="00B21121">
        <w:t>Entre</w:t>
      </w:r>
      <w:r>
        <w:t xml:space="preserve"> el grupo de beneficiarias se han creado fortalecido las relaciones interpersonales, la confianza, y la </w:t>
      </w:r>
      <w:r w:rsidR="00B21121">
        <w:t>motivación</w:t>
      </w:r>
      <w:r>
        <w:t>, tanto entre ellas como en sus hogares y comunidades.</w:t>
      </w:r>
    </w:p>
    <w:p w:rsidR="009E7E9E" w:rsidRDefault="009E7E9E" w:rsidP="009E7E9E">
      <w:pPr>
        <w:spacing w:line="240" w:lineRule="auto"/>
        <w:jc w:val="both"/>
      </w:pPr>
      <w:r>
        <w:t xml:space="preserve">Participación en diferentes programas y proyectos, se participó </w:t>
      </w:r>
      <w:r w:rsidR="00B21121">
        <w:t>con iniciativas</w:t>
      </w:r>
      <w:r>
        <w:t xml:space="preserve"> como “Mitos Y Verdades Acerca Del Embarazo En La Adolescencia” en la convocatoria de Voces que construyen de Somos Más e ICBF, siendo considerada como una de las mejores propuestas a nivel país.</w:t>
      </w:r>
    </w:p>
    <w:p w:rsidR="009E7E9E" w:rsidRDefault="009E7E9E" w:rsidP="009E7E9E">
      <w:pPr>
        <w:spacing w:line="240" w:lineRule="auto"/>
        <w:jc w:val="both"/>
      </w:pPr>
      <w:r w:rsidRPr="00000450">
        <w:rPr>
          <w:b/>
        </w:rPr>
        <w:t>APRENDIZAJES:</w:t>
      </w:r>
      <w:r>
        <w:t xml:space="preserve"> Durante el proyecto el compromiso con las madres adolescentes gestantes y lactantes ha sido orientar a las adolescentes en el conocimiento de sus derechos sexuales y reproductivos; la sensibilización en a la equidad de género, la prevención del segundo embarazo (alianzas interinstitucionales con PROFAMILIA), la participación en la ciudad como experiencia exitosa contada por las participantes (Participación SOMOS MAS), el empoderamiento a nivel individual, de pareja y familiar; así mismo la formación académica como herramienta para mejorar la calidad de vida y fortalecer el autoestima de la mujer como pilar fundamental para enfrentar las adversidades de la vida cotidiana de manera positiva.</w:t>
      </w:r>
    </w:p>
    <w:p w:rsidR="009E7E9E" w:rsidRDefault="009E7E9E" w:rsidP="009E7E9E">
      <w:pPr>
        <w:spacing w:line="240" w:lineRule="auto"/>
        <w:jc w:val="both"/>
      </w:pPr>
      <w:r>
        <w:t xml:space="preserve">El proyecto también ha logrado crear los espacios oportunos para que las adolescentes y sus parejas puedan hacer un análisis reflexivo y crítico de su realidad, adquieran mayores conocimientos y modifiquen sus actitudes para que asumir su sexualidad en forma sana y responsable. A su vez las adolescentes que ya tienen vida sexual activa gozan de acceso real a los anticonceptivos adecuados para su edad, que son definidos según normas y que les son entregados en la consulta de Atención Integral del Adolescente, que le ofrecen la privacidad que ellas demandan, así como la asistencia médica adecuada. </w:t>
      </w:r>
    </w:p>
    <w:p w:rsidR="009E7E9E" w:rsidRDefault="009E7E9E" w:rsidP="009E7E9E">
      <w:pPr>
        <w:spacing w:line="240" w:lineRule="auto"/>
        <w:jc w:val="both"/>
      </w:pPr>
      <w:r>
        <w:t>Por otro lado, el proyecto mejora la comunicación de las beneficiarias con sus familias, siendo fundamental una buena comunicación en la relación de pareja, entre padres e hijos y la comunidad. Sí mismo, la comunicación es determinante en el ejercicio de la maternidad al ser una herramienta para guiar, informar y dar los elementos necesarios para el desarrollo intelectual y cognitivo de los niños y niñas y la toma de decisiones.</w:t>
      </w:r>
    </w:p>
    <w:p w:rsidR="009E7E9E" w:rsidRDefault="009E7E9E" w:rsidP="009E7E9E">
      <w:pPr>
        <w:spacing w:line="240" w:lineRule="auto"/>
        <w:jc w:val="both"/>
      </w:pPr>
      <w:r>
        <w:t xml:space="preserve">El proyecto ofrece a las adolescentes </w:t>
      </w:r>
      <w:r w:rsidR="00B21121">
        <w:t>capacitaciones grupales y</w:t>
      </w:r>
      <w:r>
        <w:t xml:space="preserve"> asesorías psicológicas individuales que permiten hacer un manejo oportuno de todos los procesos vitales y de su salud física y mental. También activa rutas de atención en casos de beneficiarias víctimas de incesto y abuso sexual.</w:t>
      </w:r>
    </w:p>
    <w:p w:rsidR="009E7E9E" w:rsidRDefault="009E7E9E" w:rsidP="009E7E9E">
      <w:pPr>
        <w:spacing w:line="240" w:lineRule="auto"/>
        <w:jc w:val="both"/>
      </w:pPr>
      <w:r>
        <w:lastRenderedPageBreak/>
        <w:t>Otro factor de éxito ha sido el acompañamiento nutricional y la entrega de un mercado mensual para las adolescentes y sus hijos, siendo prioridad la nutrición de la menor y su bebe.</w:t>
      </w:r>
    </w:p>
    <w:p w:rsidR="009E7E9E" w:rsidRDefault="009E7E9E" w:rsidP="009E7E9E">
      <w:pPr>
        <w:spacing w:line="240" w:lineRule="auto"/>
        <w:jc w:val="both"/>
      </w:pPr>
    </w:p>
    <w:p w:rsidR="009E7E9E" w:rsidRDefault="009E7E9E" w:rsidP="009E7E9E">
      <w:pPr>
        <w:spacing w:line="240" w:lineRule="auto"/>
        <w:jc w:val="both"/>
      </w:pPr>
      <w:r>
        <w:t>Es propicio indicar, que el seguimiento permanente a cada una de las madres gestantes y lactantes se convierte en un instrumento de diagnóstico y de acercamiento directo a la realidad de las adolescentes, quienes han encontrado en el proyecto un espacio que se caracteriza por brindarles la confianza y la seguridad necesaria para plantear sus inquietudes, con la certeza de que la personas lo dirigen, lo hacen de una forma profesional y ética. Por todo lo anterior, se considera que el proyecto ha sido exitoso, impactando positivamente la vida de la adolescente, su hijo y la familia.</w:t>
      </w:r>
    </w:p>
    <w:p w:rsidR="009E7E9E" w:rsidRDefault="009E7E9E" w:rsidP="009E7E9E">
      <w:pPr>
        <w:spacing w:line="240" w:lineRule="auto"/>
        <w:jc w:val="both"/>
      </w:pPr>
      <w:r>
        <w:t>En el año 2014 se obtuvo un premio a nivel nacional como el mejor proyecto en contra de la desnutrición infantil atención integral en los 1000 primeros días.</w:t>
      </w:r>
    </w:p>
    <w:p w:rsidR="009E7E9E" w:rsidRDefault="009E7E9E" w:rsidP="009E7E9E">
      <w:pPr>
        <w:spacing w:line="240" w:lineRule="auto"/>
        <w:jc w:val="both"/>
      </w:pPr>
      <w:r w:rsidRPr="00813132">
        <w:rPr>
          <w:b/>
        </w:rPr>
        <w:t>HERRAMIENTAS:</w:t>
      </w:r>
      <w:r w:rsidRPr="00813132">
        <w:t xml:space="preserve"> </w:t>
      </w:r>
      <w:r>
        <w:t xml:space="preserve">El proyecto de Madres Gestantes y Lactantes ““Abrazo de Amor”” implementado por Secretaria de Bienestar Social, es producto de un esfuerzo de la Administración Municipal, Liderada por el Alcalde Harold Guerrero y la Gestora Social Patricia Mazuera, en alianza estratégica con Fundación Éxito. El propósito de esta iniciativa es brindar una atención integral madres adolescentes en estado de gestación o lactancia para contribuir al mejoramiento de su calidad de vida, así como de su núcleo familiar. </w:t>
      </w:r>
    </w:p>
    <w:p w:rsidR="009E7E9E" w:rsidRDefault="009E7E9E" w:rsidP="009E7E9E">
      <w:pPr>
        <w:spacing w:line="240" w:lineRule="auto"/>
        <w:jc w:val="both"/>
      </w:pPr>
      <w:r>
        <w:t>Este proyecto se encuentra inmerso en el PLAN DE DESARROLLO “TRANSFORMACION PRODUCTIVA 2012- 2015”, teniendo como meta del cuatrienio la atención de 200 madres adolescentes gestantes y lactantes.</w:t>
      </w:r>
    </w:p>
    <w:p w:rsidR="009E7E9E" w:rsidRDefault="009E7E9E" w:rsidP="009E7E9E">
      <w:pPr>
        <w:spacing w:line="240" w:lineRule="auto"/>
        <w:jc w:val="both"/>
      </w:pPr>
      <w:r>
        <w:t>La focalización de las beneficiaria se hace teniendo en cuenta las condiciones socioeconómicas y psicosociales, priorizando la población con mayores niveles de vulnerabilidad y riesgo para las madres y sus bebés nacidos o por nacer. Así mismo, el programa procura tener presencia en todas las comunas del municipio y los corregimientos donde existen mayores necesidades.</w:t>
      </w:r>
    </w:p>
    <w:p w:rsidR="009E7E9E" w:rsidRDefault="009E7E9E" w:rsidP="009E7E9E">
      <w:pPr>
        <w:spacing w:line="240" w:lineRule="auto"/>
        <w:jc w:val="both"/>
      </w:pPr>
      <w:r>
        <w:t>Para el desarrollo de este proyecto y dado el carácter multifactorial del embarazo en la adolescencia, el documento estratégico de referencia es el CONPES 147 que se basa en la teoría de los determinantes sociales, la cual refiere al conjunto de variables individuales, sociales y estructurales que, relacionadas entre sí, condicionan el proceso vital y explican el conjunto de fenómenos asociados a la salud sexual y reproductiva de adolescentes y jóvenes. Si bien este documento hace referencia a la prevención del embarazo adolescente, en el marco de este proyecto es fundamental que evitemos la llegada de un embarazo en edades tempranas por ser considerado un problema social y de salud pública de alcance mundial, que afecta en mayor medida a la población vulnerable.</w:t>
      </w:r>
    </w:p>
    <w:p w:rsidR="009E7E9E" w:rsidRDefault="009E7E9E" w:rsidP="009E7E9E">
      <w:pPr>
        <w:spacing w:line="240" w:lineRule="auto"/>
        <w:jc w:val="both"/>
      </w:pPr>
      <w:r>
        <w:t xml:space="preserve">Uno de los fines más importantes de ““Abrazo de Amor”” es fortalecer la reconstrucción del proyecto de vida individual y familiar de las adolescentes beneficiarias a partir de su maternidad, mediante el acompañamiento y seguimiento permanente del área psicosocial, nutricional y de salud. Para esto contamos con un equipo interdisciplinario compuesto por: sicóloga, trabajadora social, auxiliar de enfermería, nutricionista y pedagogas. Así mismo, buscamos el apoyo de </w:t>
      </w:r>
      <w:r>
        <w:lastRenderedPageBreak/>
        <w:t>profesionales de salud a través de distintas gestiones ante universidades y entidades públicas y privadas</w:t>
      </w:r>
    </w:p>
    <w:p w:rsidR="009E7E9E" w:rsidRDefault="009E7E9E" w:rsidP="009E7E9E">
      <w:pPr>
        <w:spacing w:line="240" w:lineRule="auto"/>
        <w:jc w:val="both"/>
      </w:pPr>
      <w:r>
        <w:t xml:space="preserve">El componente nutricional es fundamental para el proyecto ya que buscamos prevenir el bajo peso al nacer, así como la desnutrición global y aguda en la primera infancia. Los niveles nutricionales de los niños y niñas que nacen bajo la protección del programa evidencian el impacto positivo que tiene la intervención en la gestión, y que en el proyecto está determinado </w:t>
      </w:r>
      <w:r w:rsidR="00B21121">
        <w:t>por la</w:t>
      </w:r>
      <w:r>
        <w:t xml:space="preserve"> entrega de un paquete alimentario que cumple el 80% de los requerimientos nutricionales de una madre gestante, Lo mismo se replica en el caso de las madres lactantes. Esta atención es posible gracias a un convenio suscrito entre la Alcaldía de Pasto y la Fundación Éxito y al seguimiento que se realiza a gestantes y bebés mediante los tableros de gestión. </w:t>
      </w:r>
    </w:p>
    <w:p w:rsidR="009E7E9E" w:rsidRDefault="009E7E9E" w:rsidP="009E7E9E">
      <w:pPr>
        <w:spacing w:line="240" w:lineRule="auto"/>
        <w:jc w:val="both"/>
      </w:pPr>
      <w:r>
        <w:t>En la actualidad, el proyecto brinda atención desde el segundo mes de gestación hasta que el niño o niña cumple dos (2) años, momento en el cual transita al proyecto de educación inicial de la Alcaldía de Pasto, Centros de Desarrollo Infantil Nidos Nutrir, donde cuentan atención integral según los lineamientos de ICBF y la estrategia nacional “De Cero a 5iempre” con componentes psicosocial, pedagógico, nutricional, y transporte.</w:t>
      </w:r>
    </w:p>
    <w:p w:rsidR="00000450" w:rsidRDefault="00A42797" w:rsidP="00023C03">
      <w:pPr>
        <w:spacing w:line="240" w:lineRule="auto"/>
        <w:jc w:val="both"/>
      </w:pPr>
      <w:r w:rsidRPr="00A42797">
        <w:rPr>
          <w:b/>
        </w:rPr>
        <w:t xml:space="preserve">4) </w:t>
      </w:r>
      <w:r>
        <w:rPr>
          <w:b/>
        </w:rPr>
        <w:t xml:space="preserve">NOMBRE: </w:t>
      </w:r>
      <w:r w:rsidRPr="00A42797">
        <w:t xml:space="preserve">GOLOMBIAO </w:t>
      </w:r>
    </w:p>
    <w:p w:rsidR="00A42797" w:rsidRDefault="00A42797" w:rsidP="00023C03">
      <w:pPr>
        <w:spacing w:line="240" w:lineRule="auto"/>
        <w:jc w:val="both"/>
      </w:pPr>
      <w:r w:rsidRPr="00A42797">
        <w:rPr>
          <w:b/>
        </w:rPr>
        <w:t>CATEGORÍA DE DERECHO</w:t>
      </w:r>
      <w:r>
        <w:t>: DESARROLLO</w:t>
      </w:r>
    </w:p>
    <w:p w:rsidR="00A42797" w:rsidRDefault="00A42797" w:rsidP="00023C03">
      <w:pPr>
        <w:spacing w:line="240" w:lineRule="auto"/>
        <w:jc w:val="both"/>
      </w:pPr>
      <w:r w:rsidRPr="00A42797">
        <w:rPr>
          <w:b/>
        </w:rPr>
        <w:t>CICLO VITAL</w:t>
      </w:r>
      <w:r>
        <w:t>: JUVENTUD</w:t>
      </w:r>
    </w:p>
    <w:p w:rsidR="00A42797" w:rsidRDefault="00A42797" w:rsidP="00023C03">
      <w:pPr>
        <w:spacing w:line="240" w:lineRule="auto"/>
        <w:jc w:val="both"/>
      </w:pPr>
      <w:r w:rsidRPr="00A42797">
        <w:rPr>
          <w:b/>
        </w:rPr>
        <w:t>OBJETIVO</w:t>
      </w:r>
      <w:r>
        <w:t xml:space="preserve">: </w:t>
      </w:r>
      <w:r w:rsidRPr="00A42797">
        <w:t xml:space="preserve">Generar procesos participativos para que los Adolescentes y Jóvenes del Municipio de Pasto hagan parte activa de la misma; permitiendo así la construcción de paz y reconciliación de resolución </w:t>
      </w:r>
      <w:r>
        <w:t>de conflictos entre los mismos.</w:t>
      </w:r>
    </w:p>
    <w:p w:rsidR="00A42797" w:rsidRDefault="00A42797" w:rsidP="00023C03">
      <w:pPr>
        <w:spacing w:line="240" w:lineRule="auto"/>
        <w:jc w:val="both"/>
      </w:pPr>
      <w:r w:rsidRPr="00A42797">
        <w:rPr>
          <w:b/>
        </w:rPr>
        <w:t>INVERSIÓN PROGRAMADA</w:t>
      </w:r>
      <w:r>
        <w:t>: 32066666</w:t>
      </w:r>
    </w:p>
    <w:p w:rsidR="00A42797" w:rsidRDefault="00A42797" w:rsidP="00A42797">
      <w:pPr>
        <w:spacing w:line="240" w:lineRule="auto"/>
        <w:jc w:val="both"/>
      </w:pPr>
      <w:r w:rsidRPr="00A42797">
        <w:rPr>
          <w:b/>
        </w:rPr>
        <w:t>INVERSIÓN EJECUTADA</w:t>
      </w:r>
      <w:r>
        <w:t>: 32066666</w:t>
      </w:r>
    </w:p>
    <w:p w:rsidR="00A42797" w:rsidRDefault="00A42797" w:rsidP="00A42797">
      <w:pPr>
        <w:spacing w:line="240" w:lineRule="auto"/>
        <w:jc w:val="both"/>
      </w:pPr>
      <w:r w:rsidRPr="00A42797">
        <w:rPr>
          <w:b/>
        </w:rPr>
        <w:t>DESCRIPCIÓN DEL PROCESO</w:t>
      </w:r>
      <w:r>
        <w:t xml:space="preserve">: </w:t>
      </w:r>
      <w:r w:rsidRPr="00A42797">
        <w:t>Golombiao  es una estrategia pedagógica con el fin de generar procesos participativos para que los Adolescentes y Jóvenes del Municipio de Pasto  a</w:t>
      </w:r>
      <w:r>
        <w:t xml:space="preserve"> través</w:t>
      </w:r>
      <w:r w:rsidRPr="00A42797">
        <w:t xml:space="preserve">  de la Dirección Administrativa de Juventud hagan parte activa de la misma como escenario en la construcción de: proyecto de vida, la participación, convivencia, resolución pacífica de conflictos y la  equidad de género, que contribuyen a la disminución  de los factores de riesgo y con ello la mitigación de los problemas sociales que afectan a la población sujeto de derechos.</w:t>
      </w:r>
    </w:p>
    <w:p w:rsidR="00000450" w:rsidRPr="00000450" w:rsidRDefault="00A42797" w:rsidP="00023C03">
      <w:pPr>
        <w:spacing w:line="240" w:lineRule="auto"/>
        <w:jc w:val="both"/>
      </w:pPr>
      <w:r w:rsidRPr="00A42797">
        <w:rPr>
          <w:b/>
        </w:rPr>
        <w:t>DESCRIPCIÓN DE LOGROS</w:t>
      </w:r>
      <w:r>
        <w:t xml:space="preserve">: </w:t>
      </w:r>
      <w:r w:rsidRPr="00A42797">
        <w:t>Crear conciencia a través de esta metodología en la solución de conflictos entre los jóvenes habitantes en comunas donde los índices de violencia es alto</w:t>
      </w:r>
      <w:r w:rsidR="00C915A4">
        <w:t>.</w:t>
      </w:r>
    </w:p>
    <w:sectPr w:rsidR="00000450" w:rsidRPr="00000450" w:rsidSect="00215ED6">
      <w:pgSz w:w="12240" w:h="15840"/>
      <w:pgMar w:top="1588" w:right="1701" w:bottom="1418" w:left="1701" w:header="0"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B7C" w:rsidRDefault="00602B7C" w:rsidP="00B74052">
      <w:pPr>
        <w:spacing w:after="0" w:line="240" w:lineRule="auto"/>
      </w:pPr>
      <w:r>
        <w:separator/>
      </w:r>
    </w:p>
  </w:endnote>
  <w:endnote w:type="continuationSeparator" w:id="0">
    <w:p w:rsidR="00602B7C" w:rsidRDefault="00602B7C" w:rsidP="00B740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GoudySansITCbyBT-Light">
    <w:panose1 w:val="00000000000000000000"/>
    <w:charset w:val="00"/>
    <w:family w:val="swiss"/>
    <w:notTrueType/>
    <w:pitch w:val="default"/>
    <w:sig w:usb0="00000003" w:usb1="00000000" w:usb2="00000000" w:usb3="00000000" w:csb0="00000001" w:csb1="00000000"/>
  </w:font>
  <w:font w:name="CastleT-Ligh">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113933"/>
      <w:docPartObj>
        <w:docPartGallery w:val="Page Numbers (Bottom of Page)"/>
        <w:docPartUnique/>
      </w:docPartObj>
    </w:sdtPr>
    <w:sdtContent>
      <w:p w:rsidR="002616FA" w:rsidRDefault="002616FA">
        <w:pPr>
          <w:pStyle w:val="Piedepgina"/>
          <w:jc w:val="right"/>
        </w:pPr>
        <w:r w:rsidRPr="00CA0BC2">
          <w:rPr>
            <w:noProof/>
            <w:szCs w:val="16"/>
            <w:lang w:val="es-ES" w:eastAsia="es-ES"/>
          </w:rPr>
          <w:drawing>
            <wp:anchor distT="0" distB="0" distL="114300" distR="114300" simplePos="0" relativeHeight="251656704" behindDoc="0" locked="0" layoutInCell="1" allowOverlap="1">
              <wp:simplePos x="0" y="0"/>
              <wp:positionH relativeFrom="column">
                <wp:posOffset>-388620</wp:posOffset>
              </wp:positionH>
              <wp:positionV relativeFrom="paragraph">
                <wp:posOffset>135255</wp:posOffset>
              </wp:positionV>
              <wp:extent cx="1104900" cy="704850"/>
              <wp:effectExtent l="19050" t="0" r="0" b="0"/>
              <wp:wrapSquare wrapText="bothSides"/>
              <wp:docPr id="91" name="Imagen 3" descr="DATOS:ARCHIVOS ALCADÍA 2015:ALCALDÍA MAYO 2015:CONTROL INTERNO:ICONTEC:Logos ICONTEC Alcaldia Pasto-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OS:ARCHIVOS ALCADÍA 2015:ALCALDÍA MAYO 2015:CONTROL INTERNO:ICONTEC:Logos ICONTEC Alcaldia Pasto-07.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704850"/>
                      </a:xfrm>
                      <a:prstGeom prst="rect">
                        <a:avLst/>
                      </a:prstGeom>
                      <a:noFill/>
                      <a:ln>
                        <a:noFill/>
                      </a:ln>
                    </pic:spPr>
                  </pic:pic>
                </a:graphicData>
              </a:graphic>
            </wp:anchor>
          </w:drawing>
        </w:r>
        <w:r w:rsidR="00222418" w:rsidRPr="00222418">
          <w:rPr>
            <w:noProof/>
            <w:szCs w:val="16"/>
            <w:lang w:eastAsia="es-CO"/>
          </w:rPr>
          <w:pict>
            <v:shapetype id="_x0000_t202" coordsize="21600,21600" o:spt="202" path="m,l,21600r21600,l21600,xe">
              <v:stroke joinstyle="miter"/>
              <v:path gradientshapeok="t" o:connecttype="rect"/>
            </v:shapetype>
            <v:shape id="Text Box 2" o:spid="_x0000_s4097" type="#_x0000_t202" alt="NIT: 891280000-3 &#10;Casa de Don Lorenzo - Carrera 25 - Calle 19 Esquina - Plaza de Nariño - Centro&#10;Teléfonos: +(57) 7229404, +(57) 2 7291919&#10;Código Postal 520003 - Correo electrónico: gestiondelriesgo@pasto.gov.co&#10;www.pasto.gov.co - Es su responsabilidad ecológica imprimir este documento" style="position:absolute;left:0;text-align:left;margin-left:11.35pt;margin-top:7.85pt;width:346.75pt;height:58.1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MdkgMAAPYGAAAOAAAAZHJzL2Uyb0RvYy54bWysVf1u6zQU/x+JdzgKEuIK0iZp+pGw7rL1&#10;A11pjEl3PICbOImF4xNst+mGeCD+RHuEvhjHbrd1FyEhIJVc+9j+na/fOb54v28l7Lg2AtU8iAdR&#10;AFwVWApVz4Of7tfhLABjmSqZRMXnwQM3wfvLzz+76LucJ9igLLkGAlEm77t50Fjb5cOhKRreMjPA&#10;jivarFC3zNJS18NSs57QWzlMomgy7FGXncaCG0PS5XEzuPT4VcUL+2NVGW5BzgOyzfpR+3HjxuHl&#10;BctrzbpGFCcz2L+womVCkdIXqCWzDLZa/AWqFYVGg5UdFNgOsapEwb0P5E0cfeLNx4Z13PtCwTHd&#10;S5jM/wdb3O7uNIhyHmRJAIq1lKN7vrdwjXsgSclNQeG6/XCfwyyLk1lEXziCL7/YX327YIbRCVii&#10;ghvUXD0ihLBgWnPNIBn7hZQc4gxW5petUIxEd5I9+mu3TIvDH/4KV1ajx7zn8vB7hQpNDl9/NZ6+&#10;g2mSZGmUfnNaJiTIYvodTTg8laJGuENimYQxcSIaOb1IRiBwSQzQhyclCsyh5sYST0suteCmxu86&#10;ZiwOatxRNjxc3/eDcyEhrQyYLWhuOlSGbYQUJSuBFygPT7UoGIi206IVGgidQ4nFtiV30FGr70xO&#10;Ef7YUYztnkJKJeJpYrobLH42oHDRMFXzK62xbzgrKbWxuzk8u3rEMQ5k0/+AJaWIbUmB49u+0q37&#10;JyYBoRPFH15o7dJYkDBNo9E0GQdQ0N50NBtHY6/i9Xanjf2eYwtuMg80Bc2js92Nsc4alj8fccoU&#10;roWUvnSkeiOgg0cJ6aarbs9Z4Svh1yzKVrPVLA3TZLIK02i5DK/WizScrOPpeDlaLhbL+DenN07z&#10;RpQlV07Nc1XG6T9j/ak/HOvppS4NUt4cnDPJ6HqzkBp2jLrC2n+ngJwdG741wweBfPnEpThJo+sk&#10;C9eT2TRM1+k4zKbRLIzi7DqbRGmWLtdvXboRiv93l6Cngh1TTr07f+ubK9bINzlKzJlvLG+Fpb4r&#10;RTsPfEmfOqGj4EqVPrWWCXmcn4XCmf8aCkJ9TrQnrOPoka12v9kTimPxBssHoq5GYhbxkx4LmjSo&#10;HwPoqfHOA+oMTPMA5AdF9M9i4it1ar9Ix9OEFvp8Z3O+w1RBUPPABnCcLuyxu2+pKOuGNB0LTuEV&#10;lUwlPJtfrToVGjVX79TpIXDd+3ztT70+V5d/AgAA//8DAFBLAwQUAAYACAAAACEA8OcvaN0AAAAJ&#10;AQAADwAAAGRycy9kb3ducmV2LnhtbEyPQU/DMAyF70j8h8hI3FiywDYoTacJxBXEYJO4ZY3XVmuc&#10;qsnW8u/nneBk+b2n58/5cvStOGEfm0AGphMFAqkMrqHKwPfX290jiJgsOdsGQgO/GGFZXF/lNnNh&#10;oE88rVMluIRiZg3UKXWZlLGs0ds4CR0Se/vQe5t47SvpejtwuW+lVmouvW2IL9S2w5cay8P66A1s&#10;3vc/2wf1Ub36WTeEUUnyT9KY25tx9Qwi4Zj+wnDBZ3QomGkXjuSiaA1oveAk6zOe7C+mcw1ix8K9&#10;ViCLXP7/oDgDAAD//wMAUEsBAi0AFAAGAAgAAAAhALaDOJL+AAAA4QEAABMAAAAAAAAAAAAAAAAA&#10;AAAAAFtDb250ZW50X1R5cGVzXS54bWxQSwECLQAUAAYACAAAACEAOP0h/9YAAACUAQAACwAAAAAA&#10;AAAAAAAAAAAvAQAAX3JlbHMvLnJlbHNQSwECLQAUAAYACAAAACEAc71THZIDAAD2BgAADgAAAAAA&#10;AAAAAAAAAAAuAgAAZHJzL2Uyb0RvYy54bWxQSwECLQAUAAYACAAAACEA8OcvaN0AAAAJAQAADwAA&#10;AAAAAAAAAAAAAADsBQAAZHJzL2Rvd25yZXYueG1sUEsFBgAAAAAEAAQA8wAAAPYGAAAAAA==&#10;" filled="f" stroked="f">
              <v:textbox>
                <w:txbxContent>
                  <w:p w:rsidR="002616FA" w:rsidRDefault="002616FA" w:rsidP="007B694B">
                    <w:pPr>
                      <w:pStyle w:val="Piedepgina"/>
                      <w:jc w:val="right"/>
                      <w:rPr>
                        <w:sz w:val="16"/>
                        <w:szCs w:val="16"/>
                      </w:rPr>
                    </w:pPr>
                    <w:r>
                      <w:rPr>
                        <w:sz w:val="16"/>
                        <w:szCs w:val="16"/>
                      </w:rPr>
                      <w:t>NIT:</w:t>
                    </w:r>
                    <w:r w:rsidRPr="00706924">
                      <w:rPr>
                        <w:sz w:val="16"/>
                        <w:szCs w:val="16"/>
                      </w:rPr>
                      <w:t xml:space="preserve"> </w:t>
                    </w:r>
                    <w:r w:rsidRPr="00E6503E">
                      <w:rPr>
                        <w:sz w:val="16"/>
                        <w:szCs w:val="16"/>
                      </w:rPr>
                      <w:t>891280000</w:t>
                    </w:r>
                    <w:r>
                      <w:rPr>
                        <w:sz w:val="16"/>
                        <w:szCs w:val="16"/>
                      </w:rPr>
                      <w:t>-</w:t>
                    </w:r>
                    <w:r w:rsidRPr="00E6503E">
                      <w:rPr>
                        <w:sz w:val="16"/>
                        <w:szCs w:val="16"/>
                      </w:rPr>
                      <w:t>3</w:t>
                    </w:r>
                  </w:p>
                  <w:p w:rsidR="002616FA" w:rsidRDefault="002616FA" w:rsidP="007B694B">
                    <w:pPr>
                      <w:pStyle w:val="Piedepgina"/>
                      <w:jc w:val="right"/>
                      <w:rPr>
                        <w:sz w:val="16"/>
                        <w:szCs w:val="16"/>
                      </w:rPr>
                    </w:pPr>
                    <w:r w:rsidRPr="00A46196">
                      <w:rPr>
                        <w:sz w:val="16"/>
                        <w:szCs w:val="16"/>
                      </w:rPr>
                      <w:t>CAM Anganoy vía Los Rosales II</w:t>
                    </w:r>
                  </w:p>
                  <w:p w:rsidR="002616FA" w:rsidRPr="00A46196" w:rsidRDefault="002616FA" w:rsidP="007B694B">
                    <w:pPr>
                      <w:pStyle w:val="Piedepgina"/>
                      <w:jc w:val="right"/>
                      <w:rPr>
                        <w:sz w:val="16"/>
                        <w:szCs w:val="16"/>
                      </w:rPr>
                    </w:pPr>
                    <w:r w:rsidRPr="00A46196">
                      <w:rPr>
                        <w:sz w:val="16"/>
                        <w:szCs w:val="16"/>
                      </w:rPr>
                      <w:t xml:space="preserve">Teléfonos: </w:t>
                    </w:r>
                    <w:r>
                      <w:rPr>
                        <w:sz w:val="16"/>
                        <w:szCs w:val="16"/>
                      </w:rPr>
                      <w:t xml:space="preserve">+(57) 2 </w:t>
                    </w:r>
                    <w:r w:rsidRPr="002B14EA">
                      <w:rPr>
                        <w:sz w:val="16"/>
                        <w:szCs w:val="16"/>
                      </w:rPr>
                      <w:t>7230147</w:t>
                    </w:r>
                    <w:r>
                      <w:rPr>
                        <w:sz w:val="16"/>
                        <w:szCs w:val="16"/>
                      </w:rPr>
                      <w:t>, +(57) 2 7291919,</w:t>
                    </w:r>
                    <w:r w:rsidRPr="00A46196">
                      <w:rPr>
                        <w:sz w:val="16"/>
                        <w:szCs w:val="16"/>
                      </w:rPr>
                      <w:t xml:space="preserve"> +(57) 2 7292000</w:t>
                    </w:r>
                    <w:r>
                      <w:rPr>
                        <w:sz w:val="16"/>
                        <w:szCs w:val="16"/>
                      </w:rPr>
                      <w:t>, - Fax: +(57) 2 7223347</w:t>
                    </w:r>
                    <w:r w:rsidRPr="00A46196">
                      <w:rPr>
                        <w:sz w:val="16"/>
                        <w:szCs w:val="16"/>
                      </w:rPr>
                      <w:t xml:space="preserve"> </w:t>
                    </w:r>
                  </w:p>
                  <w:p w:rsidR="002616FA" w:rsidRPr="00A46196" w:rsidRDefault="002616FA" w:rsidP="007B694B">
                    <w:pPr>
                      <w:pStyle w:val="Piedepgina"/>
                      <w:jc w:val="right"/>
                      <w:rPr>
                        <w:sz w:val="16"/>
                        <w:szCs w:val="16"/>
                      </w:rPr>
                    </w:pPr>
                    <w:r>
                      <w:rPr>
                        <w:sz w:val="16"/>
                        <w:szCs w:val="16"/>
                      </w:rPr>
                      <w:t xml:space="preserve">Código Postal 520001 - </w:t>
                    </w:r>
                    <w:r w:rsidRPr="00A46196">
                      <w:rPr>
                        <w:sz w:val="16"/>
                        <w:szCs w:val="16"/>
                      </w:rPr>
                      <w:t xml:space="preserve">Correo electrónico: </w:t>
                    </w:r>
                    <w:hyperlink r:id="rId2" w:history="1">
                      <w:r w:rsidRPr="004F64D5">
                        <w:rPr>
                          <w:rStyle w:val="Hipervnculo"/>
                          <w:sz w:val="16"/>
                          <w:szCs w:val="16"/>
                        </w:rPr>
                        <w:t>despacho@pasto.gov.co</w:t>
                      </w:r>
                    </w:hyperlink>
                    <w:r>
                      <w:t xml:space="preserve"> </w:t>
                    </w:r>
                  </w:p>
                  <w:p w:rsidR="002616FA" w:rsidRPr="001324D7" w:rsidRDefault="00222418" w:rsidP="007B694B">
                    <w:pPr>
                      <w:jc w:val="right"/>
                    </w:pPr>
                    <w:hyperlink r:id="rId3" w:history="1">
                      <w:r w:rsidR="002616FA" w:rsidRPr="00AD08AE">
                        <w:rPr>
                          <w:rStyle w:val="Hipervnculo"/>
                          <w:sz w:val="16"/>
                          <w:szCs w:val="16"/>
                        </w:rPr>
                        <w:t>www.pasto.gov.co</w:t>
                      </w:r>
                    </w:hyperlink>
                    <w:r w:rsidR="002616FA">
                      <w:rPr>
                        <w:sz w:val="16"/>
                        <w:szCs w:val="16"/>
                      </w:rPr>
                      <w:t xml:space="preserve"> - </w:t>
                    </w:r>
                    <w:r w:rsidR="002616FA" w:rsidRPr="000E24BA">
                      <w:rPr>
                        <w:sz w:val="16"/>
                        <w:szCs w:val="16"/>
                      </w:rPr>
                      <w:t>Es su responsabilidad ecológica imprimir este documento</w:t>
                    </w:r>
                  </w:p>
                </w:txbxContent>
              </v:textbox>
            </v:shape>
          </w:pict>
        </w:r>
        <w:r>
          <w:rPr>
            <w:noProof/>
            <w:szCs w:val="16"/>
            <w:lang w:val="es-ES" w:eastAsia="es-ES"/>
          </w:rPr>
          <w:drawing>
            <wp:anchor distT="0" distB="0" distL="114300" distR="114300" simplePos="0" relativeHeight="251657728" behindDoc="1" locked="0" layoutInCell="1" allowOverlap="1">
              <wp:simplePos x="0" y="0"/>
              <wp:positionH relativeFrom="margin">
                <wp:align>right</wp:align>
              </wp:positionH>
              <wp:positionV relativeFrom="paragraph">
                <wp:posOffset>145415</wp:posOffset>
              </wp:positionV>
              <wp:extent cx="1057275" cy="619125"/>
              <wp:effectExtent l="0" t="0" r="0" b="9525"/>
              <wp:wrapNone/>
              <wp:docPr id="93" name="Imagen 2" descr="D:\Daniel\Alcalde\Cambio Cultur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Daniel\Alcalde\Cambio Cultural-01.png"/>
                      <pic:cNvPicPr>
                        <a:picLocks noChangeAspect="1" noChangeArrowheads="1"/>
                      </pic:cNvPicPr>
                    </pic:nvPicPr>
                    <pic:blipFill>
                      <a:blip r:embed="rId4"/>
                      <a:srcRect t="8633" b="7873"/>
                      <a:stretch>
                        <a:fillRect/>
                      </a:stretch>
                    </pic:blipFill>
                    <pic:spPr bwMode="auto">
                      <a:xfrm>
                        <a:off x="0" y="0"/>
                        <a:ext cx="1057275" cy="619125"/>
                      </a:xfrm>
                      <a:prstGeom prst="rect">
                        <a:avLst/>
                      </a:prstGeom>
                      <a:noFill/>
                      <a:ln w="9525">
                        <a:noFill/>
                        <a:miter lim="800000"/>
                        <a:headEnd/>
                        <a:tailEnd/>
                      </a:ln>
                    </pic:spPr>
                  </pic:pic>
                </a:graphicData>
              </a:graphic>
            </wp:anchor>
          </w:drawing>
        </w:r>
        <w:fldSimple w:instr="PAGE   \* MERGEFORMAT">
          <w:r w:rsidR="00ED757F" w:rsidRPr="00ED757F">
            <w:rPr>
              <w:noProof/>
              <w:lang w:val="es-ES"/>
            </w:rPr>
            <w:t>2</w:t>
          </w:r>
        </w:fldSimple>
      </w:p>
    </w:sdtContent>
  </w:sdt>
  <w:p w:rsidR="002616FA" w:rsidRDefault="002616F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B7C" w:rsidRDefault="00602B7C" w:rsidP="00B74052">
      <w:pPr>
        <w:spacing w:after="0" w:line="240" w:lineRule="auto"/>
      </w:pPr>
      <w:r>
        <w:separator/>
      </w:r>
    </w:p>
  </w:footnote>
  <w:footnote w:type="continuationSeparator" w:id="0">
    <w:p w:rsidR="00602B7C" w:rsidRDefault="00602B7C" w:rsidP="00B740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FA" w:rsidRDefault="002616FA" w:rsidP="0033759C">
    <w:pPr>
      <w:pStyle w:val="Encabezado"/>
    </w:pPr>
    <w:r>
      <w:rPr>
        <w:noProof/>
        <w:lang w:eastAsia="es-CO"/>
      </w:rPr>
      <w:t xml:space="preserve">  </w:t>
    </w:r>
    <w:r w:rsidRPr="00E4352B">
      <w:rPr>
        <w:noProof/>
        <w:lang w:val="es-ES" w:eastAsia="es-ES"/>
      </w:rPr>
      <w:drawing>
        <wp:inline distT="0" distB="0" distL="0" distR="0">
          <wp:extent cx="1469620" cy="755650"/>
          <wp:effectExtent l="0" t="0" r="0" b="0"/>
          <wp:docPr id="86" name="Imagen 86" descr="C:\Users\NATHALY\Desktop\Pa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LY\Desktop\Past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2500" cy="757131"/>
                  </a:xfrm>
                  <a:prstGeom prst="rect">
                    <a:avLst/>
                  </a:prstGeom>
                  <a:noFill/>
                  <a:ln>
                    <a:noFill/>
                  </a:ln>
                </pic:spPr>
              </pic:pic>
            </a:graphicData>
          </a:graphic>
        </wp:inline>
      </w:drawing>
    </w:r>
    <w:r>
      <w:rPr>
        <w:noProof/>
        <w:lang w:eastAsia="es-CO"/>
      </w:rPr>
      <w:t xml:space="preserve">                                                                    </w:t>
    </w:r>
    <w:r w:rsidRPr="001324D7">
      <w:rPr>
        <w:noProof/>
        <w:lang w:val="es-ES" w:eastAsia="es-ES"/>
      </w:rPr>
      <w:drawing>
        <wp:inline distT="0" distB="0" distL="0" distR="0">
          <wp:extent cx="1917420" cy="1394460"/>
          <wp:effectExtent l="0" t="0" r="6985" b="0"/>
          <wp:docPr id="85" name="0 Imagen" descr="despa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acho.jpg"/>
                  <pic:cNvPicPr/>
                </pic:nvPicPr>
                <pic:blipFill>
                  <a:blip r:embed="rId2"/>
                  <a:stretch>
                    <a:fillRect/>
                  </a:stretch>
                </pic:blipFill>
                <pic:spPr>
                  <a:xfrm>
                    <a:off x="0" y="0"/>
                    <a:ext cx="1924916" cy="1399912"/>
                  </a:xfrm>
                  <a:prstGeom prst="rect">
                    <a:avLst/>
                  </a:prstGeom>
                </pic:spPr>
              </pic:pic>
            </a:graphicData>
          </a:graphic>
        </wp:inline>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E043721"/>
    <w:multiLevelType w:val="hybridMultilevel"/>
    <w:tmpl w:val="127AE8F0"/>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FFFFF89"/>
    <w:multiLevelType w:val="singleLevel"/>
    <w:tmpl w:val="EB640A04"/>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A325EE"/>
    <w:multiLevelType w:val="hybridMultilevel"/>
    <w:tmpl w:val="B46E84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1B93CC9"/>
    <w:multiLevelType w:val="hybridMultilevel"/>
    <w:tmpl w:val="B428D1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1D32861"/>
    <w:multiLevelType w:val="hybridMultilevel"/>
    <w:tmpl w:val="9552D9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3CE2A42"/>
    <w:multiLevelType w:val="hybridMultilevel"/>
    <w:tmpl w:val="D766E2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7FD3179"/>
    <w:multiLevelType w:val="hybridMultilevel"/>
    <w:tmpl w:val="691E1DF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9466146"/>
    <w:multiLevelType w:val="hybridMultilevel"/>
    <w:tmpl w:val="827E8D58"/>
    <w:lvl w:ilvl="0" w:tplc="240A0001">
      <w:start w:val="1"/>
      <w:numFmt w:val="bullet"/>
      <w:lvlText w:val=""/>
      <w:lvlJc w:val="left"/>
      <w:pPr>
        <w:ind w:left="720" w:hanging="360"/>
      </w:pPr>
      <w:rPr>
        <w:rFonts w:ascii="Symbol" w:hAnsi="Symbol" w:hint="default"/>
      </w:rPr>
    </w:lvl>
    <w:lvl w:ilvl="1" w:tplc="019403A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CCE7DDB"/>
    <w:multiLevelType w:val="hybridMultilevel"/>
    <w:tmpl w:val="52E0BB8C"/>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E8A6504"/>
    <w:multiLevelType w:val="hybridMultilevel"/>
    <w:tmpl w:val="ED9E75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30B4A64"/>
    <w:multiLevelType w:val="hybridMultilevel"/>
    <w:tmpl w:val="2F24FB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4745250"/>
    <w:multiLevelType w:val="multilevel"/>
    <w:tmpl w:val="3F12E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50B7602"/>
    <w:multiLevelType w:val="hybridMultilevel"/>
    <w:tmpl w:val="640A5BD4"/>
    <w:lvl w:ilvl="0" w:tplc="704802A8">
      <w:start w:val="1430"/>
      <w:numFmt w:val="bullet"/>
      <w:lvlText w:val="-"/>
      <w:lvlJc w:val="left"/>
      <w:pPr>
        <w:ind w:left="720" w:hanging="360"/>
      </w:pPr>
      <w:rPr>
        <w:rFonts w:ascii="Calibri" w:eastAsia="Times New Roman"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5CE2AB7"/>
    <w:multiLevelType w:val="hybridMultilevel"/>
    <w:tmpl w:val="77EC22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5F62A2D"/>
    <w:multiLevelType w:val="hybridMultilevel"/>
    <w:tmpl w:val="551C9D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6532372"/>
    <w:multiLevelType w:val="hybridMultilevel"/>
    <w:tmpl w:val="245C252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7F12AB4"/>
    <w:multiLevelType w:val="hybridMultilevel"/>
    <w:tmpl w:val="787A7A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187323F9"/>
    <w:multiLevelType w:val="hybridMultilevel"/>
    <w:tmpl w:val="7B945B9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191A2238"/>
    <w:multiLevelType w:val="hybridMultilevel"/>
    <w:tmpl w:val="7106878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192B3FDF"/>
    <w:multiLevelType w:val="hybridMultilevel"/>
    <w:tmpl w:val="C7F81E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97E2802"/>
    <w:multiLevelType w:val="hybridMultilevel"/>
    <w:tmpl w:val="7F2889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1AE623C2"/>
    <w:multiLevelType w:val="hybridMultilevel"/>
    <w:tmpl w:val="595EE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CAA62AC"/>
    <w:multiLevelType w:val="hybridMultilevel"/>
    <w:tmpl w:val="73CCE1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1CAE04EF"/>
    <w:multiLevelType w:val="hybridMultilevel"/>
    <w:tmpl w:val="CEE848D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1DB269D7"/>
    <w:multiLevelType w:val="hybridMultilevel"/>
    <w:tmpl w:val="B49C72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44474E9"/>
    <w:multiLevelType w:val="hybridMultilevel"/>
    <w:tmpl w:val="E5AC9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5AB58CB"/>
    <w:multiLevelType w:val="hybridMultilevel"/>
    <w:tmpl w:val="47169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78D15AF"/>
    <w:multiLevelType w:val="hybridMultilevel"/>
    <w:tmpl w:val="513029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284D5F34"/>
    <w:multiLevelType w:val="hybridMultilevel"/>
    <w:tmpl w:val="8EC224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285C143B"/>
    <w:multiLevelType w:val="hybridMultilevel"/>
    <w:tmpl w:val="C538ADA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9AD1699"/>
    <w:multiLevelType w:val="hybridMultilevel"/>
    <w:tmpl w:val="B18A8B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A746867"/>
    <w:multiLevelType w:val="hybridMultilevel"/>
    <w:tmpl w:val="00F6544E"/>
    <w:lvl w:ilvl="0" w:tplc="4EF0DFE4">
      <w:start w:val="1"/>
      <w:numFmt w:val="decimal"/>
      <w:lvlText w:val="%1."/>
      <w:lvlJc w:val="left"/>
      <w:pPr>
        <w:ind w:left="360" w:hanging="360"/>
      </w:pPr>
      <w:rPr>
        <w:rFonts w:ascii="Century Gothic" w:hAnsi="Century Gothic" w:hint="default"/>
      </w:rPr>
    </w:lvl>
    <w:lvl w:ilvl="1" w:tplc="240A0019">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32">
    <w:nsid w:val="2A7E5B74"/>
    <w:multiLevelType w:val="hybridMultilevel"/>
    <w:tmpl w:val="0DEC721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2ABE764E"/>
    <w:multiLevelType w:val="hybridMultilevel"/>
    <w:tmpl w:val="DFC8A7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C4500C2"/>
    <w:multiLevelType w:val="hybridMultilevel"/>
    <w:tmpl w:val="D2E660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DB0031B"/>
    <w:multiLevelType w:val="hybridMultilevel"/>
    <w:tmpl w:val="80C0AF2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nsid w:val="31A01568"/>
    <w:multiLevelType w:val="hybridMultilevel"/>
    <w:tmpl w:val="14E4B1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350B2AFB"/>
    <w:multiLevelType w:val="hybridMultilevel"/>
    <w:tmpl w:val="1744DE94"/>
    <w:lvl w:ilvl="0" w:tplc="240A0001">
      <w:start w:val="1"/>
      <w:numFmt w:val="bullet"/>
      <w:lvlText w:val=""/>
      <w:lvlJc w:val="left"/>
      <w:pPr>
        <w:ind w:left="1060" w:hanging="360"/>
      </w:pPr>
      <w:rPr>
        <w:rFonts w:ascii="Symbol" w:hAnsi="Symbol"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38">
    <w:nsid w:val="3F1D76B8"/>
    <w:multiLevelType w:val="hybridMultilevel"/>
    <w:tmpl w:val="B2CA75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4220079D"/>
    <w:multiLevelType w:val="hybridMultilevel"/>
    <w:tmpl w:val="8B84C37E"/>
    <w:lvl w:ilvl="0" w:tplc="906C1246">
      <w:start w:val="1"/>
      <w:numFmt w:val="decimal"/>
      <w:lvlText w:val="%1."/>
      <w:lvlJc w:val="left"/>
      <w:pPr>
        <w:ind w:left="720" w:hanging="360"/>
      </w:pPr>
      <w:rPr>
        <w:rFonts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42B01520"/>
    <w:multiLevelType w:val="hybridMultilevel"/>
    <w:tmpl w:val="54D25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42B31C09"/>
    <w:multiLevelType w:val="hybridMultilevel"/>
    <w:tmpl w:val="841EDE3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45E533F0"/>
    <w:multiLevelType w:val="hybridMultilevel"/>
    <w:tmpl w:val="875EBC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nsid w:val="47F83C08"/>
    <w:multiLevelType w:val="hybridMultilevel"/>
    <w:tmpl w:val="34F897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84B1EEF"/>
    <w:multiLevelType w:val="hybridMultilevel"/>
    <w:tmpl w:val="C5003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4E5673FF"/>
    <w:multiLevelType w:val="multilevel"/>
    <w:tmpl w:val="D1902542"/>
    <w:lvl w:ilvl="0">
      <w:start w:val="1"/>
      <w:numFmt w:val="decimal"/>
      <w:lvlText w:val="%1."/>
      <w:lvlJc w:val="left"/>
      <w:pPr>
        <w:ind w:left="1080" w:hanging="360"/>
      </w:pPr>
      <w:rPr>
        <w:rFonts w:hint="default"/>
      </w:rPr>
    </w:lvl>
    <w:lvl w:ilvl="1">
      <w:start w:val="1"/>
      <w:numFmt w:val="decimal"/>
      <w:isLgl/>
      <w:lvlText w:val="%1.%2"/>
      <w:lvlJc w:val="left"/>
      <w:pPr>
        <w:ind w:left="1155" w:hanging="43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nsid w:val="4EF6031C"/>
    <w:multiLevelType w:val="hybridMultilevel"/>
    <w:tmpl w:val="D3C4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4F6B6F84"/>
    <w:multiLevelType w:val="multilevel"/>
    <w:tmpl w:val="B9963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2350CA8"/>
    <w:multiLevelType w:val="hybridMultilevel"/>
    <w:tmpl w:val="356E0C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52A7239A"/>
    <w:multiLevelType w:val="hybridMultilevel"/>
    <w:tmpl w:val="79F296DC"/>
    <w:lvl w:ilvl="0" w:tplc="25164556">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0">
    <w:nsid w:val="52C5268C"/>
    <w:multiLevelType w:val="hybridMultilevel"/>
    <w:tmpl w:val="31D624B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535645D0"/>
    <w:multiLevelType w:val="hybridMultilevel"/>
    <w:tmpl w:val="E8AEEA40"/>
    <w:lvl w:ilvl="0" w:tplc="1D6AD1A8">
      <w:start w:val="1"/>
      <w:numFmt w:val="bullet"/>
      <w:lvlText w:val="•"/>
      <w:lvlJc w:val="left"/>
      <w:pPr>
        <w:tabs>
          <w:tab w:val="num" w:pos="720"/>
        </w:tabs>
        <w:ind w:left="720" w:hanging="360"/>
      </w:pPr>
      <w:rPr>
        <w:rFonts w:ascii="Times New Roman" w:hAnsi="Times New Roman" w:hint="default"/>
      </w:rPr>
    </w:lvl>
    <w:lvl w:ilvl="1" w:tplc="BA8AB748" w:tentative="1">
      <w:start w:val="1"/>
      <w:numFmt w:val="bullet"/>
      <w:lvlText w:val="•"/>
      <w:lvlJc w:val="left"/>
      <w:pPr>
        <w:tabs>
          <w:tab w:val="num" w:pos="1440"/>
        </w:tabs>
        <w:ind w:left="1440" w:hanging="360"/>
      </w:pPr>
      <w:rPr>
        <w:rFonts w:ascii="Times New Roman" w:hAnsi="Times New Roman" w:hint="default"/>
      </w:rPr>
    </w:lvl>
    <w:lvl w:ilvl="2" w:tplc="D8B8971E" w:tentative="1">
      <w:start w:val="1"/>
      <w:numFmt w:val="bullet"/>
      <w:lvlText w:val="•"/>
      <w:lvlJc w:val="left"/>
      <w:pPr>
        <w:tabs>
          <w:tab w:val="num" w:pos="2160"/>
        </w:tabs>
        <w:ind w:left="2160" w:hanging="360"/>
      </w:pPr>
      <w:rPr>
        <w:rFonts w:ascii="Times New Roman" w:hAnsi="Times New Roman" w:hint="default"/>
      </w:rPr>
    </w:lvl>
    <w:lvl w:ilvl="3" w:tplc="0092322E" w:tentative="1">
      <w:start w:val="1"/>
      <w:numFmt w:val="bullet"/>
      <w:lvlText w:val="•"/>
      <w:lvlJc w:val="left"/>
      <w:pPr>
        <w:tabs>
          <w:tab w:val="num" w:pos="2880"/>
        </w:tabs>
        <w:ind w:left="2880" w:hanging="360"/>
      </w:pPr>
      <w:rPr>
        <w:rFonts w:ascii="Times New Roman" w:hAnsi="Times New Roman" w:hint="default"/>
      </w:rPr>
    </w:lvl>
    <w:lvl w:ilvl="4" w:tplc="75C213C2" w:tentative="1">
      <w:start w:val="1"/>
      <w:numFmt w:val="bullet"/>
      <w:lvlText w:val="•"/>
      <w:lvlJc w:val="left"/>
      <w:pPr>
        <w:tabs>
          <w:tab w:val="num" w:pos="3600"/>
        </w:tabs>
        <w:ind w:left="3600" w:hanging="360"/>
      </w:pPr>
      <w:rPr>
        <w:rFonts w:ascii="Times New Roman" w:hAnsi="Times New Roman" w:hint="default"/>
      </w:rPr>
    </w:lvl>
    <w:lvl w:ilvl="5" w:tplc="73D2BB14" w:tentative="1">
      <w:start w:val="1"/>
      <w:numFmt w:val="bullet"/>
      <w:lvlText w:val="•"/>
      <w:lvlJc w:val="left"/>
      <w:pPr>
        <w:tabs>
          <w:tab w:val="num" w:pos="4320"/>
        </w:tabs>
        <w:ind w:left="4320" w:hanging="360"/>
      </w:pPr>
      <w:rPr>
        <w:rFonts w:ascii="Times New Roman" w:hAnsi="Times New Roman" w:hint="default"/>
      </w:rPr>
    </w:lvl>
    <w:lvl w:ilvl="6" w:tplc="8C02CA76" w:tentative="1">
      <w:start w:val="1"/>
      <w:numFmt w:val="bullet"/>
      <w:lvlText w:val="•"/>
      <w:lvlJc w:val="left"/>
      <w:pPr>
        <w:tabs>
          <w:tab w:val="num" w:pos="5040"/>
        </w:tabs>
        <w:ind w:left="5040" w:hanging="360"/>
      </w:pPr>
      <w:rPr>
        <w:rFonts w:ascii="Times New Roman" w:hAnsi="Times New Roman" w:hint="default"/>
      </w:rPr>
    </w:lvl>
    <w:lvl w:ilvl="7" w:tplc="CE30A000" w:tentative="1">
      <w:start w:val="1"/>
      <w:numFmt w:val="bullet"/>
      <w:lvlText w:val="•"/>
      <w:lvlJc w:val="left"/>
      <w:pPr>
        <w:tabs>
          <w:tab w:val="num" w:pos="5760"/>
        </w:tabs>
        <w:ind w:left="5760" w:hanging="360"/>
      </w:pPr>
      <w:rPr>
        <w:rFonts w:ascii="Times New Roman" w:hAnsi="Times New Roman" w:hint="default"/>
      </w:rPr>
    </w:lvl>
    <w:lvl w:ilvl="8" w:tplc="B5AE69BA" w:tentative="1">
      <w:start w:val="1"/>
      <w:numFmt w:val="bullet"/>
      <w:lvlText w:val="•"/>
      <w:lvlJc w:val="left"/>
      <w:pPr>
        <w:tabs>
          <w:tab w:val="num" w:pos="6480"/>
        </w:tabs>
        <w:ind w:left="6480" w:hanging="360"/>
      </w:pPr>
      <w:rPr>
        <w:rFonts w:ascii="Times New Roman" w:hAnsi="Times New Roman" w:hint="default"/>
      </w:rPr>
    </w:lvl>
  </w:abstractNum>
  <w:abstractNum w:abstractNumId="52">
    <w:nsid w:val="53B1049B"/>
    <w:multiLevelType w:val="hybridMultilevel"/>
    <w:tmpl w:val="D43E04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53BA561C"/>
    <w:multiLevelType w:val="multilevel"/>
    <w:tmpl w:val="913ADB4C"/>
    <w:lvl w:ilvl="0">
      <w:start w:val="6"/>
      <w:numFmt w:val="decimal"/>
      <w:lvlText w:val="%1"/>
      <w:lvlJc w:val="left"/>
      <w:pPr>
        <w:ind w:left="525" w:hanging="52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4">
    <w:nsid w:val="575471EF"/>
    <w:multiLevelType w:val="hybridMultilevel"/>
    <w:tmpl w:val="49EE8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587C6209"/>
    <w:multiLevelType w:val="multilevel"/>
    <w:tmpl w:val="89A610F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83275C"/>
    <w:multiLevelType w:val="hybridMultilevel"/>
    <w:tmpl w:val="EEA61A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nsid w:val="62A8060F"/>
    <w:multiLevelType w:val="multilevel"/>
    <w:tmpl w:val="450AEF08"/>
    <w:lvl w:ilvl="0">
      <w:start w:val="6"/>
      <w:numFmt w:val="decimal"/>
      <w:lvlText w:val="%1"/>
      <w:lvlJc w:val="left"/>
      <w:pPr>
        <w:ind w:left="456" w:hanging="456"/>
      </w:pPr>
      <w:rPr>
        <w:rFonts w:hint="default"/>
      </w:rPr>
    </w:lvl>
    <w:lvl w:ilvl="1">
      <w:start w:val="6"/>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3481CD6"/>
    <w:multiLevelType w:val="hybridMultilevel"/>
    <w:tmpl w:val="F3CA2FAA"/>
    <w:lvl w:ilvl="0" w:tplc="27FC36DC">
      <w:start w:val="1"/>
      <w:numFmt w:val="decimal"/>
      <w:lvlText w:val="%1."/>
      <w:lvlJc w:val="left"/>
      <w:pPr>
        <w:ind w:left="720" w:hanging="360"/>
      </w:pPr>
      <w:rPr>
        <w:rFonts w:ascii="Century Gothic" w:hAnsi="Century Gothic"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649455D9"/>
    <w:multiLevelType w:val="hybridMultilevel"/>
    <w:tmpl w:val="2A72DF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nsid w:val="64E31DD3"/>
    <w:multiLevelType w:val="hybridMultilevel"/>
    <w:tmpl w:val="A2C83E36"/>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64E56AEA"/>
    <w:multiLevelType w:val="hybridMultilevel"/>
    <w:tmpl w:val="DD302F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78479A4"/>
    <w:multiLevelType w:val="hybridMultilevel"/>
    <w:tmpl w:val="E42AA6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nsid w:val="6B5F69E3"/>
    <w:multiLevelType w:val="multilevel"/>
    <w:tmpl w:val="D9402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6F5A3258"/>
    <w:multiLevelType w:val="hybridMultilevel"/>
    <w:tmpl w:val="51605DD2"/>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5">
    <w:nsid w:val="719B2543"/>
    <w:multiLevelType w:val="hybridMultilevel"/>
    <w:tmpl w:val="C78CEE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5C60C6C"/>
    <w:multiLevelType w:val="hybridMultilevel"/>
    <w:tmpl w:val="273CAA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780C319B"/>
    <w:multiLevelType w:val="multilevel"/>
    <w:tmpl w:val="8FDC5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9AC0580"/>
    <w:multiLevelType w:val="hybridMultilevel"/>
    <w:tmpl w:val="232CC808"/>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9">
    <w:nsid w:val="7AF00B48"/>
    <w:multiLevelType w:val="hybridMultilevel"/>
    <w:tmpl w:val="B838F3B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7C00679B"/>
    <w:multiLevelType w:val="hybridMultilevel"/>
    <w:tmpl w:val="713696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D93384A"/>
    <w:multiLevelType w:val="hybridMultilevel"/>
    <w:tmpl w:val="F000E9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nsid w:val="7E927915"/>
    <w:multiLevelType w:val="hybridMultilevel"/>
    <w:tmpl w:val="F28A3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7EBA718F"/>
    <w:multiLevelType w:val="hybridMultilevel"/>
    <w:tmpl w:val="C5003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7EE603F7"/>
    <w:multiLevelType w:val="hybridMultilevel"/>
    <w:tmpl w:val="6F64D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FFB2153"/>
    <w:multiLevelType w:val="hybridMultilevel"/>
    <w:tmpl w:val="B5CE3C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8"/>
  </w:num>
  <w:num w:numId="2">
    <w:abstractNumId w:val="64"/>
  </w:num>
  <w:num w:numId="3">
    <w:abstractNumId w:val="23"/>
  </w:num>
  <w:num w:numId="4">
    <w:abstractNumId w:val="58"/>
  </w:num>
  <w:num w:numId="5">
    <w:abstractNumId w:val="75"/>
  </w:num>
  <w:num w:numId="6">
    <w:abstractNumId w:val="66"/>
  </w:num>
  <w:num w:numId="7">
    <w:abstractNumId w:val="28"/>
  </w:num>
  <w:num w:numId="8">
    <w:abstractNumId w:val="44"/>
  </w:num>
  <w:num w:numId="9">
    <w:abstractNumId w:val="73"/>
  </w:num>
  <w:num w:numId="10">
    <w:abstractNumId w:val="48"/>
  </w:num>
  <w:num w:numId="11">
    <w:abstractNumId w:val="32"/>
  </w:num>
  <w:num w:numId="12">
    <w:abstractNumId w:val="46"/>
  </w:num>
  <w:num w:numId="13">
    <w:abstractNumId w:val="72"/>
  </w:num>
  <w:num w:numId="14">
    <w:abstractNumId w:val="15"/>
  </w:num>
  <w:num w:numId="15">
    <w:abstractNumId w:val="31"/>
  </w:num>
  <w:num w:numId="16">
    <w:abstractNumId w:val="35"/>
  </w:num>
  <w:num w:numId="17">
    <w:abstractNumId w:val="38"/>
  </w:num>
  <w:num w:numId="18">
    <w:abstractNumId w:val="61"/>
  </w:num>
  <w:num w:numId="19">
    <w:abstractNumId w:val="30"/>
  </w:num>
  <w:num w:numId="20">
    <w:abstractNumId w:val="43"/>
  </w:num>
  <w:num w:numId="21">
    <w:abstractNumId w:val="24"/>
  </w:num>
  <w:num w:numId="22">
    <w:abstractNumId w:val="6"/>
  </w:num>
  <w:num w:numId="23">
    <w:abstractNumId w:val="71"/>
  </w:num>
  <w:num w:numId="24">
    <w:abstractNumId w:val="60"/>
  </w:num>
  <w:num w:numId="25">
    <w:abstractNumId w:val="49"/>
  </w:num>
  <w:num w:numId="26">
    <w:abstractNumId w:val="10"/>
  </w:num>
  <w:num w:numId="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51"/>
  </w:num>
  <w:num w:numId="32">
    <w:abstractNumId w:val="21"/>
  </w:num>
  <w:num w:numId="33">
    <w:abstractNumId w:val="0"/>
    <w:lvlOverride w:ilvl="0">
      <w:startOverride w:val="1"/>
    </w:lvlOverride>
    <w:lvlOverride w:ilvl="1"/>
    <w:lvlOverride w:ilvl="2"/>
    <w:lvlOverride w:ilvl="3"/>
    <w:lvlOverride w:ilvl="4"/>
    <w:lvlOverride w:ilvl="5"/>
    <w:lvlOverride w:ilvl="6"/>
    <w:lvlOverride w:ilvl="7"/>
    <w:lvlOverride w:ilvl="8"/>
  </w:num>
  <w:num w:numId="34">
    <w:abstractNumId w:val="17"/>
  </w:num>
  <w:num w:numId="35">
    <w:abstractNumId w:val="42"/>
  </w:num>
  <w:num w:numId="36">
    <w:abstractNumId w:val="14"/>
  </w:num>
  <w:num w:numId="37">
    <w:abstractNumId w:val="62"/>
  </w:num>
  <w:num w:numId="38">
    <w:abstractNumId w:val="2"/>
  </w:num>
  <w:num w:numId="39">
    <w:abstractNumId w:val="13"/>
  </w:num>
  <w:num w:numId="40">
    <w:abstractNumId w:val="36"/>
  </w:num>
  <w:num w:numId="41">
    <w:abstractNumId w:val="18"/>
  </w:num>
  <w:num w:numId="42">
    <w:abstractNumId w:val="9"/>
  </w:num>
  <w:num w:numId="43">
    <w:abstractNumId w:val="22"/>
  </w:num>
  <w:num w:numId="44">
    <w:abstractNumId w:val="56"/>
  </w:num>
  <w:num w:numId="45">
    <w:abstractNumId w:val="12"/>
  </w:num>
  <w:num w:numId="46">
    <w:abstractNumId w:val="3"/>
  </w:num>
  <w:num w:numId="47">
    <w:abstractNumId w:val="19"/>
  </w:num>
  <w:num w:numId="48">
    <w:abstractNumId w:val="25"/>
  </w:num>
  <w:num w:numId="49">
    <w:abstractNumId w:val="37"/>
  </w:num>
  <w:num w:numId="50">
    <w:abstractNumId w:val="26"/>
  </w:num>
  <w:num w:numId="51">
    <w:abstractNumId w:val="1"/>
  </w:num>
  <w:num w:numId="52">
    <w:abstractNumId w:val="70"/>
  </w:num>
  <w:num w:numId="53">
    <w:abstractNumId w:val="55"/>
  </w:num>
  <w:num w:numId="54">
    <w:abstractNumId w:val="69"/>
  </w:num>
  <w:num w:numId="55">
    <w:abstractNumId w:val="34"/>
  </w:num>
  <w:num w:numId="56">
    <w:abstractNumId w:val="65"/>
  </w:num>
  <w:num w:numId="57">
    <w:abstractNumId w:val="5"/>
  </w:num>
  <w:num w:numId="58">
    <w:abstractNumId w:val="33"/>
  </w:num>
  <w:num w:numId="59">
    <w:abstractNumId w:val="74"/>
  </w:num>
  <w:num w:numId="60">
    <w:abstractNumId w:val="27"/>
  </w:num>
  <w:num w:numId="61">
    <w:abstractNumId w:val="7"/>
  </w:num>
  <w:num w:numId="62">
    <w:abstractNumId w:val="50"/>
  </w:num>
  <w:num w:numId="63">
    <w:abstractNumId w:val="41"/>
  </w:num>
  <w:num w:numId="64">
    <w:abstractNumId w:val="29"/>
  </w:num>
  <w:num w:numId="65">
    <w:abstractNumId w:val="63"/>
  </w:num>
  <w:num w:numId="66">
    <w:abstractNumId w:val="39"/>
  </w:num>
  <w:num w:numId="67">
    <w:abstractNumId w:val="8"/>
  </w:num>
  <w:num w:numId="68">
    <w:abstractNumId w:val="54"/>
  </w:num>
  <w:num w:numId="69">
    <w:abstractNumId w:val="16"/>
  </w:num>
  <w:num w:numId="70">
    <w:abstractNumId w:val="45"/>
  </w:num>
  <w:num w:numId="71">
    <w:abstractNumId w:val="53"/>
  </w:num>
  <w:num w:numId="72">
    <w:abstractNumId w:val="57"/>
  </w:num>
  <w:num w:numId="73">
    <w:abstractNumId w:val="4"/>
  </w:num>
  <w:num w:numId="74">
    <w:abstractNumId w:val="52"/>
  </w:num>
  <w:num w:numId="75">
    <w:abstractNumId w:val="59"/>
  </w:num>
  <w:num w:numId="76">
    <w:abstractNumId w:val="2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defaultTabStop w:val="708"/>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53355F"/>
    <w:rsid w:val="00000450"/>
    <w:rsid w:val="00000F81"/>
    <w:rsid w:val="0001110E"/>
    <w:rsid w:val="0002195B"/>
    <w:rsid w:val="00023C03"/>
    <w:rsid w:val="00025E0F"/>
    <w:rsid w:val="00041382"/>
    <w:rsid w:val="00064BA9"/>
    <w:rsid w:val="00066E41"/>
    <w:rsid w:val="000E4768"/>
    <w:rsid w:val="00113F16"/>
    <w:rsid w:val="00142217"/>
    <w:rsid w:val="00143010"/>
    <w:rsid w:val="00166BA9"/>
    <w:rsid w:val="001719A1"/>
    <w:rsid w:val="0018323F"/>
    <w:rsid w:val="001848F2"/>
    <w:rsid w:val="001B34D0"/>
    <w:rsid w:val="001F77EF"/>
    <w:rsid w:val="00201169"/>
    <w:rsid w:val="00201863"/>
    <w:rsid w:val="00214B66"/>
    <w:rsid w:val="00215ED6"/>
    <w:rsid w:val="00222418"/>
    <w:rsid w:val="002331AB"/>
    <w:rsid w:val="00250676"/>
    <w:rsid w:val="002529B8"/>
    <w:rsid w:val="002616FA"/>
    <w:rsid w:val="00273882"/>
    <w:rsid w:val="00290CE9"/>
    <w:rsid w:val="002E1676"/>
    <w:rsid w:val="002F1EF7"/>
    <w:rsid w:val="002F38F9"/>
    <w:rsid w:val="002F44A5"/>
    <w:rsid w:val="00330805"/>
    <w:rsid w:val="00334D8F"/>
    <w:rsid w:val="0033759C"/>
    <w:rsid w:val="003A5CCE"/>
    <w:rsid w:val="003A7E0B"/>
    <w:rsid w:val="003B2265"/>
    <w:rsid w:val="003C3F0C"/>
    <w:rsid w:val="003D2CEA"/>
    <w:rsid w:val="003D55C4"/>
    <w:rsid w:val="003D59B2"/>
    <w:rsid w:val="003F2E89"/>
    <w:rsid w:val="003F5757"/>
    <w:rsid w:val="00431D6B"/>
    <w:rsid w:val="004479A9"/>
    <w:rsid w:val="00475B0D"/>
    <w:rsid w:val="0049054A"/>
    <w:rsid w:val="004A0604"/>
    <w:rsid w:val="004A79F5"/>
    <w:rsid w:val="004C0A6A"/>
    <w:rsid w:val="004C11CB"/>
    <w:rsid w:val="004C22F2"/>
    <w:rsid w:val="004D39CF"/>
    <w:rsid w:val="00507A08"/>
    <w:rsid w:val="0053355F"/>
    <w:rsid w:val="005351D0"/>
    <w:rsid w:val="00577592"/>
    <w:rsid w:val="005811AD"/>
    <w:rsid w:val="0059027D"/>
    <w:rsid w:val="005D6273"/>
    <w:rsid w:val="00602B7C"/>
    <w:rsid w:val="00607C1C"/>
    <w:rsid w:val="0063125D"/>
    <w:rsid w:val="00635544"/>
    <w:rsid w:val="0063698D"/>
    <w:rsid w:val="00657694"/>
    <w:rsid w:val="00673F62"/>
    <w:rsid w:val="00692363"/>
    <w:rsid w:val="006A72F0"/>
    <w:rsid w:val="006B0C6D"/>
    <w:rsid w:val="006C3CF7"/>
    <w:rsid w:val="006E6C52"/>
    <w:rsid w:val="0072741F"/>
    <w:rsid w:val="00755C1C"/>
    <w:rsid w:val="00780125"/>
    <w:rsid w:val="0078472D"/>
    <w:rsid w:val="007B5D49"/>
    <w:rsid w:val="007B694B"/>
    <w:rsid w:val="007C07DB"/>
    <w:rsid w:val="007C3396"/>
    <w:rsid w:val="007E5119"/>
    <w:rsid w:val="007F643E"/>
    <w:rsid w:val="00813132"/>
    <w:rsid w:val="0081612B"/>
    <w:rsid w:val="00817127"/>
    <w:rsid w:val="00833724"/>
    <w:rsid w:val="0086296A"/>
    <w:rsid w:val="00863BF6"/>
    <w:rsid w:val="008C07ED"/>
    <w:rsid w:val="008C5D5A"/>
    <w:rsid w:val="008D50AE"/>
    <w:rsid w:val="008F231D"/>
    <w:rsid w:val="0090015F"/>
    <w:rsid w:val="00916E60"/>
    <w:rsid w:val="009225DA"/>
    <w:rsid w:val="00941681"/>
    <w:rsid w:val="00982E3B"/>
    <w:rsid w:val="009A2496"/>
    <w:rsid w:val="009A3D49"/>
    <w:rsid w:val="009C283B"/>
    <w:rsid w:val="009C468B"/>
    <w:rsid w:val="009D6CD6"/>
    <w:rsid w:val="009E7E9E"/>
    <w:rsid w:val="009F22AB"/>
    <w:rsid w:val="009F4D8F"/>
    <w:rsid w:val="009F7CE1"/>
    <w:rsid w:val="00A37F62"/>
    <w:rsid w:val="00A42797"/>
    <w:rsid w:val="00A442AE"/>
    <w:rsid w:val="00A85AD9"/>
    <w:rsid w:val="00A92D87"/>
    <w:rsid w:val="00AA0FE8"/>
    <w:rsid w:val="00AA1C79"/>
    <w:rsid w:val="00AB2385"/>
    <w:rsid w:val="00AC5905"/>
    <w:rsid w:val="00AE74F6"/>
    <w:rsid w:val="00B21121"/>
    <w:rsid w:val="00B24EB1"/>
    <w:rsid w:val="00B2568D"/>
    <w:rsid w:val="00B367C4"/>
    <w:rsid w:val="00B5452E"/>
    <w:rsid w:val="00B67D6E"/>
    <w:rsid w:val="00B74052"/>
    <w:rsid w:val="00B8085F"/>
    <w:rsid w:val="00BC5E44"/>
    <w:rsid w:val="00C141DE"/>
    <w:rsid w:val="00C47CCB"/>
    <w:rsid w:val="00C642A2"/>
    <w:rsid w:val="00C758D6"/>
    <w:rsid w:val="00C7756D"/>
    <w:rsid w:val="00C81BDF"/>
    <w:rsid w:val="00C915A4"/>
    <w:rsid w:val="00CC2592"/>
    <w:rsid w:val="00CD7219"/>
    <w:rsid w:val="00CE6ECB"/>
    <w:rsid w:val="00CF1016"/>
    <w:rsid w:val="00D06359"/>
    <w:rsid w:val="00D14542"/>
    <w:rsid w:val="00D852D6"/>
    <w:rsid w:val="00DB0FAD"/>
    <w:rsid w:val="00DD0D52"/>
    <w:rsid w:val="00DF33AA"/>
    <w:rsid w:val="00DF63E8"/>
    <w:rsid w:val="00E2705A"/>
    <w:rsid w:val="00E4352B"/>
    <w:rsid w:val="00E608F4"/>
    <w:rsid w:val="00E733BC"/>
    <w:rsid w:val="00E977C6"/>
    <w:rsid w:val="00EB7894"/>
    <w:rsid w:val="00ED757F"/>
    <w:rsid w:val="00EE7888"/>
    <w:rsid w:val="00F07B9B"/>
    <w:rsid w:val="00F1345F"/>
    <w:rsid w:val="00F331E7"/>
    <w:rsid w:val="00F368AB"/>
    <w:rsid w:val="00F87E25"/>
    <w:rsid w:val="00F97F51"/>
    <w:rsid w:val="00FF6074"/>
    <w:rsid w:val="00FF683A"/>
    <w:rsid w:val="00FF6BC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B66"/>
  </w:style>
  <w:style w:type="paragraph" w:styleId="Ttulo1">
    <w:name w:val="heading 1"/>
    <w:basedOn w:val="Normal"/>
    <w:next w:val="Normal"/>
    <w:link w:val="Ttulo1Car"/>
    <w:uiPriority w:val="9"/>
    <w:qFormat/>
    <w:rsid w:val="009A24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B22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576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A2496"/>
    <w:pPr>
      <w:suppressAutoHyphens/>
      <w:spacing w:after="0" w:line="240" w:lineRule="auto"/>
      <w:ind w:left="720"/>
      <w:contextualSpacing/>
    </w:pPr>
    <w:rPr>
      <w:rFonts w:ascii="Times New Roman" w:eastAsia="Times New Roman" w:hAnsi="Times New Roman" w:cs="Times New Roman"/>
      <w:sz w:val="24"/>
      <w:szCs w:val="24"/>
      <w:lang w:val="es-ES" w:eastAsia="ar-SA"/>
    </w:rPr>
  </w:style>
  <w:style w:type="paragraph" w:styleId="Sinespaciado">
    <w:name w:val="No Spacing"/>
    <w:uiPriority w:val="1"/>
    <w:qFormat/>
    <w:rsid w:val="009A2496"/>
    <w:pPr>
      <w:spacing w:after="0" w:line="240" w:lineRule="auto"/>
    </w:pPr>
    <w:rPr>
      <w:rFonts w:ascii="Calibri" w:eastAsia="Calibri" w:hAnsi="Calibri" w:cs="Times New Roman"/>
    </w:rPr>
  </w:style>
  <w:style w:type="paragraph" w:styleId="Citadestacada">
    <w:name w:val="Intense Quote"/>
    <w:basedOn w:val="Normal"/>
    <w:next w:val="Normal"/>
    <w:link w:val="CitadestacadaCar"/>
    <w:uiPriority w:val="30"/>
    <w:qFormat/>
    <w:rsid w:val="009A2496"/>
    <w:pPr>
      <w:pBdr>
        <w:top w:val="single" w:sz="4" w:space="10" w:color="4F81BD"/>
        <w:bottom w:val="single" w:sz="4" w:space="10" w:color="4F81BD"/>
      </w:pBdr>
      <w:spacing w:before="360" w:after="360"/>
      <w:ind w:left="864" w:right="864"/>
      <w:jc w:val="center"/>
    </w:pPr>
    <w:rPr>
      <w:rFonts w:ascii="Calibri" w:eastAsia="Calibri" w:hAnsi="Calibri" w:cs="Times New Roman"/>
      <w:i/>
      <w:iCs/>
      <w:color w:val="4F81BD"/>
    </w:rPr>
  </w:style>
  <w:style w:type="character" w:customStyle="1" w:styleId="CitadestacadaCar">
    <w:name w:val="Cita destacada Car"/>
    <w:basedOn w:val="Fuentedeprrafopredeter"/>
    <w:link w:val="Citadestacada"/>
    <w:uiPriority w:val="30"/>
    <w:rsid w:val="009A2496"/>
    <w:rPr>
      <w:rFonts w:ascii="Calibri" w:eastAsia="Calibri" w:hAnsi="Calibri" w:cs="Times New Roman"/>
      <w:i/>
      <w:iCs/>
      <w:color w:val="4F81BD"/>
    </w:rPr>
  </w:style>
  <w:style w:type="table" w:styleId="Tablaconcuadrcula">
    <w:name w:val="Table Grid"/>
    <w:basedOn w:val="Tablanormal"/>
    <w:uiPriority w:val="39"/>
    <w:rsid w:val="009A2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A2496"/>
    <w:rPr>
      <w:color w:val="0563C1" w:themeColor="hyperlink"/>
      <w:u w:val="single"/>
    </w:rPr>
  </w:style>
  <w:style w:type="table" w:customStyle="1" w:styleId="Tablaconcuadrcula5">
    <w:name w:val="Tabla con cuadrícula5"/>
    <w:basedOn w:val="Tablanormal"/>
    <w:next w:val="Tablaconcuadrcula"/>
    <w:uiPriority w:val="39"/>
    <w:rsid w:val="009A2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5">
    <w:name w:val="Tabla de cuadrícula 2 - Énfasis 515"/>
    <w:basedOn w:val="Tablanormal"/>
    <w:uiPriority w:val="47"/>
    <w:rsid w:val="009A2496"/>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1">
    <w:name w:val="Tabla con cuadrícula11"/>
    <w:basedOn w:val="Tablanormal"/>
    <w:next w:val="Tablaconcuadrcula"/>
    <w:uiPriority w:val="39"/>
    <w:rsid w:val="009A2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11">
    <w:name w:val="Tabla de cuadrícula 2 - Énfasis 5111"/>
    <w:basedOn w:val="Tablanormal"/>
    <w:uiPriority w:val="47"/>
    <w:rsid w:val="009A2496"/>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8">
    <w:name w:val="Tabla con cuadrícula8"/>
    <w:basedOn w:val="Tablanormal"/>
    <w:next w:val="Tablaconcuadrcula"/>
    <w:uiPriority w:val="39"/>
    <w:rsid w:val="009A2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8">
    <w:name w:val="Tabla de cuadrícula 2 - Énfasis 518"/>
    <w:basedOn w:val="Tablanormal"/>
    <w:uiPriority w:val="47"/>
    <w:rsid w:val="009A2496"/>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1Car">
    <w:name w:val="Título 1 Car"/>
    <w:basedOn w:val="Fuentedeprrafopredeter"/>
    <w:link w:val="Ttulo1"/>
    <w:uiPriority w:val="9"/>
    <w:rsid w:val="009A2496"/>
    <w:rPr>
      <w:rFonts w:asciiTheme="majorHAnsi" w:eastAsiaTheme="majorEastAsia" w:hAnsiTheme="majorHAnsi" w:cstheme="majorBidi"/>
      <w:color w:val="2E74B5" w:themeColor="accent1" w:themeShade="BF"/>
      <w:sz w:val="32"/>
      <w:szCs w:val="32"/>
    </w:rPr>
  </w:style>
  <w:style w:type="table" w:customStyle="1" w:styleId="Tablaconcuadrcula51">
    <w:name w:val="Tabla con cuadrícula51"/>
    <w:basedOn w:val="Tablanormal"/>
    <w:next w:val="Tablaconcuadrcula"/>
    <w:uiPriority w:val="39"/>
    <w:rsid w:val="00982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51">
    <w:name w:val="Tabla de cuadrícula 2 - Énfasis 5151"/>
    <w:basedOn w:val="Tablanormal"/>
    <w:uiPriority w:val="47"/>
    <w:rsid w:val="00982E3B"/>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52">
    <w:name w:val="Tabla con cuadrícula52"/>
    <w:basedOn w:val="Tablanormal"/>
    <w:next w:val="Tablaconcuadrcula"/>
    <w:uiPriority w:val="39"/>
    <w:rsid w:val="00982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52">
    <w:name w:val="Tabla de cuadrícula 2 - Énfasis 5152"/>
    <w:basedOn w:val="Tablanormal"/>
    <w:uiPriority w:val="47"/>
    <w:rsid w:val="00982E3B"/>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6">
    <w:name w:val="Tabla con cuadrícula6"/>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6">
    <w:name w:val="Tabla de cuadrícula 2 - Énfasis 516"/>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61">
    <w:name w:val="Tabla con cuadrícula61"/>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61">
    <w:name w:val="Tabla de cuadrícula 2 - Énfasis 5161"/>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62">
    <w:name w:val="Tabla con cuadrícula62"/>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62">
    <w:name w:val="Tabla de cuadrícula 2 - Énfasis 5162"/>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0">
    <w:name w:val="Tabla con cuadrícula10"/>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10">
    <w:name w:val="Tabla de cuadrícula 2 - Énfasis 5110"/>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Sinlista1">
    <w:name w:val="Sin lista1"/>
    <w:next w:val="Sinlista"/>
    <w:uiPriority w:val="99"/>
    <w:semiHidden/>
    <w:unhideWhenUsed/>
    <w:rsid w:val="00E2705A"/>
  </w:style>
  <w:style w:type="paragraph" w:styleId="Encabezado">
    <w:name w:val="header"/>
    <w:basedOn w:val="Normal"/>
    <w:link w:val="EncabezadoCar"/>
    <w:uiPriority w:val="99"/>
    <w:unhideWhenUsed/>
    <w:rsid w:val="00E2705A"/>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E2705A"/>
    <w:rPr>
      <w:rFonts w:ascii="Calibri" w:eastAsia="Calibri" w:hAnsi="Calibri" w:cs="Times New Roman"/>
    </w:rPr>
  </w:style>
  <w:style w:type="paragraph" w:styleId="Piedepgina">
    <w:name w:val="footer"/>
    <w:basedOn w:val="Normal"/>
    <w:link w:val="PiedepginaCar"/>
    <w:uiPriority w:val="99"/>
    <w:unhideWhenUsed/>
    <w:rsid w:val="00E2705A"/>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E2705A"/>
    <w:rPr>
      <w:rFonts w:ascii="Calibri" w:eastAsia="Calibri" w:hAnsi="Calibri" w:cs="Times New Roman"/>
    </w:rPr>
  </w:style>
  <w:style w:type="paragraph" w:styleId="Textodeglobo">
    <w:name w:val="Balloon Text"/>
    <w:basedOn w:val="Normal"/>
    <w:link w:val="TextodegloboCar"/>
    <w:uiPriority w:val="99"/>
    <w:unhideWhenUsed/>
    <w:rsid w:val="00E2705A"/>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rsid w:val="00E2705A"/>
    <w:rPr>
      <w:rFonts w:ascii="Tahoma" w:eastAsia="Calibri" w:hAnsi="Tahoma" w:cs="Tahoma"/>
      <w:sz w:val="16"/>
      <w:szCs w:val="16"/>
    </w:rPr>
  </w:style>
  <w:style w:type="paragraph" w:styleId="NormalWeb">
    <w:name w:val="Normal (Web)"/>
    <w:basedOn w:val="Normal"/>
    <w:uiPriority w:val="99"/>
    <w:unhideWhenUsed/>
    <w:rsid w:val="00E2705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inespaciado1">
    <w:name w:val="Sin espaciado1"/>
    <w:uiPriority w:val="99"/>
    <w:rsid w:val="00E2705A"/>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E2705A"/>
    <w:pPr>
      <w:spacing w:after="0" w:line="240" w:lineRule="auto"/>
      <w:ind w:left="720"/>
      <w:contextualSpacing/>
    </w:pPr>
    <w:rPr>
      <w:rFonts w:ascii="Calibri" w:eastAsia="Times New Roman" w:hAnsi="Calibri" w:cs="Times New Roman"/>
    </w:rPr>
  </w:style>
  <w:style w:type="paragraph" w:styleId="Textoindependiente">
    <w:name w:val="Body Text"/>
    <w:basedOn w:val="Normal"/>
    <w:link w:val="TextoindependienteCar"/>
    <w:uiPriority w:val="99"/>
    <w:rsid w:val="00E2705A"/>
    <w:pPr>
      <w:spacing w:after="0" w:line="240" w:lineRule="auto"/>
      <w:jc w:val="center"/>
    </w:pPr>
    <w:rPr>
      <w:rFonts w:ascii="Bookman Old Style" w:eastAsia="Times New Roman" w:hAnsi="Bookman Old Style" w:cs="Times New Roman"/>
      <w:b/>
      <w:bCs/>
      <w:sz w:val="24"/>
      <w:szCs w:val="24"/>
      <w:lang w:val="es-ES" w:eastAsia="es-ES"/>
    </w:rPr>
  </w:style>
  <w:style w:type="character" w:customStyle="1" w:styleId="TextoindependienteCar">
    <w:name w:val="Texto independiente Car"/>
    <w:basedOn w:val="Fuentedeprrafopredeter"/>
    <w:link w:val="Textoindependiente"/>
    <w:uiPriority w:val="99"/>
    <w:rsid w:val="00E2705A"/>
    <w:rPr>
      <w:rFonts w:ascii="Bookman Old Style" w:eastAsia="Times New Roman" w:hAnsi="Bookman Old Style" w:cs="Times New Roman"/>
      <w:b/>
      <w:bCs/>
      <w:sz w:val="24"/>
      <w:szCs w:val="24"/>
      <w:lang w:val="es-ES" w:eastAsia="es-ES"/>
    </w:rPr>
  </w:style>
  <w:style w:type="paragraph" w:styleId="Listaconvietas">
    <w:name w:val="List Bullet"/>
    <w:basedOn w:val="Normal"/>
    <w:uiPriority w:val="99"/>
    <w:unhideWhenUsed/>
    <w:rsid w:val="00E2705A"/>
    <w:pPr>
      <w:numPr>
        <w:numId w:val="51"/>
      </w:numPr>
      <w:spacing w:after="200" w:line="276" w:lineRule="auto"/>
      <w:contextualSpacing/>
    </w:pPr>
    <w:rPr>
      <w:rFonts w:ascii="Calibri" w:eastAsia="Calibri" w:hAnsi="Calibri" w:cs="Times New Roman"/>
      <w:lang w:val="es-ES"/>
    </w:rPr>
  </w:style>
  <w:style w:type="table" w:customStyle="1" w:styleId="Sombreadoclaro-nfasis11">
    <w:name w:val="Sombreado claro - Énfasis 11"/>
    <w:basedOn w:val="Tablanormal"/>
    <w:uiPriority w:val="60"/>
    <w:rsid w:val="00E2705A"/>
    <w:pPr>
      <w:spacing w:after="0" w:line="240" w:lineRule="auto"/>
    </w:pPr>
    <w:rPr>
      <w:rFonts w:ascii="Calibri" w:eastAsia="Calibri" w:hAnsi="Calibri" w:cs="Times New Roman"/>
      <w:color w:val="365F91"/>
      <w:sz w:val="20"/>
      <w:szCs w:val="20"/>
      <w:lang w:eastAsia="es-C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inespaciado2">
    <w:name w:val="Sin espaciado2"/>
    <w:uiPriority w:val="1"/>
    <w:qFormat/>
    <w:rsid w:val="00E2705A"/>
    <w:pPr>
      <w:spacing w:after="0" w:line="240" w:lineRule="auto"/>
    </w:pPr>
    <w:rPr>
      <w:rFonts w:ascii="Calibri" w:eastAsia="Calibri" w:hAnsi="Calibri" w:cs="Times New Roman"/>
      <w:lang w:val="es-ES"/>
    </w:rPr>
  </w:style>
  <w:style w:type="table" w:customStyle="1" w:styleId="Tablaconcuadrcula1">
    <w:name w:val="Tabla con cuadrícula1"/>
    <w:basedOn w:val="Tablanormal"/>
    <w:next w:val="Tablaconcuadrcula"/>
    <w:uiPriority w:val="39"/>
    <w:rsid w:val="00E2705A"/>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705A"/>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customStyle="1" w:styleId="WW-Default">
    <w:name w:val="WW-Default"/>
    <w:rsid w:val="00E2705A"/>
    <w:pPr>
      <w:suppressAutoHyphens/>
      <w:autoSpaceDE w:val="0"/>
      <w:spacing w:after="0" w:line="240" w:lineRule="auto"/>
    </w:pPr>
    <w:rPr>
      <w:rFonts w:ascii="Tahoma" w:eastAsia="Calibri" w:hAnsi="Tahoma" w:cs="Tahoma"/>
      <w:color w:val="000000"/>
      <w:sz w:val="24"/>
      <w:szCs w:val="24"/>
      <w:lang w:val="es-ES" w:eastAsia="zh-CN"/>
    </w:rPr>
  </w:style>
  <w:style w:type="character" w:customStyle="1" w:styleId="ListLabel1">
    <w:name w:val="ListLabel 1"/>
    <w:uiPriority w:val="99"/>
    <w:rsid w:val="00E2705A"/>
  </w:style>
  <w:style w:type="paragraph" w:customStyle="1" w:styleId="Prrafodelista2">
    <w:name w:val="Párrafo de lista2"/>
    <w:basedOn w:val="Normal"/>
    <w:rsid w:val="00E2705A"/>
    <w:pPr>
      <w:spacing w:after="200" w:line="276" w:lineRule="auto"/>
      <w:ind w:left="720"/>
    </w:pPr>
    <w:rPr>
      <w:rFonts w:ascii="Calibri" w:eastAsia="Times New Roman" w:hAnsi="Calibri" w:cs="Calibri"/>
      <w:lang w:val="es-ES" w:eastAsia="es-ES"/>
    </w:rPr>
  </w:style>
  <w:style w:type="paragraph" w:customStyle="1" w:styleId="Cuadrculamedia1-nfasis21">
    <w:name w:val="Cuadrícula media 1 - Énfasis 21"/>
    <w:basedOn w:val="Normal"/>
    <w:uiPriority w:val="34"/>
    <w:qFormat/>
    <w:rsid w:val="00E2705A"/>
    <w:pPr>
      <w:spacing w:after="0" w:line="240" w:lineRule="auto"/>
      <w:ind w:left="720"/>
      <w:contextualSpacing/>
    </w:pPr>
    <w:rPr>
      <w:rFonts w:ascii="Cambria" w:eastAsia="MS Mincho" w:hAnsi="Cambria" w:cs="Times New Roman"/>
      <w:sz w:val="24"/>
      <w:szCs w:val="24"/>
      <w:lang w:val="es-ES_tradnl" w:eastAsia="es-ES"/>
    </w:rPr>
  </w:style>
  <w:style w:type="paragraph" w:styleId="Ttulo">
    <w:name w:val="Title"/>
    <w:basedOn w:val="Normal"/>
    <w:next w:val="Normal"/>
    <w:link w:val="TtuloCar"/>
    <w:uiPriority w:val="10"/>
    <w:qFormat/>
    <w:rsid w:val="00E2705A"/>
    <w:pPr>
      <w:spacing w:after="0" w:line="240" w:lineRule="auto"/>
      <w:contextualSpacing/>
    </w:pPr>
    <w:rPr>
      <w:rFonts w:ascii="Cambria" w:eastAsia="Times New Roman" w:hAnsi="Cambria" w:cs="Times New Roman"/>
      <w:spacing w:val="-10"/>
      <w:kern w:val="28"/>
      <w:sz w:val="56"/>
      <w:szCs w:val="56"/>
    </w:rPr>
  </w:style>
  <w:style w:type="character" w:customStyle="1" w:styleId="PuestoCar">
    <w:name w:val="Puesto Car"/>
    <w:basedOn w:val="Fuentedeprrafopredeter"/>
    <w:uiPriority w:val="10"/>
    <w:rsid w:val="00E2705A"/>
    <w:rPr>
      <w:rFonts w:asciiTheme="majorHAnsi" w:eastAsiaTheme="majorEastAsia" w:hAnsiTheme="majorHAnsi" w:cstheme="majorBidi"/>
      <w:spacing w:val="-10"/>
      <w:kern w:val="28"/>
      <w:sz w:val="56"/>
      <w:szCs w:val="56"/>
    </w:rPr>
  </w:style>
  <w:style w:type="character" w:customStyle="1" w:styleId="TtuloCar">
    <w:name w:val="Título Car"/>
    <w:link w:val="Ttulo"/>
    <w:uiPriority w:val="10"/>
    <w:rsid w:val="00E2705A"/>
    <w:rPr>
      <w:rFonts w:ascii="Cambria" w:eastAsia="Times New Roman" w:hAnsi="Cambria" w:cs="Times New Roman"/>
      <w:spacing w:val="-10"/>
      <w:kern w:val="28"/>
      <w:sz w:val="56"/>
      <w:szCs w:val="56"/>
    </w:rPr>
  </w:style>
  <w:style w:type="table" w:customStyle="1" w:styleId="Tabladecuadrcula2-nfasis51">
    <w:name w:val="Tabla de cuadrícula 2 - Énfasis 51"/>
    <w:basedOn w:val="Tablanormal"/>
    <w:uiPriority w:val="47"/>
    <w:rsid w:val="00E2705A"/>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aclara-nfasis1">
    <w:name w:val="Light List Accent 1"/>
    <w:basedOn w:val="Tablanormal"/>
    <w:uiPriority w:val="61"/>
    <w:rsid w:val="00E2705A"/>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5">
    <w:name w:val="Medium Shading 1 Accent 5"/>
    <w:basedOn w:val="Tablanormal"/>
    <w:uiPriority w:val="63"/>
    <w:rsid w:val="00E2705A"/>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E2705A"/>
  </w:style>
  <w:style w:type="numbering" w:customStyle="1" w:styleId="Sinlista11">
    <w:name w:val="Sin lista11"/>
    <w:next w:val="Sinlista"/>
    <w:uiPriority w:val="99"/>
    <w:semiHidden/>
    <w:unhideWhenUsed/>
    <w:rsid w:val="00E2705A"/>
  </w:style>
  <w:style w:type="table" w:customStyle="1" w:styleId="Tablanormal21">
    <w:name w:val="Tabla normal 21"/>
    <w:basedOn w:val="Tablanormal"/>
    <w:uiPriority w:val="42"/>
    <w:rsid w:val="00E2705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E270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1">
    <w:name w:val="Tabla de cuadrícula 2 - Énfasis 511"/>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E2705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M24">
    <w:name w:val="CM24"/>
    <w:basedOn w:val="Default"/>
    <w:next w:val="Default"/>
    <w:uiPriority w:val="99"/>
    <w:rsid w:val="00E2705A"/>
    <w:rPr>
      <w:rFonts w:eastAsiaTheme="minorHAnsi"/>
      <w:color w:val="auto"/>
      <w:lang w:val="es-CO" w:eastAsia="en-US"/>
    </w:rPr>
  </w:style>
  <w:style w:type="table" w:customStyle="1" w:styleId="Tablaconcuadrcula2">
    <w:name w:val="Tabla con cuadrícula2"/>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2">
    <w:name w:val="Tabla de cuadrícula 2 - Énfasis 512"/>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3">
    <w:name w:val="Tabla con cuadrícula3"/>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3">
    <w:name w:val="Tabla de cuadrícula 2 - Énfasis 513"/>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
    <w:name w:val="Tabla con cuadrícula4"/>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4">
    <w:name w:val="Tabla de cuadrícula 2 - Énfasis 514"/>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Sinlista2">
    <w:name w:val="Sin lista2"/>
    <w:next w:val="Sinlista"/>
    <w:uiPriority w:val="99"/>
    <w:semiHidden/>
    <w:unhideWhenUsed/>
    <w:rsid w:val="00E2705A"/>
  </w:style>
  <w:style w:type="table" w:customStyle="1" w:styleId="Tablaconcuadrcula53">
    <w:name w:val="Tabla con cuadrícula53"/>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211">
    <w:name w:val="Tabla normal 211"/>
    <w:basedOn w:val="Tablanormal"/>
    <w:uiPriority w:val="42"/>
    <w:rsid w:val="00E2705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1">
    <w:name w:val="Tabla normal 111"/>
    <w:basedOn w:val="Tablanormal"/>
    <w:uiPriority w:val="41"/>
    <w:rsid w:val="00E270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53">
    <w:name w:val="Tabla de cuadrícula 2 - Énfasis 5153"/>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1">
    <w:name w:val="Tabla de cuadrícula 4 - Énfasis 111"/>
    <w:basedOn w:val="Tablanormal"/>
    <w:uiPriority w:val="49"/>
    <w:rsid w:val="00E2705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63">
    <w:name w:val="Tabla con cuadrícula63"/>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63">
    <w:name w:val="Tabla de cuadrícula 2 - Énfasis 5163"/>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7">
    <w:name w:val="Tabla con cuadrícula7"/>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7">
    <w:name w:val="Tabla de cuadrícula 2 - Énfasis 517"/>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Sinlista3">
    <w:name w:val="Sin lista3"/>
    <w:next w:val="Sinlista"/>
    <w:uiPriority w:val="99"/>
    <w:semiHidden/>
    <w:unhideWhenUsed/>
    <w:rsid w:val="00E2705A"/>
  </w:style>
  <w:style w:type="table" w:customStyle="1" w:styleId="Tablanormal212">
    <w:name w:val="Tabla normal 212"/>
    <w:basedOn w:val="Tablanormal"/>
    <w:uiPriority w:val="42"/>
    <w:rsid w:val="00E2705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2">
    <w:name w:val="Tabla normal 112"/>
    <w:basedOn w:val="Tablanormal"/>
    <w:uiPriority w:val="41"/>
    <w:rsid w:val="00E270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9">
    <w:name w:val="Tabla con cuadrícula9"/>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9">
    <w:name w:val="Tabla de cuadrícula 2 - Énfasis 519"/>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01">
    <w:name w:val="Tabla con cuadrícula101"/>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101">
    <w:name w:val="Tabla de cuadrícula 2 - Énfasis 51101"/>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2">
    <w:name w:val="Tabla con cuadrícula12"/>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12">
    <w:name w:val="Tabla de cuadrícula 2 - Énfasis 5112"/>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3">
    <w:name w:val="Tabla con cuadrícula13"/>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13">
    <w:name w:val="Tabla de cuadrícula 2 - Énfasis 5113"/>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21">
    <w:name w:val="Tabla con cuadrícula121"/>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121">
    <w:name w:val="Tabla de cuadrícula 2 - Énfasis 51121"/>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31">
    <w:name w:val="Tabla con cuadrícula131"/>
    <w:basedOn w:val="Tablanormal"/>
    <w:next w:val="Tablaconcuadrcula"/>
    <w:uiPriority w:val="39"/>
    <w:rsid w:val="00E2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131">
    <w:name w:val="Tabla de cuadrícula 2 - Énfasis 51131"/>
    <w:basedOn w:val="Tablanormal"/>
    <w:uiPriority w:val="47"/>
    <w:rsid w:val="00E2705A"/>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link w:val="Prrafodelista"/>
    <w:uiPriority w:val="34"/>
    <w:locked/>
    <w:rsid w:val="00B74052"/>
    <w:rPr>
      <w:rFonts w:ascii="Times New Roman" w:eastAsia="Times New Roman" w:hAnsi="Times New Roman" w:cs="Times New Roman"/>
      <w:sz w:val="24"/>
      <w:szCs w:val="24"/>
      <w:lang w:val="es-ES" w:eastAsia="ar-SA"/>
    </w:rPr>
  </w:style>
  <w:style w:type="character" w:customStyle="1" w:styleId="mw-headline">
    <w:name w:val="mw-headline"/>
    <w:basedOn w:val="Fuentedeprrafopredeter"/>
    <w:rsid w:val="00B74052"/>
  </w:style>
  <w:style w:type="character" w:customStyle="1" w:styleId="Ttulo2Car">
    <w:name w:val="Título 2 Car"/>
    <w:basedOn w:val="Fuentedeprrafopredeter"/>
    <w:link w:val="Ttulo2"/>
    <w:uiPriority w:val="9"/>
    <w:rsid w:val="003B2265"/>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6A72F0"/>
    <w:pPr>
      <w:outlineLvl w:val="9"/>
    </w:pPr>
    <w:rPr>
      <w:lang w:eastAsia="es-CO"/>
    </w:rPr>
  </w:style>
  <w:style w:type="paragraph" w:styleId="TDC1">
    <w:name w:val="toc 1"/>
    <w:basedOn w:val="Normal"/>
    <w:next w:val="Normal"/>
    <w:autoRedefine/>
    <w:uiPriority w:val="39"/>
    <w:unhideWhenUsed/>
    <w:rsid w:val="006A72F0"/>
    <w:pPr>
      <w:spacing w:after="100"/>
    </w:pPr>
  </w:style>
  <w:style w:type="paragraph" w:styleId="TDC2">
    <w:name w:val="toc 2"/>
    <w:basedOn w:val="Normal"/>
    <w:next w:val="Normal"/>
    <w:autoRedefine/>
    <w:uiPriority w:val="39"/>
    <w:unhideWhenUsed/>
    <w:rsid w:val="00F1345F"/>
    <w:pPr>
      <w:spacing w:after="100"/>
      <w:ind w:left="220"/>
    </w:pPr>
  </w:style>
  <w:style w:type="paragraph" w:styleId="ndice1">
    <w:name w:val="index 1"/>
    <w:basedOn w:val="Normal"/>
    <w:next w:val="Normal"/>
    <w:autoRedefine/>
    <w:uiPriority w:val="99"/>
    <w:semiHidden/>
    <w:unhideWhenUsed/>
    <w:rsid w:val="00113F16"/>
    <w:pPr>
      <w:spacing w:after="0" w:line="240" w:lineRule="auto"/>
      <w:ind w:left="220" w:hanging="220"/>
    </w:pPr>
  </w:style>
  <w:style w:type="character" w:customStyle="1" w:styleId="Ttulo3Car">
    <w:name w:val="Título 3 Car"/>
    <w:basedOn w:val="Fuentedeprrafopredeter"/>
    <w:link w:val="Ttulo3"/>
    <w:uiPriority w:val="9"/>
    <w:semiHidden/>
    <w:rsid w:val="00657694"/>
    <w:rPr>
      <w:rFonts w:asciiTheme="majorHAnsi" w:eastAsiaTheme="majorEastAsia" w:hAnsiTheme="majorHAnsi" w:cstheme="majorBidi"/>
      <w:color w:val="1F4D78"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1706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6.xml"/><Relationship Id="rId84" Type="http://schemas.openxmlformats.org/officeDocument/2006/relationships/chart" Target="charts/chart64.xml"/><Relationship Id="rId89" Type="http://schemas.openxmlformats.org/officeDocument/2006/relationships/image" Target="media/image19.png"/><Relationship Id="rId97"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chart" Target="charts/chart51.xml"/><Relationship Id="rId92"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chart" Target="charts/chart11.xml"/><Relationship Id="rId11" Type="http://schemas.openxmlformats.org/officeDocument/2006/relationships/image" Target="media/image6.emf"/><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chart" Target="charts/chart62.xml"/><Relationship Id="rId90" Type="http://schemas.openxmlformats.org/officeDocument/2006/relationships/image" Target="media/image20.png"/><Relationship Id="rId95" Type="http://schemas.openxmlformats.org/officeDocument/2006/relationships/image" Target="media/image25.emf"/><Relationship Id="rId19" Type="http://schemas.openxmlformats.org/officeDocument/2006/relationships/image" Target="media/image13.png"/><Relationship Id="rId14" Type="http://schemas.openxmlformats.org/officeDocument/2006/relationships/image" Target="media/image9.emf"/><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7.xml"/><Relationship Id="rId8" Type="http://schemas.openxmlformats.org/officeDocument/2006/relationships/image" Target="media/image1.jpeg"/><Relationship Id="rId51" Type="http://schemas.openxmlformats.org/officeDocument/2006/relationships/chart" Target="charts/chart32.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image" Target="media/image15.png"/><Relationship Id="rId93" Type="http://schemas.openxmlformats.org/officeDocument/2006/relationships/image" Target="media/image23.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image" Target="media/image14.png"/><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image" Target="media/image18.emf"/><Relationship Id="rId91" Type="http://schemas.openxmlformats.org/officeDocument/2006/relationships/image" Target="media/image21.png"/><Relationship Id="rId96"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footer" Target="footer1.xml"/><Relationship Id="rId31" Type="http://schemas.openxmlformats.org/officeDocument/2006/relationships/chart" Target="charts/chart13.xml"/><Relationship Id="rId44" Type="http://schemas.openxmlformats.org/officeDocument/2006/relationships/hyperlink" Target="http://www.vigilanciasuperiorprocuraduria.org/" TargetMode="Externa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image" Target="media/image16.png"/><Relationship Id="rId94" Type="http://schemas.openxmlformats.org/officeDocument/2006/relationships/image" Target="media/image24.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8.emf"/><Relationship Id="rId18" Type="http://schemas.openxmlformats.org/officeDocument/2006/relationships/chart" Target="charts/chart1.xml"/><Relationship Id="rId39" Type="http://schemas.openxmlformats.org/officeDocument/2006/relationships/chart" Target="charts/chart21.xml"/></Relationships>
</file>

<file path=word/_rels/footer1.xml.rels><?xml version="1.0" encoding="UTF-8" standalone="yes"?>
<Relationships xmlns="http://schemas.openxmlformats.org/package/2006/relationships"><Relationship Id="rId3" Type="http://schemas.openxmlformats.org/officeDocument/2006/relationships/hyperlink" Target="http://www.pasto.gov.co" TargetMode="External"/><Relationship Id="rId2" Type="http://schemas.openxmlformats.org/officeDocument/2006/relationships/hyperlink" Target="mailto:despacho@pasto.gov.co" TargetMode="External"/><Relationship Id="rId1" Type="http://schemas.openxmlformats.org/officeDocument/2006/relationships/image" Target="media/image4.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1.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1.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1.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CarlosA\Desktop\Bateria%20de%20Indicdores\FICHA%20BATERIA%20DE%20INDICADORES\SEMPASTO%20Bateria%20de%20indicadores%20RPC%206%20FEBRERO%202015%20(1).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Lucy\Documents\Lucy%20Calidad\lucy\saber%203,5%20y%209\2012\Resultados%20Pruebas%20saber%203,5%20y%209%20Excel.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CarlosA\Desktop\Bateria%20de%20Indicdores\FICHA%20BATERIA%20DE%20INDICADORES\SEMPASTO%20Bateria%20de%20indicadores%20RPC%206%20FEBRERO%202015%20(1).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F:\Bateria%20de%20Indicdores\FICHA%20BATERIA%20DE%20INDICADORES\SEMPASTO%20Bateria%20de%20indicadores%20RPC%206%20FEBRERO%202015%20(1).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F:\Bateria%20de%20Indicdores\FICHA%20BATERIA%20DE%20INDICADORES\SEMPASTO%20Bateria%20de%20indicadores%20RPC%206%20FEBRERO%202015%20(1).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Hoja_de_c_lculo_de_Microsoft_Office_Excel7.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Hoja_de_c_lculo_de_Microsoft_Office_Excel8.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Hoja_de_c_lculo_de_Microsoft_Office_Excel9.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griasKDD\Documents\MATRICES%202015\Copia%20de%20TASAS%20MENORES%20A&#209;O%202011-2014.xlsx" TargetMode="External"/><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Estadistico\Desktop\INDICADORES%20RENDICI&#211;N%20DE%20CUENTAS\INDICADORES\SALUD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100"/>
            </a:pPr>
            <a:r>
              <a:rPr lang="en-US" sz="1100" b="0">
                <a:latin typeface="Century Gothic" pitchFamily="34" charset="0"/>
              </a:rPr>
              <a:t>TASA DE MORTALIDAD EN</a:t>
            </a:r>
            <a:r>
              <a:rPr lang="en-US" sz="1100" b="0" baseline="0">
                <a:latin typeface="Century Gothic" pitchFamily="34" charset="0"/>
              </a:rPr>
              <a:t> MENORES DE 1 AÑO, MUNICIPIO DE PASTO, 2011- 2014 </a:t>
            </a:r>
          </a:p>
          <a:p>
            <a:pPr>
              <a:defRPr lang="es-CO" sz="1100"/>
            </a:pPr>
            <a:r>
              <a:rPr lang="en-US" sz="1100" b="0" baseline="0">
                <a:latin typeface="Century Gothic" pitchFamily="34" charset="0"/>
              </a:rPr>
              <a:t> </a:t>
            </a:r>
            <a:endParaRPr lang="en-US" sz="1100" b="0">
              <a:latin typeface="Century Gothic" pitchFamily="34" charset="0"/>
            </a:endParaRPr>
          </a:p>
        </c:rich>
      </c:tx>
      <c:layout>
        <c:manualLayout>
          <c:xMode val="edge"/>
          <c:yMode val="edge"/>
          <c:x val="0.1516560161380576"/>
          <c:y val="1.75207987056131E-2"/>
        </c:manualLayout>
      </c:layout>
    </c:title>
    <c:plotArea>
      <c:layout>
        <c:manualLayout>
          <c:layoutTarget val="inner"/>
          <c:xMode val="edge"/>
          <c:yMode val="edge"/>
          <c:x val="0.35962505656429627"/>
          <c:y val="0.18822607845344599"/>
          <c:w val="0.64037399849558796"/>
          <c:h val="0.60195090644610982"/>
        </c:manualLayout>
      </c:layout>
      <c:lineChart>
        <c:grouping val="standard"/>
        <c:ser>
          <c:idx val="3"/>
          <c:order val="0"/>
          <c:tx>
            <c:strRef>
              <c:f>'MORTALIDAD &lt;1AÑO'!$I$4</c:f>
              <c:strCache>
                <c:ptCount val="1"/>
                <c:pt idx="0">
                  <c:v>TASA DE MORTALIDAD EN MENORES DE 1 AÑO POR CADA 1.000 NACIDOS VIVOS</c:v>
                </c:pt>
              </c:strCache>
            </c:strRef>
          </c:tx>
          <c:spPr>
            <a:ln>
              <a:solidFill>
                <a:schemeClr val="accent1"/>
              </a:solidFill>
            </a:ln>
          </c:spPr>
          <c:marker>
            <c:symbol val="diamond"/>
            <c:size val="5"/>
            <c:spPr>
              <a:solidFill>
                <a:schemeClr val="accent1"/>
              </a:solidFill>
              <a:ln>
                <a:solidFill>
                  <a:schemeClr val="accent1"/>
                </a:solidFill>
              </a:ln>
            </c:spPr>
          </c:marker>
          <c:cat>
            <c:numRef>
              <c:f>'MORTALIDAD &lt;1AÑO'!$F$5:$F$8</c:f>
              <c:numCache>
                <c:formatCode>General</c:formatCode>
                <c:ptCount val="4"/>
                <c:pt idx="0">
                  <c:v>2011</c:v>
                </c:pt>
                <c:pt idx="1">
                  <c:v>2012</c:v>
                </c:pt>
                <c:pt idx="2">
                  <c:v>2013</c:v>
                </c:pt>
                <c:pt idx="3">
                  <c:v>2014</c:v>
                </c:pt>
              </c:numCache>
            </c:numRef>
          </c:cat>
          <c:val>
            <c:numRef>
              <c:f>'MORTALIDAD &lt;1AÑO'!$I$5:$I$8</c:f>
              <c:numCache>
                <c:formatCode>0.0</c:formatCode>
                <c:ptCount val="4"/>
                <c:pt idx="0">
                  <c:v>12.003311258278146</c:v>
                </c:pt>
                <c:pt idx="1">
                  <c:v>11.217282924802658</c:v>
                </c:pt>
                <c:pt idx="2">
                  <c:v>9.8039215686274517</c:v>
                </c:pt>
                <c:pt idx="3">
                  <c:v>11.388611388611388</c:v>
                </c:pt>
              </c:numCache>
            </c:numRef>
          </c:val>
        </c:ser>
        <c:marker val="1"/>
        <c:axId val="155348352"/>
        <c:axId val="155391488"/>
      </c:lineChart>
      <c:catAx>
        <c:axId val="155348352"/>
        <c:scaling>
          <c:orientation val="minMax"/>
        </c:scaling>
        <c:axPos val="b"/>
        <c:numFmt formatCode="General" sourceLinked="1"/>
        <c:majorTickMark val="none"/>
        <c:tickLblPos val="nextTo"/>
        <c:txPr>
          <a:bodyPr/>
          <a:lstStyle/>
          <a:p>
            <a:pPr>
              <a:defRPr lang="es-CO"/>
            </a:pPr>
            <a:endParaRPr lang="es-ES"/>
          </a:p>
        </c:txPr>
        <c:crossAx val="155391488"/>
        <c:crosses val="autoZero"/>
        <c:auto val="1"/>
        <c:lblAlgn val="ctr"/>
        <c:lblOffset val="100"/>
      </c:catAx>
      <c:valAx>
        <c:axId val="155391488"/>
        <c:scaling>
          <c:orientation val="minMax"/>
          <c:max val="20"/>
          <c:min val="0"/>
        </c:scaling>
        <c:axPos val="l"/>
        <c:title>
          <c:tx>
            <c:rich>
              <a:bodyPr/>
              <a:lstStyle/>
              <a:p>
                <a:pPr>
                  <a:defRPr lang="es-CO"/>
                </a:pPr>
                <a:r>
                  <a:rPr lang="es-CO"/>
                  <a:t>Tasa de mortalidad x</a:t>
                </a:r>
                <a:r>
                  <a:rPr lang="es-CO" baseline="0"/>
                  <a:t> 1.000 nacidos vivos</a:t>
                </a:r>
              </a:p>
            </c:rich>
          </c:tx>
          <c:layout>
            <c:manualLayout>
              <c:xMode val="edge"/>
              <c:yMode val="edge"/>
              <c:x val="0.22863240513453933"/>
              <c:y val="0.12099493573986959"/>
            </c:manualLayout>
          </c:layout>
        </c:title>
        <c:numFmt formatCode="0.0" sourceLinked="1"/>
        <c:majorTickMark val="none"/>
        <c:tickLblPos val="nextTo"/>
        <c:txPr>
          <a:bodyPr/>
          <a:lstStyle/>
          <a:p>
            <a:pPr>
              <a:defRPr lang="es-CO">
                <a:latin typeface="Century Gothic" pitchFamily="34" charset="0"/>
              </a:defRPr>
            </a:pPr>
            <a:endParaRPr lang="es-ES"/>
          </a:p>
        </c:txPr>
        <c:crossAx val="155348352"/>
        <c:crosses val="autoZero"/>
        <c:crossBetween val="between"/>
      </c:valAx>
      <c:dTable>
        <c:showHorzBorder val="1"/>
        <c:showVertBorder val="1"/>
        <c:showOutline val="1"/>
        <c:showKeys val="1"/>
        <c:txPr>
          <a:bodyPr/>
          <a:lstStyle/>
          <a:p>
            <a:pPr rtl="0">
              <a:defRPr lang="es-CO" sz="900" b="0">
                <a:latin typeface="Century Gothic" pitchFamily="34" charset="0"/>
              </a:defRPr>
            </a:pPr>
            <a:endParaRPr lang="es-ES"/>
          </a:p>
        </c:txPr>
      </c:dTable>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COBERTURA DE VACUNACIÓN CON BCG EN NACIDOS VIVOS</a:t>
            </a:r>
            <a:r>
              <a:rPr lang="en-US" sz="1000" b="0" i="0" kern="1200" baseline="0">
                <a:solidFill>
                  <a:srgbClr val="000000"/>
                </a:solidFill>
                <a:effectLst/>
                <a:latin typeface="Century Gothic"/>
              </a:rPr>
              <a:t>, MUNICIPIO DE PASTO 2011-2014 </a:t>
            </a:r>
            <a:endParaRPr lang="es-CO" sz="1000">
              <a:effectLst/>
            </a:endParaRPr>
          </a:p>
          <a:p>
            <a:pPr>
              <a:defRPr lang="es-CO" sz="1000"/>
            </a:pPr>
            <a:endParaRPr lang="en-US" sz="1000" b="0">
              <a:latin typeface="Century Gothic" pitchFamily="34" charset="0"/>
            </a:endParaRPr>
          </a:p>
        </c:rich>
      </c:tx>
    </c:title>
    <c:plotArea>
      <c:layout>
        <c:manualLayout>
          <c:layoutTarget val="inner"/>
          <c:xMode val="edge"/>
          <c:yMode val="edge"/>
          <c:x val="0.35643186360540863"/>
          <c:y val="0.18845578449527281"/>
          <c:w val="0.5972002874344926"/>
          <c:h val="0.557954874953832"/>
        </c:manualLayout>
      </c:layout>
      <c:lineChart>
        <c:grouping val="standard"/>
        <c:ser>
          <c:idx val="0"/>
          <c:order val="0"/>
          <c:tx>
            <c:strRef>
              <c:f>BCG!$H$3</c:f>
              <c:strCache>
                <c:ptCount val="1"/>
                <c:pt idx="0">
                  <c:v>COBERTURA DE VACUNACIÓN CON BCG EN NACIDOS VIVOS</c:v>
                </c:pt>
              </c:strCache>
            </c:strRef>
          </c:tx>
          <c:cat>
            <c:numRef>
              <c:f>BCG!$G$4:$G$7</c:f>
              <c:numCache>
                <c:formatCode>General</c:formatCode>
                <c:ptCount val="4"/>
                <c:pt idx="0">
                  <c:v>2011</c:v>
                </c:pt>
                <c:pt idx="1">
                  <c:v>2012</c:v>
                </c:pt>
                <c:pt idx="2">
                  <c:v>2013</c:v>
                </c:pt>
                <c:pt idx="3">
                  <c:v>2014</c:v>
                </c:pt>
              </c:numCache>
            </c:numRef>
          </c:cat>
          <c:val>
            <c:numRef>
              <c:f>BCG!$H$4:$H$7</c:f>
              <c:numCache>
                <c:formatCode>0.0</c:formatCode>
                <c:ptCount val="4"/>
                <c:pt idx="0">
                  <c:v>76.2</c:v>
                </c:pt>
                <c:pt idx="1">
                  <c:v>77.900000000000006</c:v>
                </c:pt>
                <c:pt idx="2">
                  <c:v>101.3</c:v>
                </c:pt>
                <c:pt idx="3">
                  <c:v>105</c:v>
                </c:pt>
              </c:numCache>
            </c:numRef>
          </c:val>
        </c:ser>
        <c:marker val="1"/>
        <c:axId val="155940352"/>
        <c:axId val="155941888"/>
      </c:lineChart>
      <c:catAx>
        <c:axId val="155940352"/>
        <c:scaling>
          <c:orientation val="minMax"/>
        </c:scaling>
        <c:axPos val="b"/>
        <c:numFmt formatCode="General" sourceLinked="1"/>
        <c:majorTickMark val="none"/>
        <c:tickLblPos val="nextTo"/>
        <c:txPr>
          <a:bodyPr/>
          <a:lstStyle/>
          <a:p>
            <a:pPr>
              <a:defRPr lang="es-CO"/>
            </a:pPr>
            <a:endParaRPr lang="es-ES"/>
          </a:p>
        </c:txPr>
        <c:crossAx val="155941888"/>
        <c:crosses val="autoZero"/>
        <c:auto val="1"/>
        <c:lblAlgn val="ctr"/>
        <c:lblOffset val="100"/>
      </c:catAx>
      <c:valAx>
        <c:axId val="155941888"/>
        <c:scaling>
          <c:orientation val="minMax"/>
          <c:max val="110"/>
          <c:min val="0"/>
        </c:scaling>
        <c:axPos val="l"/>
        <c:title>
          <c:tx>
            <c:rich>
              <a:bodyPr/>
              <a:lstStyle/>
              <a:p>
                <a:pPr>
                  <a:defRPr lang="es-CO" sz="700">
                    <a:latin typeface="Century Gothic" pitchFamily="34" charset="0"/>
                  </a:defRPr>
                </a:pPr>
                <a:r>
                  <a:rPr lang="es-CO" sz="700">
                    <a:latin typeface="Century Gothic" pitchFamily="34" charset="0"/>
                  </a:rPr>
                  <a:t>Cobertura</a:t>
                </a:r>
                <a:r>
                  <a:rPr lang="es-CO" sz="700" baseline="0">
                    <a:latin typeface="Century Gothic" pitchFamily="34" charset="0"/>
                  </a:rPr>
                  <a:t> de Vacunación con BCG</a:t>
                </a:r>
                <a:r>
                  <a:rPr lang="es-CO" sz="700">
                    <a:latin typeface="Century Gothic" pitchFamily="34" charset="0"/>
                  </a:rPr>
                  <a:t> (%)</a:t>
                </a:r>
              </a:p>
            </c:rich>
          </c:tx>
          <c:layout>
            <c:manualLayout>
              <c:xMode val="edge"/>
              <c:yMode val="edge"/>
              <c:x val="0.24321309863306709"/>
              <c:y val="0.21154167447503924"/>
            </c:manualLayout>
          </c:layout>
        </c:title>
        <c:numFmt formatCode="0.0" sourceLinked="1"/>
        <c:majorTickMark val="none"/>
        <c:tickLblPos val="nextTo"/>
        <c:txPr>
          <a:bodyPr/>
          <a:lstStyle/>
          <a:p>
            <a:pPr>
              <a:defRPr lang="es-CO" sz="900">
                <a:latin typeface="Century Gothic" pitchFamily="34" charset="0"/>
              </a:defRPr>
            </a:pPr>
            <a:endParaRPr lang="es-ES"/>
          </a:p>
        </c:txPr>
        <c:crossAx val="155940352"/>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COBERTURA DE VACUNACIÓN CONTRA POLIO EN NIÑOS Y NIÑAS MENORES DE 1 AÑO </a:t>
            </a:r>
            <a:r>
              <a:rPr lang="en-US" sz="1000" b="0" i="0" kern="1200" baseline="0">
                <a:solidFill>
                  <a:srgbClr val="000000"/>
                </a:solidFill>
                <a:effectLst/>
                <a:latin typeface="Century Gothic"/>
              </a:rPr>
              <a:t>, MUNICIPIO DE PASTO 2011-2014 </a:t>
            </a:r>
            <a:endParaRPr lang="es-CO" sz="1000">
              <a:effectLst/>
            </a:endParaRPr>
          </a:p>
          <a:p>
            <a:pPr>
              <a:defRPr lang="es-CO" sz="1000"/>
            </a:pPr>
            <a:endParaRPr lang="en-US" sz="1000" b="0">
              <a:latin typeface="Century Gothic" pitchFamily="34" charset="0"/>
            </a:endParaRPr>
          </a:p>
        </c:rich>
      </c:tx>
      <c:layout>
        <c:manualLayout>
          <c:xMode val="edge"/>
          <c:yMode val="edge"/>
          <c:x val="0.10987771131459891"/>
          <c:y val="2.2276676319893156E-2"/>
        </c:manualLayout>
      </c:layout>
    </c:title>
    <c:plotArea>
      <c:layout>
        <c:manualLayout>
          <c:layoutTarget val="inner"/>
          <c:xMode val="edge"/>
          <c:yMode val="edge"/>
          <c:x val="0.35643190498661581"/>
          <c:y val="0.14956514481742514"/>
          <c:w val="0.60131864976278238"/>
          <c:h val="0.5237777432426205"/>
        </c:manualLayout>
      </c:layout>
      <c:lineChart>
        <c:grouping val="standard"/>
        <c:ser>
          <c:idx val="1"/>
          <c:order val="0"/>
          <c:tx>
            <c:strRef>
              <c:f>POLIO!$H$4</c:f>
              <c:strCache>
                <c:ptCount val="1"/>
                <c:pt idx="0">
                  <c:v>COBERTURA DE VACUNACIÓN CONTRA POLIO EN NIÑOS Y NIÑAS MENORES DE 1 AÑO</c:v>
                </c:pt>
              </c:strCache>
            </c:strRef>
          </c:tx>
          <c:spPr>
            <a:ln>
              <a:solidFill>
                <a:schemeClr val="accent1"/>
              </a:solidFill>
            </a:ln>
          </c:spPr>
          <c:marker>
            <c:symbol val="diamond"/>
            <c:size val="5"/>
            <c:spPr>
              <a:solidFill>
                <a:schemeClr val="accent1"/>
              </a:solidFill>
              <a:ln>
                <a:solidFill>
                  <a:schemeClr val="accent1"/>
                </a:solidFill>
              </a:ln>
            </c:spPr>
          </c:marker>
          <c:cat>
            <c:numRef>
              <c:f>POLIO!$G$5:$G$8</c:f>
              <c:numCache>
                <c:formatCode>General</c:formatCode>
                <c:ptCount val="4"/>
                <c:pt idx="0">
                  <c:v>2011</c:v>
                </c:pt>
                <c:pt idx="1">
                  <c:v>2012</c:v>
                </c:pt>
                <c:pt idx="2">
                  <c:v>2013</c:v>
                </c:pt>
                <c:pt idx="3">
                  <c:v>2014</c:v>
                </c:pt>
              </c:numCache>
            </c:numRef>
          </c:cat>
          <c:val>
            <c:numRef>
              <c:f>POLIO!$H$5:$H$8</c:f>
              <c:numCache>
                <c:formatCode>0.0</c:formatCode>
                <c:ptCount val="4"/>
                <c:pt idx="0">
                  <c:v>75.3</c:v>
                </c:pt>
                <c:pt idx="1">
                  <c:v>75.3</c:v>
                </c:pt>
                <c:pt idx="2">
                  <c:v>95</c:v>
                </c:pt>
                <c:pt idx="3">
                  <c:v>102.7</c:v>
                </c:pt>
              </c:numCache>
            </c:numRef>
          </c:val>
        </c:ser>
        <c:marker val="1"/>
        <c:axId val="156012544"/>
        <c:axId val="156014464"/>
      </c:lineChart>
      <c:catAx>
        <c:axId val="156012544"/>
        <c:scaling>
          <c:orientation val="minMax"/>
        </c:scaling>
        <c:axPos val="b"/>
        <c:numFmt formatCode="General" sourceLinked="1"/>
        <c:majorTickMark val="none"/>
        <c:tickLblPos val="nextTo"/>
        <c:txPr>
          <a:bodyPr/>
          <a:lstStyle/>
          <a:p>
            <a:pPr>
              <a:defRPr lang="es-CO"/>
            </a:pPr>
            <a:endParaRPr lang="es-ES"/>
          </a:p>
        </c:txPr>
        <c:crossAx val="156014464"/>
        <c:crosses val="autoZero"/>
        <c:auto val="1"/>
        <c:lblAlgn val="ctr"/>
        <c:lblOffset val="100"/>
      </c:catAx>
      <c:valAx>
        <c:axId val="156014464"/>
        <c:scaling>
          <c:orientation val="minMax"/>
          <c:max val="110"/>
          <c:min val="0"/>
        </c:scaling>
        <c:axPos val="l"/>
        <c:title>
          <c:tx>
            <c:rich>
              <a:bodyPr/>
              <a:lstStyle/>
              <a:p>
                <a:pPr>
                  <a:defRPr lang="es-CO" sz="900"/>
                </a:pPr>
                <a:r>
                  <a:rPr lang="es-CO" sz="900"/>
                  <a:t>Cobertura</a:t>
                </a:r>
                <a:r>
                  <a:rPr lang="es-CO" sz="900" baseline="0"/>
                  <a:t> de Vacunación </a:t>
                </a:r>
              </a:p>
              <a:p>
                <a:pPr>
                  <a:defRPr lang="es-CO" sz="900"/>
                </a:pPr>
                <a:r>
                  <a:rPr lang="es-CO" sz="900" baseline="0"/>
                  <a:t>contra Polio</a:t>
                </a:r>
                <a:r>
                  <a:rPr lang="es-CO" sz="900"/>
                  <a:t>(%)</a:t>
                </a:r>
              </a:p>
            </c:rich>
          </c:tx>
          <c:layout>
            <c:manualLayout>
              <c:xMode val="edge"/>
              <c:yMode val="edge"/>
              <c:x val="0.2024071450495144"/>
              <c:y val="0.25939701616245336"/>
            </c:manualLayout>
          </c:layout>
        </c:title>
        <c:numFmt formatCode="0.0" sourceLinked="1"/>
        <c:majorTickMark val="none"/>
        <c:tickLblPos val="nextTo"/>
        <c:txPr>
          <a:bodyPr/>
          <a:lstStyle/>
          <a:p>
            <a:pPr>
              <a:defRPr lang="es-CO">
                <a:latin typeface="Century Gothic" pitchFamily="34" charset="0"/>
              </a:defRPr>
            </a:pPr>
            <a:endParaRPr lang="es-ES"/>
          </a:p>
        </c:txPr>
        <c:crossAx val="156012544"/>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s-ES"/>
  <c:clrMapOvr bg1="lt1" tx1="dk1" bg2="lt2" tx2="dk2" accent1="accent1" accent2="accent2" accent3="accent3" accent4="accent4" accent5="accent5" accent6="accent6" hlink="hlink" folHlink="folHlink"/>
  <c:chart>
    <c:title>
      <c:tx>
        <c:rich>
          <a:bodyPr/>
          <a:lstStyle/>
          <a:p>
            <a:pPr>
              <a:defRPr lang="es-CO" sz="1050"/>
            </a:pPr>
            <a:r>
              <a:rPr lang="en-US" sz="1050" b="0">
                <a:latin typeface="Century Gothic" pitchFamily="34" charset="0"/>
              </a:rPr>
              <a:t>COBERTURA DE VACUNACIÓN CONTRA ROTAVIRUS EN NIÑOS Y NIÑAS MENORES DE 1 AÑO </a:t>
            </a:r>
            <a:r>
              <a:rPr lang="en-US" sz="1050" b="0" i="0" kern="1200" baseline="0">
                <a:solidFill>
                  <a:srgbClr val="000000"/>
                </a:solidFill>
                <a:effectLst/>
                <a:latin typeface="Century Gothic"/>
              </a:rPr>
              <a:t>, MUNICIPIO DE PASTO 2011-2014 </a:t>
            </a:r>
            <a:endParaRPr lang="es-CO" sz="1050">
              <a:effectLst/>
            </a:endParaRPr>
          </a:p>
          <a:p>
            <a:pPr>
              <a:defRPr lang="es-CO" sz="1050"/>
            </a:pPr>
            <a:endParaRPr lang="en-US" sz="1050" b="0">
              <a:latin typeface="Century Gothic" pitchFamily="34" charset="0"/>
            </a:endParaRPr>
          </a:p>
        </c:rich>
      </c:tx>
    </c:title>
    <c:plotArea>
      <c:layout>
        <c:manualLayout>
          <c:layoutTarget val="inner"/>
          <c:xMode val="edge"/>
          <c:yMode val="edge"/>
          <c:x val="0.35643190498661581"/>
          <c:y val="0.19262730914616569"/>
          <c:w val="0.57190807544405864"/>
          <c:h val="0.59754988760376293"/>
        </c:manualLayout>
      </c:layout>
      <c:lineChart>
        <c:grouping val="standard"/>
        <c:ser>
          <c:idx val="0"/>
          <c:order val="0"/>
          <c:tx>
            <c:strRef>
              <c:f>ROTAVIRUS!$H$4</c:f>
              <c:strCache>
                <c:ptCount val="1"/>
                <c:pt idx="0">
                  <c:v>COBERTURA DE VACUNACIÓN CONTRA ROTAVIRUS EN NIÑOS Y NIÑAS MENORES DE 1 AÑO</c:v>
                </c:pt>
              </c:strCache>
            </c:strRef>
          </c:tx>
          <c:marker>
            <c:symbol val="diamond"/>
            <c:size val="5"/>
          </c:marker>
          <c:cat>
            <c:numRef>
              <c:f>ROTAVIRUS!$G$5:$G$8</c:f>
              <c:numCache>
                <c:formatCode>General</c:formatCode>
                <c:ptCount val="4"/>
                <c:pt idx="0">
                  <c:v>2011</c:v>
                </c:pt>
                <c:pt idx="1">
                  <c:v>2012</c:v>
                </c:pt>
                <c:pt idx="2">
                  <c:v>2013</c:v>
                </c:pt>
                <c:pt idx="3">
                  <c:v>2014</c:v>
                </c:pt>
              </c:numCache>
            </c:numRef>
          </c:cat>
          <c:val>
            <c:numRef>
              <c:f>ROTAVIRUS!$H$5:$H$8</c:f>
              <c:numCache>
                <c:formatCode>0.0</c:formatCode>
                <c:ptCount val="4"/>
                <c:pt idx="0">
                  <c:v>75.099999999999994</c:v>
                </c:pt>
                <c:pt idx="1">
                  <c:v>75.599999999999994</c:v>
                </c:pt>
                <c:pt idx="2">
                  <c:v>96.4</c:v>
                </c:pt>
                <c:pt idx="3">
                  <c:v>103.5</c:v>
                </c:pt>
              </c:numCache>
            </c:numRef>
          </c:val>
        </c:ser>
        <c:marker val="1"/>
        <c:axId val="156036096"/>
        <c:axId val="155869952"/>
      </c:lineChart>
      <c:catAx>
        <c:axId val="156036096"/>
        <c:scaling>
          <c:orientation val="minMax"/>
        </c:scaling>
        <c:axPos val="b"/>
        <c:numFmt formatCode="General" sourceLinked="1"/>
        <c:majorTickMark val="none"/>
        <c:tickLblPos val="nextTo"/>
        <c:txPr>
          <a:bodyPr/>
          <a:lstStyle/>
          <a:p>
            <a:pPr>
              <a:defRPr lang="es-CO"/>
            </a:pPr>
            <a:endParaRPr lang="es-ES"/>
          </a:p>
        </c:txPr>
        <c:crossAx val="155869952"/>
        <c:crosses val="autoZero"/>
        <c:auto val="1"/>
        <c:lblAlgn val="ctr"/>
        <c:lblOffset val="100"/>
      </c:catAx>
      <c:valAx>
        <c:axId val="155869952"/>
        <c:scaling>
          <c:orientation val="minMax"/>
          <c:max val="110"/>
          <c:min val="0"/>
        </c:scaling>
        <c:axPos val="l"/>
        <c:title>
          <c:tx>
            <c:rich>
              <a:bodyPr/>
              <a:lstStyle/>
              <a:p>
                <a:pPr>
                  <a:defRPr lang="es-CO" sz="900"/>
                </a:pPr>
                <a:r>
                  <a:rPr lang="es-CO" sz="900"/>
                  <a:t>Cobertura</a:t>
                </a:r>
                <a:r>
                  <a:rPr lang="es-CO" sz="900" baseline="0"/>
                  <a:t> de Vacunación </a:t>
                </a:r>
              </a:p>
              <a:p>
                <a:pPr>
                  <a:defRPr lang="es-CO" sz="900"/>
                </a:pPr>
                <a:r>
                  <a:rPr lang="es-CO" sz="900" baseline="0"/>
                  <a:t>contra Rotavirus</a:t>
                </a:r>
                <a:r>
                  <a:rPr lang="es-CO" sz="900"/>
                  <a:t>(%)</a:t>
                </a:r>
              </a:p>
            </c:rich>
          </c:tx>
          <c:layout>
            <c:manualLayout>
              <c:xMode val="edge"/>
              <c:yMode val="edge"/>
              <c:x val="0.20266322904327225"/>
              <c:y val="0.25412340201123779"/>
            </c:manualLayout>
          </c:layout>
        </c:title>
        <c:numFmt formatCode="0.0" sourceLinked="1"/>
        <c:majorTickMark val="none"/>
        <c:tickLblPos val="nextTo"/>
        <c:txPr>
          <a:bodyPr/>
          <a:lstStyle/>
          <a:p>
            <a:pPr>
              <a:defRPr lang="es-CO">
                <a:latin typeface="Century Gothic" pitchFamily="34" charset="0"/>
              </a:defRPr>
            </a:pPr>
            <a:endParaRPr lang="es-ES"/>
          </a:p>
        </c:txPr>
        <c:crossAx val="156036096"/>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COBERTURA DE VACUNACIÓN CONTRA NEUMOCOCO</a:t>
            </a:r>
            <a:r>
              <a:rPr lang="en-US" sz="1000" b="0" baseline="0">
                <a:latin typeface="Century Gothic" pitchFamily="34" charset="0"/>
              </a:rPr>
              <a:t> DOS DOSIS EN NIÑOS Y NIÑAS </a:t>
            </a:r>
            <a:r>
              <a:rPr lang="en-US" sz="1000" b="0" i="0" kern="1200" baseline="0">
                <a:solidFill>
                  <a:srgbClr val="000000"/>
                </a:solidFill>
                <a:effectLst/>
                <a:latin typeface="Century Gothic"/>
              </a:rPr>
              <a:t>, MUNICIPIO DE PASTO 2011-2014 </a:t>
            </a:r>
            <a:endParaRPr lang="es-CO" sz="1000">
              <a:effectLst/>
            </a:endParaRPr>
          </a:p>
          <a:p>
            <a:pPr>
              <a:defRPr lang="es-CO" sz="1000"/>
            </a:pPr>
            <a:endParaRPr lang="en-US" sz="1000" b="0">
              <a:latin typeface="Century Gothic" pitchFamily="34" charset="0"/>
            </a:endParaRPr>
          </a:p>
        </c:rich>
      </c:tx>
      <c:layout>
        <c:manualLayout>
          <c:xMode val="edge"/>
          <c:yMode val="edge"/>
          <c:x val="0.12775845290115539"/>
          <c:y val="3.7064492216456642E-2"/>
        </c:manualLayout>
      </c:layout>
    </c:title>
    <c:plotArea>
      <c:layout>
        <c:manualLayout>
          <c:layoutTarget val="inner"/>
          <c:xMode val="edge"/>
          <c:yMode val="edge"/>
          <c:x val="0.35643190498661581"/>
          <c:y val="0.2261649048872599"/>
          <c:w val="0.57190807544405864"/>
          <c:h val="0.5025802139817771"/>
        </c:manualLayout>
      </c:layout>
      <c:lineChart>
        <c:grouping val="standard"/>
        <c:ser>
          <c:idx val="1"/>
          <c:order val="0"/>
          <c:tx>
            <c:strRef>
              <c:f>NEUMOCOCO!$I$5</c:f>
              <c:strCache>
                <c:ptCount val="1"/>
                <c:pt idx="0">
                  <c:v>COBERTURA DE VACUNACIÓN CONTRA NEUMOCOCO EN NIÑOS Y NIÑAS MENORES DE 1 AÑO</c:v>
                </c:pt>
              </c:strCache>
            </c:strRef>
          </c:tx>
          <c:spPr>
            <a:ln>
              <a:solidFill>
                <a:schemeClr val="accent1"/>
              </a:solidFill>
            </a:ln>
          </c:spPr>
          <c:marker>
            <c:symbol val="diamond"/>
            <c:size val="5"/>
            <c:spPr>
              <a:solidFill>
                <a:schemeClr val="accent1"/>
              </a:solidFill>
              <a:ln>
                <a:solidFill>
                  <a:schemeClr val="accent1"/>
                </a:solidFill>
              </a:ln>
            </c:spPr>
          </c:marker>
          <c:cat>
            <c:numRef>
              <c:f>NEUMOCOCO!$H$6:$H$9</c:f>
              <c:numCache>
                <c:formatCode>General</c:formatCode>
                <c:ptCount val="4"/>
                <c:pt idx="0">
                  <c:v>2011</c:v>
                </c:pt>
                <c:pt idx="1">
                  <c:v>2012</c:v>
                </c:pt>
                <c:pt idx="2">
                  <c:v>2013</c:v>
                </c:pt>
                <c:pt idx="3">
                  <c:v>2014</c:v>
                </c:pt>
              </c:numCache>
            </c:numRef>
          </c:cat>
          <c:val>
            <c:numRef>
              <c:f>NEUMOCOCO!$I$6:$I$9</c:f>
              <c:numCache>
                <c:formatCode>0.0</c:formatCode>
                <c:ptCount val="4"/>
                <c:pt idx="0">
                  <c:v>75.8</c:v>
                </c:pt>
                <c:pt idx="1">
                  <c:v>75.8</c:v>
                </c:pt>
                <c:pt idx="2">
                  <c:v>96.8</c:v>
                </c:pt>
                <c:pt idx="3">
                  <c:v>103.4</c:v>
                </c:pt>
              </c:numCache>
            </c:numRef>
          </c:val>
        </c:ser>
        <c:marker val="1"/>
        <c:axId val="155895296"/>
        <c:axId val="155897216"/>
      </c:lineChart>
      <c:catAx>
        <c:axId val="155895296"/>
        <c:scaling>
          <c:orientation val="minMax"/>
        </c:scaling>
        <c:axPos val="b"/>
        <c:numFmt formatCode="General" sourceLinked="1"/>
        <c:majorTickMark val="none"/>
        <c:tickLblPos val="nextTo"/>
        <c:txPr>
          <a:bodyPr/>
          <a:lstStyle/>
          <a:p>
            <a:pPr>
              <a:defRPr lang="es-CO"/>
            </a:pPr>
            <a:endParaRPr lang="es-ES"/>
          </a:p>
        </c:txPr>
        <c:crossAx val="155897216"/>
        <c:crosses val="autoZero"/>
        <c:auto val="1"/>
        <c:lblAlgn val="ctr"/>
        <c:lblOffset val="100"/>
      </c:catAx>
      <c:valAx>
        <c:axId val="155897216"/>
        <c:scaling>
          <c:orientation val="minMax"/>
          <c:max val="110"/>
          <c:min val="0"/>
        </c:scaling>
        <c:axPos val="l"/>
        <c:title>
          <c:tx>
            <c:rich>
              <a:bodyPr/>
              <a:lstStyle/>
              <a:p>
                <a:pPr>
                  <a:defRPr lang="es-CO"/>
                </a:pPr>
                <a:r>
                  <a:rPr lang="es-CO"/>
                  <a:t>Cobertura</a:t>
                </a:r>
                <a:r>
                  <a:rPr lang="es-CO" baseline="0"/>
                  <a:t> de Vacunación </a:t>
                </a:r>
              </a:p>
              <a:p>
                <a:pPr>
                  <a:defRPr lang="es-CO"/>
                </a:pPr>
                <a:r>
                  <a:rPr lang="es-CO" baseline="0"/>
                  <a:t>contra Neumococo</a:t>
                </a:r>
                <a:r>
                  <a:rPr lang="es-CO"/>
                  <a:t>(%)</a:t>
                </a:r>
              </a:p>
            </c:rich>
          </c:tx>
          <c:layout>
            <c:manualLayout>
              <c:xMode val="edge"/>
              <c:yMode val="edge"/>
              <c:x val="0.19140218049666932"/>
              <c:y val="0.23859522359090837"/>
            </c:manualLayout>
          </c:layout>
        </c:title>
        <c:numFmt formatCode="0.0" sourceLinked="1"/>
        <c:majorTickMark val="none"/>
        <c:tickLblPos val="nextTo"/>
        <c:txPr>
          <a:bodyPr/>
          <a:lstStyle/>
          <a:p>
            <a:pPr>
              <a:defRPr lang="es-CO">
                <a:latin typeface="Century Gothic" pitchFamily="34" charset="0"/>
              </a:defRPr>
            </a:pPr>
            <a:endParaRPr lang="es-ES"/>
          </a:p>
        </c:txPr>
        <c:crossAx val="155895296"/>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COBERTURA DE VACUNACIÓN CONTRA FIEBRE AMARILLA EN NIÑOS Y NIÑAS MENORES DE 1 AÑO</a:t>
            </a:r>
            <a:r>
              <a:rPr lang="en-US" sz="1000" b="0" i="0" kern="1200" baseline="0">
                <a:solidFill>
                  <a:srgbClr val="000000"/>
                </a:solidFill>
                <a:effectLst/>
                <a:latin typeface="Century Gothic"/>
              </a:rPr>
              <a:t>, MUNICIPIO DE PASTO 2011-2014 </a:t>
            </a:r>
            <a:endParaRPr lang="es-CO" sz="1000">
              <a:effectLst/>
            </a:endParaRPr>
          </a:p>
          <a:p>
            <a:pPr>
              <a:defRPr lang="es-CO" sz="1000"/>
            </a:pPr>
            <a:endParaRPr lang="en-US" sz="1000" b="0">
              <a:latin typeface="Century Gothic" pitchFamily="34" charset="0"/>
            </a:endParaRPr>
          </a:p>
        </c:rich>
      </c:tx>
    </c:title>
    <c:plotArea>
      <c:layout>
        <c:manualLayout>
          <c:layoutTarget val="inner"/>
          <c:xMode val="edge"/>
          <c:yMode val="edge"/>
          <c:x val="0.35643190498661581"/>
          <c:y val="0.15646107391011321"/>
          <c:w val="0.57190807544405864"/>
          <c:h val="0.5178283964565058"/>
        </c:manualLayout>
      </c:layout>
      <c:lineChart>
        <c:grouping val="standard"/>
        <c:ser>
          <c:idx val="0"/>
          <c:order val="0"/>
          <c:tx>
            <c:strRef>
              <c:f>'FIEBRE AMARILLA'!$H$4</c:f>
              <c:strCache>
                <c:ptCount val="1"/>
                <c:pt idx="0">
                  <c:v>COBERTURA DE VACUNACIÓN CONTRA FIEBRE AMARILLA EN NIÑOS Y NIÑAS MENORES DE 1 AÑO</c:v>
                </c:pt>
              </c:strCache>
            </c:strRef>
          </c:tx>
          <c:cat>
            <c:numRef>
              <c:f>'FIEBRE AMARILLA'!$G$5:$G$8</c:f>
              <c:numCache>
                <c:formatCode>General</c:formatCode>
                <c:ptCount val="4"/>
                <c:pt idx="0">
                  <c:v>2011</c:v>
                </c:pt>
                <c:pt idx="1">
                  <c:v>2012</c:v>
                </c:pt>
                <c:pt idx="2">
                  <c:v>2013</c:v>
                </c:pt>
                <c:pt idx="3">
                  <c:v>2014</c:v>
                </c:pt>
              </c:numCache>
            </c:numRef>
          </c:cat>
          <c:val>
            <c:numRef>
              <c:f>'FIEBRE AMARILLA'!$H$5:$H$8</c:f>
              <c:numCache>
                <c:formatCode>0.0</c:formatCode>
                <c:ptCount val="4"/>
                <c:pt idx="0">
                  <c:v>78.900000000000006</c:v>
                </c:pt>
                <c:pt idx="1">
                  <c:v>76.099999999999994</c:v>
                </c:pt>
                <c:pt idx="2">
                  <c:v>94.6</c:v>
                </c:pt>
                <c:pt idx="3">
                  <c:v>100.3</c:v>
                </c:pt>
              </c:numCache>
            </c:numRef>
          </c:val>
        </c:ser>
        <c:marker val="1"/>
        <c:axId val="156041984"/>
        <c:axId val="156043520"/>
      </c:lineChart>
      <c:catAx>
        <c:axId val="156041984"/>
        <c:scaling>
          <c:orientation val="minMax"/>
        </c:scaling>
        <c:axPos val="b"/>
        <c:numFmt formatCode="General" sourceLinked="1"/>
        <c:majorTickMark val="none"/>
        <c:tickLblPos val="nextTo"/>
        <c:txPr>
          <a:bodyPr/>
          <a:lstStyle/>
          <a:p>
            <a:pPr>
              <a:defRPr lang="es-CO"/>
            </a:pPr>
            <a:endParaRPr lang="es-ES"/>
          </a:p>
        </c:txPr>
        <c:crossAx val="156043520"/>
        <c:crosses val="autoZero"/>
        <c:auto val="1"/>
        <c:lblAlgn val="ctr"/>
        <c:lblOffset val="100"/>
      </c:catAx>
      <c:valAx>
        <c:axId val="156043520"/>
        <c:scaling>
          <c:orientation val="minMax"/>
          <c:max val="110"/>
          <c:min val="0"/>
        </c:scaling>
        <c:axPos val="l"/>
        <c:title>
          <c:tx>
            <c:rich>
              <a:bodyPr/>
              <a:lstStyle/>
              <a:p>
                <a:pPr>
                  <a:defRPr lang="es-CO" sz="800"/>
                </a:pPr>
                <a:r>
                  <a:rPr lang="es-CO" sz="800"/>
                  <a:t>Cobertura</a:t>
                </a:r>
                <a:r>
                  <a:rPr lang="es-CO" sz="800" baseline="0"/>
                  <a:t> de Vacunación </a:t>
                </a:r>
              </a:p>
              <a:p>
                <a:pPr>
                  <a:defRPr lang="es-CO" sz="800"/>
                </a:pPr>
                <a:r>
                  <a:rPr lang="es-CO" sz="800" baseline="0"/>
                  <a:t>contra Fiebre Amarilla</a:t>
                </a:r>
                <a:r>
                  <a:rPr lang="es-CO" sz="800"/>
                  <a:t>(%)</a:t>
                </a:r>
              </a:p>
            </c:rich>
          </c:tx>
          <c:layout>
            <c:manualLayout>
              <c:xMode val="edge"/>
              <c:yMode val="edge"/>
              <c:x val="0.20919420815904743"/>
              <c:y val="0.24888527213544082"/>
            </c:manualLayout>
          </c:layout>
        </c:title>
        <c:numFmt formatCode="0.0" sourceLinked="1"/>
        <c:majorTickMark val="none"/>
        <c:tickLblPos val="nextTo"/>
        <c:txPr>
          <a:bodyPr/>
          <a:lstStyle/>
          <a:p>
            <a:pPr>
              <a:defRPr lang="es-CO">
                <a:latin typeface="Century Gothic" pitchFamily="34" charset="0"/>
              </a:defRPr>
            </a:pPr>
            <a:endParaRPr lang="es-ES"/>
          </a:p>
        </c:txPr>
        <c:crossAx val="156041984"/>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roundedCorners val="1"/>
  <c:clrMapOvr bg1="lt1" tx1="dk1" bg2="lt2" tx2="dk2" accent1="accent1" accent2="accent2" accent3="accent3" accent4="accent4" accent5="accent5" accent6="accent6" hlink="hlink" folHlink="folHlink"/>
  <c:chart>
    <c:title>
      <c:tx>
        <c:rich>
          <a:bodyPr/>
          <a:lstStyle/>
          <a:p>
            <a:pPr>
              <a:defRPr sz="1000"/>
            </a:pPr>
            <a:r>
              <a:rPr lang="en-US" sz="1000" b="0">
                <a:latin typeface="Century Gothic" pitchFamily="34" charset="0"/>
              </a:rPr>
              <a:t>INCIDENCIA DE SÍFILIS CONGÉNITA, MUNICIPIO DE PASTO, 2011-2014 </a:t>
            </a:r>
          </a:p>
          <a:p>
            <a:pPr>
              <a:defRPr sz="1000"/>
            </a:pPr>
            <a:r>
              <a:rPr lang="en-US" sz="1000" b="0">
                <a:latin typeface="Century Gothic" pitchFamily="34" charset="0"/>
              </a:rPr>
              <a:t> </a:t>
            </a:r>
          </a:p>
        </c:rich>
      </c:tx>
      <c:overlay val="1"/>
    </c:title>
    <c:plotArea>
      <c:layout>
        <c:manualLayout>
          <c:layoutTarget val="inner"/>
          <c:xMode val="edge"/>
          <c:yMode val="edge"/>
          <c:x val="0.27297171998145647"/>
          <c:y val="0.18822607845344599"/>
          <c:w val="0.66328211755171773"/>
          <c:h val="0.55900729085960621"/>
        </c:manualLayout>
      </c:layout>
      <c:lineChart>
        <c:grouping val="standard"/>
        <c:varyColors val="1"/>
        <c:ser>
          <c:idx val="3"/>
          <c:order val="0"/>
          <c:tx>
            <c:strRef>
              <c:f>'SÍFILIS CONGÉNITA'!$J$4</c:f>
              <c:strCache>
                <c:ptCount val="1"/>
                <c:pt idx="0">
                  <c:v>INCIDENCIA DE SÍFILIS CONGÉNITA</c:v>
                </c:pt>
              </c:strCache>
            </c:strRef>
          </c:tx>
          <c:spPr>
            <a:ln>
              <a:solidFill>
                <a:schemeClr val="accent1"/>
              </a:solidFill>
            </a:ln>
          </c:spPr>
          <c:marker>
            <c:symbol val="diamond"/>
            <c:size val="5"/>
            <c:spPr>
              <a:solidFill>
                <a:schemeClr val="accent1"/>
              </a:solidFill>
              <a:ln>
                <a:solidFill>
                  <a:schemeClr val="accent1"/>
                </a:solidFill>
              </a:ln>
            </c:spPr>
          </c:marker>
          <c:cat>
            <c:numRef>
              <c:f>'SÍFILIS CONGÉNITA'!$G$5:$G$8</c:f>
              <c:numCache>
                <c:formatCode>General</c:formatCode>
                <c:ptCount val="4"/>
                <c:pt idx="0">
                  <c:v>2011</c:v>
                </c:pt>
                <c:pt idx="1">
                  <c:v>2012</c:v>
                </c:pt>
                <c:pt idx="2">
                  <c:v>2013</c:v>
                </c:pt>
                <c:pt idx="3">
                  <c:v>2014</c:v>
                </c:pt>
              </c:numCache>
            </c:numRef>
          </c:cat>
          <c:val>
            <c:numRef>
              <c:f>'SÍFILIS CONGÉNITA'!$J$5:$J$8</c:f>
              <c:numCache>
                <c:formatCode>0.00</c:formatCode>
                <c:ptCount val="4"/>
                <c:pt idx="0">
                  <c:v>1.0347682119205299</c:v>
                </c:pt>
                <c:pt idx="1">
                  <c:v>0.20772746157041999</c:v>
                </c:pt>
                <c:pt idx="2">
                  <c:v>0.83437630371297355</c:v>
                </c:pt>
                <c:pt idx="3">
                  <c:v>1.1988011988011988</c:v>
                </c:pt>
              </c:numCache>
            </c:numRef>
          </c:val>
          <c:smooth val="1"/>
        </c:ser>
        <c:marker val="1"/>
        <c:axId val="156068864"/>
        <c:axId val="156140672"/>
      </c:lineChart>
      <c:catAx>
        <c:axId val="156068864"/>
        <c:scaling>
          <c:orientation val="minMax"/>
        </c:scaling>
        <c:delete val="1"/>
        <c:axPos val="b"/>
        <c:numFmt formatCode="General" sourceLinked="1"/>
        <c:majorTickMark val="none"/>
        <c:minorTickMark val="cross"/>
        <c:tickLblPos val="none"/>
        <c:crossAx val="156140672"/>
        <c:crosses val="autoZero"/>
        <c:auto val="1"/>
        <c:lblAlgn val="ctr"/>
        <c:lblOffset val="100"/>
        <c:noMultiLvlLbl val="1"/>
      </c:catAx>
      <c:valAx>
        <c:axId val="156140672"/>
        <c:scaling>
          <c:orientation val="minMax"/>
          <c:max val="10"/>
          <c:min val="0"/>
        </c:scaling>
        <c:delete val="1"/>
        <c:axPos val="l"/>
        <c:title>
          <c:tx>
            <c:rich>
              <a:bodyPr/>
              <a:lstStyle/>
              <a:p>
                <a:pPr>
                  <a:defRPr sz="800"/>
                </a:pPr>
                <a:r>
                  <a:rPr lang="es-CO" sz="800" baseline="0"/>
                  <a:t>Incidencia de sífilis congénita</a:t>
                </a:r>
                <a:endParaRPr lang="es-CO" sz="800"/>
              </a:p>
            </c:rich>
          </c:tx>
          <c:layout>
            <c:manualLayout>
              <c:xMode val="edge"/>
              <c:yMode val="edge"/>
              <c:x val="0.20486277930056188"/>
              <c:y val="0.22292260860757335"/>
            </c:manualLayout>
          </c:layout>
          <c:overlay val="1"/>
        </c:title>
        <c:numFmt formatCode="0.00" sourceLinked="1"/>
        <c:majorTickMark val="none"/>
        <c:minorTickMark val="cross"/>
        <c:tickLblPos val="none"/>
        <c:crossAx val="156068864"/>
        <c:crosses val="autoZero"/>
        <c:crossBetween val="between"/>
        <c:majorUnit val="2"/>
      </c:valAx>
      <c:dTable>
        <c:showHorzBorder val="1"/>
        <c:showVertBorder val="1"/>
        <c:showOutline val="1"/>
        <c:showKeys val="1"/>
        <c:txPr>
          <a:bodyPr/>
          <a:lstStyle/>
          <a:p>
            <a:pPr rtl="0">
              <a:defRPr sz="900">
                <a:latin typeface="Century Gothic" pitchFamily="34" charset="0"/>
              </a:defRPr>
            </a:pPr>
            <a:endParaRPr lang="es-ES"/>
          </a:p>
        </c:txPr>
      </c:dTable>
    </c:plotArea>
    <c:plotVisOnly val="1"/>
    <c:dispBlanksAs val="gap"/>
    <c:showDLblsOverMax val="1"/>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800">
                <a:effectLst/>
              </a:rPr>
              <a:t>Tasa de muertes por causas externas en niños, niñas y adolescentes (0 a 17 Años)</a:t>
            </a:r>
          </a:p>
        </c:rich>
      </c:tx>
      <c:spPr>
        <a:noFill/>
        <a:ln>
          <a:noFill/>
        </a:ln>
        <a:effectLst/>
      </c:spPr>
    </c:title>
    <c:plotArea>
      <c:layout>
        <c:manualLayout>
          <c:layoutTarget val="inner"/>
          <c:xMode val="edge"/>
          <c:yMode val="edge"/>
          <c:x val="2.432283029297955E-2"/>
          <c:y val="0.38812657001565892"/>
          <c:w val="0.95135433941404091"/>
          <c:h val="0.46308945287418485"/>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'0-17'!$C$10</c:f>
              <c:numCache>
                <c:formatCode>0</c:formatCode>
                <c:ptCount val="1"/>
                <c:pt idx="0">
                  <c:v>18.974431952943409</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'0-17'!$E$10</c:f>
              <c:numCache>
                <c:formatCode>0</c:formatCode>
                <c:ptCount val="1"/>
                <c:pt idx="0">
                  <c:v>15.90646995665487</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'0-17'!$G$10</c:f>
              <c:numCache>
                <c:formatCode>0</c:formatCode>
                <c:ptCount val="1"/>
                <c:pt idx="0">
                  <c:v>23.222479360020486</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'0-17'!$I$10</c:f>
              <c:numCache>
                <c:formatCode>0</c:formatCode>
                <c:ptCount val="1"/>
                <c:pt idx="0">
                  <c:v>15.329256289029109</c:v>
                </c:pt>
              </c:numCache>
            </c:numRef>
          </c:val>
        </c:ser>
        <c:dLbls>
          <c:showVal val="1"/>
        </c:dLbls>
        <c:overlap val="-25"/>
        <c:axId val="155707648"/>
        <c:axId val="156180480"/>
      </c:barChart>
      <c:catAx>
        <c:axId val="155707648"/>
        <c:scaling>
          <c:orientation val="minMax"/>
        </c:scaling>
        <c:delete val="1"/>
        <c:axPos val="b"/>
        <c:numFmt formatCode="General" sourceLinked="1"/>
        <c:majorTickMark val="none"/>
        <c:tickLblPos val="none"/>
        <c:crossAx val="156180480"/>
        <c:crosses val="autoZero"/>
        <c:auto val="1"/>
        <c:lblAlgn val="ctr"/>
        <c:lblOffset val="100"/>
      </c:catAx>
      <c:valAx>
        <c:axId val="156180480"/>
        <c:scaling>
          <c:orientation val="minMax"/>
        </c:scaling>
        <c:delete val="1"/>
        <c:axPos val="l"/>
        <c:numFmt formatCode="0" sourceLinked="1"/>
        <c:majorTickMark val="none"/>
        <c:tickLblPos val="none"/>
        <c:crossAx val="155707648"/>
        <c:crosses val="autoZero"/>
        <c:crossBetween val="between"/>
      </c:valAx>
      <c:spPr>
        <a:noFill/>
        <a:ln>
          <a:noFill/>
        </a:ln>
        <a:effectLst/>
      </c:spPr>
    </c:plotArea>
    <c:legend>
      <c:legendPos val="t"/>
      <c:layout>
        <c:manualLayout>
          <c:xMode val="edge"/>
          <c:yMode val="edge"/>
          <c:x val="0.33083767514135426"/>
          <c:y val="0.88669527896995703"/>
          <c:w val="0.29852365469241732"/>
          <c:h val="9.6567199486330441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Homicidios en niños, niñas y adolescentes</a:t>
            </a:r>
            <a:r>
              <a:rPr lang="es-CO" sz="1600">
                <a:effectLst/>
              </a:rPr>
              <a:t> </a:t>
            </a:r>
          </a:p>
          <a:p>
            <a:pPr>
              <a:defRPr lang="es-CO" sz="1400" b="0" i="0" u="none" strike="noStrike" kern="1200" spc="0" baseline="0">
                <a:solidFill>
                  <a:schemeClr val="tx1">
                    <a:lumMod val="65000"/>
                    <a:lumOff val="35000"/>
                  </a:schemeClr>
                </a:solidFill>
                <a:latin typeface="+mn-lt"/>
                <a:ea typeface="+mn-ea"/>
                <a:cs typeface="+mn-cs"/>
              </a:defRPr>
            </a:pPr>
            <a:r>
              <a:rPr lang="es-CO" sz="1600">
                <a:effectLst/>
              </a:rPr>
              <a:t>(0 a 17 Años)</a:t>
            </a:r>
          </a:p>
        </c:rich>
      </c:tx>
      <c:spPr>
        <a:noFill/>
        <a:ln>
          <a:noFill/>
        </a:ln>
        <a:effectLst/>
      </c:spPr>
    </c:title>
    <c:plotArea>
      <c:layout>
        <c:manualLayout>
          <c:layoutTarget val="inner"/>
          <c:xMode val="edge"/>
          <c:yMode val="edge"/>
          <c:x val="2.4083196496989631E-2"/>
          <c:y val="0.37370828646419196"/>
          <c:w val="0.95183360700602082"/>
          <c:h val="0.47663184959022975"/>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'0-17'!$C$6</c:f>
              <c:numCache>
                <c:formatCode>0</c:formatCode>
                <c:ptCount val="1"/>
                <c:pt idx="0">
                  <c:v>6.3248106509811288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'0-17'!$E$6</c:f>
              <c:numCache>
                <c:formatCode>0</c:formatCode>
                <c:ptCount val="1"/>
                <c:pt idx="0">
                  <c:v>3.1812939913309752</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'0-17'!$G$6</c:f>
              <c:numCache>
                <c:formatCode>0</c:formatCode>
                <c:ptCount val="1"/>
                <c:pt idx="0">
                  <c:v>5.6054260524187365</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'0-17'!$I$6</c:f>
              <c:numCache>
                <c:formatCode>0</c:formatCode>
                <c:ptCount val="1"/>
                <c:pt idx="0">
                  <c:v>4.0340148129023863</c:v>
                </c:pt>
              </c:numCache>
            </c:numRef>
          </c:val>
        </c:ser>
        <c:dLbls>
          <c:showVal val="1"/>
        </c:dLbls>
        <c:overlap val="-25"/>
        <c:axId val="156216704"/>
        <c:axId val="156370048"/>
      </c:barChart>
      <c:catAx>
        <c:axId val="156216704"/>
        <c:scaling>
          <c:orientation val="minMax"/>
        </c:scaling>
        <c:delete val="1"/>
        <c:axPos val="b"/>
        <c:numFmt formatCode="General" sourceLinked="1"/>
        <c:majorTickMark val="none"/>
        <c:tickLblPos val="none"/>
        <c:crossAx val="156370048"/>
        <c:crosses val="autoZero"/>
        <c:auto val="1"/>
        <c:lblAlgn val="ctr"/>
        <c:lblOffset val="100"/>
      </c:catAx>
      <c:valAx>
        <c:axId val="156370048"/>
        <c:scaling>
          <c:orientation val="minMax"/>
        </c:scaling>
        <c:delete val="1"/>
        <c:axPos val="l"/>
        <c:numFmt formatCode="0" sourceLinked="1"/>
        <c:majorTickMark val="none"/>
        <c:tickLblPos val="none"/>
        <c:crossAx val="156216704"/>
        <c:crosses val="autoZero"/>
        <c:crossBetween val="between"/>
      </c:valAx>
      <c:spPr>
        <a:noFill/>
        <a:ln>
          <a:noFill/>
        </a:ln>
        <a:effectLst/>
      </c:spPr>
    </c:plotArea>
    <c:legend>
      <c:legendPos val="t"/>
      <c:layout>
        <c:manualLayout>
          <c:xMode val="edge"/>
          <c:yMode val="edge"/>
          <c:x val="0.34564058802994507"/>
          <c:y val="0.8627544910179642"/>
          <c:w val="0.29558253494175346"/>
          <c:h val="0.1347314819180537"/>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suicidios en niños, niñas y adolescentes (0-17 Años)</a:t>
            </a:r>
            <a:endParaRPr lang="es-CO" sz="1400">
              <a:effectLst/>
            </a:endParaRPr>
          </a:p>
        </c:rich>
      </c:tx>
      <c:spPr>
        <a:noFill/>
        <a:ln>
          <a:noFill/>
        </a:ln>
        <a:effectLst/>
      </c:spPr>
    </c:title>
    <c:plotArea>
      <c:layout>
        <c:manualLayout>
          <c:layoutTarget val="inner"/>
          <c:xMode val="edge"/>
          <c:yMode val="edge"/>
          <c:x val="2.5287356321839111E-2"/>
          <c:y val="0.32376500299323818"/>
          <c:w val="0.94942528735632181"/>
          <c:h val="0.47681663389915979"/>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'0-17'!$C$8</c:f>
              <c:numCache>
                <c:formatCode>0</c:formatCode>
                <c:ptCount val="1"/>
                <c:pt idx="0">
                  <c:v>3.9530066568632103</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'0-17'!$E$8</c:f>
              <c:numCache>
                <c:formatCode>0</c:formatCode>
                <c:ptCount val="1"/>
                <c:pt idx="0">
                  <c:v>3.9766174891637118</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'0-17'!$G$8</c:f>
              <c:numCache>
                <c:formatCode>0</c:formatCode>
                <c:ptCount val="1"/>
                <c:pt idx="0">
                  <c:v>4.8046509020732069</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'0-17'!$I$8</c:f>
              <c:numCache>
                <c:formatCode>0</c:formatCode>
                <c:ptCount val="1"/>
                <c:pt idx="0">
                  <c:v>3.2272118503219218</c:v>
                </c:pt>
              </c:numCache>
            </c:numRef>
          </c:val>
        </c:ser>
        <c:dLbls>
          <c:showVal val="1"/>
        </c:dLbls>
        <c:overlap val="-25"/>
        <c:axId val="156418816"/>
        <c:axId val="156420352"/>
      </c:barChart>
      <c:catAx>
        <c:axId val="156418816"/>
        <c:scaling>
          <c:orientation val="minMax"/>
        </c:scaling>
        <c:delete val="1"/>
        <c:axPos val="b"/>
        <c:numFmt formatCode="General" sourceLinked="1"/>
        <c:majorTickMark val="none"/>
        <c:tickLblPos val="none"/>
        <c:crossAx val="156420352"/>
        <c:crosses val="autoZero"/>
        <c:auto val="1"/>
        <c:lblAlgn val="ctr"/>
        <c:lblOffset val="100"/>
      </c:catAx>
      <c:valAx>
        <c:axId val="156420352"/>
        <c:scaling>
          <c:orientation val="minMax"/>
        </c:scaling>
        <c:delete val="1"/>
        <c:axPos val="l"/>
        <c:numFmt formatCode="0" sourceLinked="1"/>
        <c:majorTickMark val="none"/>
        <c:tickLblPos val="none"/>
        <c:crossAx val="156418816"/>
        <c:crosses val="autoZero"/>
        <c:crossBetween val="between"/>
      </c:valAx>
      <c:spPr>
        <a:noFill/>
        <a:ln>
          <a:noFill/>
        </a:ln>
        <a:effectLst/>
      </c:spPr>
    </c:plotArea>
    <c:legend>
      <c:legendPos val="t"/>
      <c:layout>
        <c:manualLayout>
          <c:xMode val="edge"/>
          <c:yMode val="edge"/>
          <c:x val="0.34481907864965233"/>
          <c:y val="0.85658496053178235"/>
          <c:w val="0.31036166168884177"/>
          <c:h val="0.14021701794961547"/>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muertes por otros accidentes en niños, niñas y adolescentes</a:t>
            </a:r>
            <a:r>
              <a:rPr lang="es-CO" sz="1600">
                <a:effectLst/>
              </a:rPr>
              <a:t>(0 a 17 Años)</a:t>
            </a:r>
          </a:p>
        </c:rich>
      </c:tx>
      <c:spPr>
        <a:noFill/>
        <a:ln>
          <a:noFill/>
        </a:ln>
        <a:effectLst/>
      </c:spPr>
    </c:title>
    <c:plotArea>
      <c:layout>
        <c:manualLayout>
          <c:layoutTarget val="inner"/>
          <c:xMode val="edge"/>
          <c:yMode val="edge"/>
          <c:x val="2.4858757062146894E-2"/>
          <c:y val="0.37849205691393839"/>
          <c:w val="0.95028248587570519"/>
          <c:h val="0.446069346594833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'0-17'!$C$9</c:f>
              <c:numCache>
                <c:formatCode>0</c:formatCode>
                <c:ptCount val="1"/>
                <c:pt idx="0">
                  <c:v>6.3248106509811288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'0-17'!$E$9</c:f>
              <c:numCache>
                <c:formatCode>0</c:formatCode>
                <c:ptCount val="1"/>
                <c:pt idx="0">
                  <c:v>3.9766174891637118</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'0-17'!$G$9</c:f>
              <c:numCache>
                <c:formatCode>0</c:formatCode>
                <c:ptCount val="1"/>
                <c:pt idx="0">
                  <c:v>8.8085266538008788</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'0-17'!$I$9</c:f>
              <c:numCache>
                <c:formatCode>0</c:formatCode>
                <c:ptCount val="1"/>
                <c:pt idx="0">
                  <c:v>6.4544237006438365</c:v>
                </c:pt>
              </c:numCache>
            </c:numRef>
          </c:val>
        </c:ser>
        <c:dLbls>
          <c:showVal val="1"/>
        </c:dLbls>
        <c:overlap val="-25"/>
        <c:axId val="156559232"/>
        <c:axId val="156560768"/>
      </c:barChart>
      <c:catAx>
        <c:axId val="156559232"/>
        <c:scaling>
          <c:orientation val="minMax"/>
        </c:scaling>
        <c:delete val="1"/>
        <c:axPos val="b"/>
        <c:numFmt formatCode="General" sourceLinked="1"/>
        <c:majorTickMark val="none"/>
        <c:tickLblPos val="none"/>
        <c:crossAx val="156560768"/>
        <c:crosses val="autoZero"/>
        <c:auto val="1"/>
        <c:lblAlgn val="ctr"/>
        <c:lblOffset val="100"/>
      </c:catAx>
      <c:valAx>
        <c:axId val="156560768"/>
        <c:scaling>
          <c:orientation val="minMax"/>
        </c:scaling>
        <c:delete val="1"/>
        <c:axPos val="l"/>
        <c:numFmt formatCode="0" sourceLinked="1"/>
        <c:majorTickMark val="none"/>
        <c:tickLblPos val="none"/>
        <c:crossAx val="156559232"/>
        <c:crosses val="autoZero"/>
        <c:crossBetween val="between"/>
      </c:valAx>
      <c:spPr>
        <a:noFill/>
        <a:ln>
          <a:noFill/>
        </a:ln>
        <a:effectLst/>
      </c:spPr>
    </c:plotArea>
    <c:legend>
      <c:legendPos val="t"/>
      <c:layout>
        <c:manualLayout>
          <c:xMode val="edge"/>
          <c:yMode val="edge"/>
          <c:x val="0.33614982872903598"/>
          <c:y val="0.87761403508771962"/>
          <c:w val="0.30510129454157214"/>
          <c:h val="0.11842188147534199"/>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50"/>
            </a:pPr>
            <a:r>
              <a:rPr lang="en-US" sz="1050" b="0">
                <a:latin typeface="Century Gothic" pitchFamily="34" charset="0"/>
              </a:rPr>
              <a:t>TASA DE MORTALIDAD EN</a:t>
            </a:r>
            <a:r>
              <a:rPr lang="en-US" sz="1050" b="0" baseline="0">
                <a:latin typeface="Century Gothic" pitchFamily="34" charset="0"/>
              </a:rPr>
              <a:t> MENORES DE 5 AÑOS, MUNICIPIO DE PASTO, 2011- 2014 </a:t>
            </a:r>
          </a:p>
          <a:p>
            <a:pPr>
              <a:defRPr lang="es-CO" sz="1050"/>
            </a:pPr>
            <a:r>
              <a:rPr lang="en-US" sz="1050" b="0" baseline="0">
                <a:latin typeface="Century Gothic" pitchFamily="34" charset="0"/>
              </a:rPr>
              <a:t> </a:t>
            </a:r>
            <a:endParaRPr lang="en-US" sz="1050" b="0">
              <a:latin typeface="Century Gothic" pitchFamily="34" charset="0"/>
            </a:endParaRPr>
          </a:p>
        </c:rich>
      </c:tx>
      <c:layout>
        <c:manualLayout>
          <c:xMode val="edge"/>
          <c:yMode val="edge"/>
          <c:x val="0.1516560161380576"/>
          <c:y val="1.7520798705613086E-2"/>
        </c:manualLayout>
      </c:layout>
    </c:title>
    <c:plotArea>
      <c:layout>
        <c:manualLayout>
          <c:layoutTarget val="inner"/>
          <c:xMode val="edge"/>
          <c:yMode val="edge"/>
          <c:x val="0.35643190498661581"/>
          <c:y val="0.18822607845344599"/>
          <c:w val="0.62442101321642174"/>
          <c:h val="0.55203728253492212"/>
        </c:manualLayout>
      </c:layout>
      <c:lineChart>
        <c:grouping val="standard"/>
        <c:ser>
          <c:idx val="2"/>
          <c:order val="0"/>
          <c:tx>
            <c:strRef>
              <c:f>'MORTALIDAD &lt;5 AÑOS'!$K$6</c:f>
              <c:strCache>
                <c:ptCount val="1"/>
                <c:pt idx="0">
                  <c:v>TASA DE MORTALIDAD EN MENORES DE 5 AÑOS POR CADA 1.000 MENORES DE 5 AÑOS</c:v>
                </c:pt>
              </c:strCache>
            </c:strRef>
          </c:tx>
          <c:spPr>
            <a:ln>
              <a:solidFill>
                <a:schemeClr val="accent1"/>
              </a:solidFill>
            </a:ln>
          </c:spPr>
          <c:marker>
            <c:symbol val="diamond"/>
            <c:size val="5"/>
            <c:spPr>
              <a:solidFill>
                <a:schemeClr val="accent1"/>
              </a:solidFill>
              <a:ln>
                <a:solidFill>
                  <a:schemeClr val="accent1"/>
                </a:solidFill>
              </a:ln>
            </c:spPr>
          </c:marker>
          <c:cat>
            <c:numRef>
              <c:f>'MORTALIDAD &lt;5 AÑOS'!$H$7:$H$10</c:f>
              <c:numCache>
                <c:formatCode>General</c:formatCode>
                <c:ptCount val="4"/>
                <c:pt idx="0">
                  <c:v>2011</c:v>
                </c:pt>
                <c:pt idx="1">
                  <c:v>2012</c:v>
                </c:pt>
                <c:pt idx="2">
                  <c:v>2013</c:v>
                </c:pt>
                <c:pt idx="3">
                  <c:v>2014</c:v>
                </c:pt>
              </c:numCache>
            </c:numRef>
          </c:cat>
          <c:val>
            <c:numRef>
              <c:f>'MORTALIDAD &lt;5 AÑOS'!$K$7:$K$10</c:f>
              <c:numCache>
                <c:formatCode>0.0</c:formatCode>
                <c:ptCount val="4"/>
                <c:pt idx="0">
                  <c:v>2.2751355731471672</c:v>
                </c:pt>
                <c:pt idx="1">
                  <c:v>1.8527823137796759</c:v>
                </c:pt>
                <c:pt idx="2">
                  <c:v>1.7408919697401324</c:v>
                </c:pt>
                <c:pt idx="3">
                  <c:v>1.9442850768151989</c:v>
                </c:pt>
              </c:numCache>
            </c:numRef>
          </c:val>
        </c:ser>
        <c:marker val="1"/>
        <c:axId val="155416832"/>
        <c:axId val="155480448"/>
      </c:lineChart>
      <c:catAx>
        <c:axId val="155416832"/>
        <c:scaling>
          <c:orientation val="minMax"/>
        </c:scaling>
        <c:axPos val="b"/>
        <c:numFmt formatCode="General" sourceLinked="1"/>
        <c:majorTickMark val="none"/>
        <c:tickLblPos val="nextTo"/>
        <c:txPr>
          <a:bodyPr/>
          <a:lstStyle/>
          <a:p>
            <a:pPr>
              <a:defRPr lang="es-CO"/>
            </a:pPr>
            <a:endParaRPr lang="es-ES"/>
          </a:p>
        </c:txPr>
        <c:crossAx val="155480448"/>
        <c:crosses val="autoZero"/>
        <c:auto val="1"/>
        <c:lblAlgn val="ctr"/>
        <c:lblOffset val="100"/>
      </c:catAx>
      <c:valAx>
        <c:axId val="155480448"/>
        <c:scaling>
          <c:orientation val="minMax"/>
          <c:max val="10"/>
          <c:min val="0"/>
        </c:scaling>
        <c:axPos val="l"/>
        <c:title>
          <c:tx>
            <c:rich>
              <a:bodyPr/>
              <a:lstStyle/>
              <a:p>
                <a:pPr>
                  <a:defRPr lang="es-CO" sz="900">
                    <a:latin typeface="Century Gothic" pitchFamily="34" charset="0"/>
                  </a:defRPr>
                </a:pPr>
                <a:r>
                  <a:rPr lang="es-CO" sz="900">
                    <a:latin typeface="Century Gothic" pitchFamily="34" charset="0"/>
                  </a:rPr>
                  <a:t>Tasa de mortalidad x</a:t>
                </a:r>
                <a:r>
                  <a:rPr lang="es-CO" sz="900" baseline="0">
                    <a:latin typeface="Century Gothic" pitchFamily="34" charset="0"/>
                  </a:rPr>
                  <a:t> 1.000 </a:t>
                </a:r>
              </a:p>
              <a:p>
                <a:pPr>
                  <a:defRPr lang="es-CO" sz="900">
                    <a:latin typeface="Century Gothic" pitchFamily="34" charset="0"/>
                  </a:defRPr>
                </a:pPr>
                <a:r>
                  <a:rPr lang="es-CO" sz="900" baseline="0">
                    <a:latin typeface="Century Gothic" pitchFamily="34" charset="0"/>
                  </a:rPr>
                  <a:t>menores de 5 años</a:t>
                </a:r>
              </a:p>
            </c:rich>
          </c:tx>
          <c:layout>
            <c:manualLayout>
              <c:xMode val="edge"/>
              <c:yMode val="edge"/>
              <c:x val="0.21119155587444391"/>
              <c:y val="0.13190207726186834"/>
            </c:manualLayout>
          </c:layout>
        </c:title>
        <c:numFmt formatCode="0.0" sourceLinked="1"/>
        <c:majorTickMark val="none"/>
        <c:tickLblPos val="nextTo"/>
        <c:txPr>
          <a:bodyPr/>
          <a:lstStyle/>
          <a:p>
            <a:pPr>
              <a:defRPr lang="es-CO">
                <a:latin typeface="Century Gothic" pitchFamily="34" charset="0"/>
              </a:defRPr>
            </a:pPr>
            <a:endParaRPr lang="es-ES"/>
          </a:p>
        </c:txPr>
        <c:crossAx val="155416832"/>
        <c:crosses val="autoZero"/>
        <c:crossBetween val="between"/>
      </c:valAx>
      <c:dTable>
        <c:showHorzBorder val="1"/>
        <c:showVertBorder val="1"/>
        <c:showOutline val="1"/>
        <c:showKeys val="1"/>
        <c:txPr>
          <a:bodyPr/>
          <a:lstStyle/>
          <a:p>
            <a:pPr rtl="0">
              <a:defRPr lang="es-CO" sz="900" b="0">
                <a:latin typeface="Century Gothic" pitchFamily="34" charset="0"/>
              </a:defRPr>
            </a:pPr>
            <a:endParaRPr lang="es-ES"/>
          </a:p>
        </c:txPr>
      </c:dTable>
    </c:plotArea>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muertes por accidentes de tránsito en niños, niñas y adolescentes</a:t>
            </a:r>
            <a:r>
              <a:rPr lang="es-CO" sz="1400">
                <a:effectLst/>
              </a:rPr>
              <a:t>(0 a 17 Años)</a:t>
            </a:r>
          </a:p>
        </c:rich>
      </c:tx>
      <c:spPr>
        <a:noFill/>
        <a:ln>
          <a:noFill/>
        </a:ln>
        <a:effectLst/>
      </c:spPr>
    </c:title>
    <c:plotArea>
      <c:layout>
        <c:manualLayout>
          <c:layoutTarget val="inner"/>
          <c:xMode val="edge"/>
          <c:yMode val="edge"/>
          <c:x val="2.5287356321839111E-2"/>
          <c:y val="0.29794713160854891"/>
          <c:w val="0.94942528735632181"/>
          <c:h val="0.55324334458192659"/>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'0-17'!$C$7</c:f>
              <c:numCache>
                <c:formatCode>0</c:formatCode>
                <c:ptCount val="1"/>
                <c:pt idx="0">
                  <c:v>2.3718039941179225</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'0-17'!$E$7</c:f>
              <c:numCache>
                <c:formatCode>0</c:formatCode>
                <c:ptCount val="1"/>
                <c:pt idx="0">
                  <c:v>4.7719409869964604</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'0-17'!$G$7</c:f>
              <c:numCache>
                <c:formatCode>0</c:formatCode>
                <c:ptCount val="1"/>
                <c:pt idx="0">
                  <c:v>4.003875751727672</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'0-17'!$I$7</c:f>
              <c:numCache>
                <c:formatCode>0</c:formatCode>
                <c:ptCount val="1"/>
                <c:pt idx="0">
                  <c:v>1.6136059251609571</c:v>
                </c:pt>
              </c:numCache>
            </c:numRef>
          </c:val>
        </c:ser>
        <c:dLbls>
          <c:showVal val="1"/>
        </c:dLbls>
        <c:overlap val="-25"/>
        <c:axId val="156908544"/>
        <c:axId val="156926720"/>
      </c:barChart>
      <c:catAx>
        <c:axId val="156908544"/>
        <c:scaling>
          <c:orientation val="minMax"/>
        </c:scaling>
        <c:delete val="1"/>
        <c:axPos val="b"/>
        <c:numFmt formatCode="General" sourceLinked="1"/>
        <c:majorTickMark val="none"/>
        <c:tickLblPos val="none"/>
        <c:crossAx val="156926720"/>
        <c:crosses val="autoZero"/>
        <c:auto val="1"/>
        <c:lblAlgn val="ctr"/>
        <c:lblOffset val="100"/>
      </c:catAx>
      <c:valAx>
        <c:axId val="156926720"/>
        <c:scaling>
          <c:orientation val="minMax"/>
        </c:scaling>
        <c:delete val="1"/>
        <c:axPos val="l"/>
        <c:numFmt formatCode="0" sourceLinked="1"/>
        <c:majorTickMark val="none"/>
        <c:tickLblPos val="none"/>
        <c:crossAx val="156908544"/>
        <c:crosses val="autoZero"/>
        <c:crossBetween val="between"/>
      </c:valAx>
      <c:spPr>
        <a:noFill/>
        <a:ln>
          <a:noFill/>
        </a:ln>
        <a:effectLst/>
      </c:spPr>
    </c:plotArea>
    <c:legend>
      <c:legendPos val="t"/>
      <c:layout>
        <c:manualLayout>
          <c:xMode val="edge"/>
          <c:yMode val="edge"/>
          <c:x val="0.31723287175310022"/>
          <c:y val="0.89392857142857263"/>
          <c:w val="0.31036166168884177"/>
          <c:h val="0.10044713160854885"/>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style val="7"/>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200" b="1" i="0" u="none" strike="noStrike" kern="1200" cap="all" spc="120" normalizeH="0" baseline="0">
              <a:solidFill>
                <a:sysClr val="windowText" lastClr="000000"/>
              </a:solidFill>
              <a:latin typeface="+mn-lt"/>
              <a:ea typeface="+mn-ea"/>
              <a:cs typeface="+mn-cs"/>
            </a:defRPr>
          </a:pPr>
          <a:endParaRPr lang="es-ES"/>
        </a:p>
      </c:txPr>
    </c:title>
    <c:plotArea>
      <c:layout>
        <c:manualLayout>
          <c:layoutTarget val="inner"/>
          <c:xMode val="edge"/>
          <c:yMode val="edge"/>
          <c:x val="2.432283029297955E-2"/>
          <c:y val="0.23658421859035172"/>
          <c:w val="0.95135433941404091"/>
          <c:h val="0.66172428516457427"/>
        </c:manualLayout>
      </c:layout>
      <c:lineChart>
        <c:grouping val="standard"/>
        <c:ser>
          <c:idx val="0"/>
          <c:order val="0"/>
          <c:tx>
            <c:strRef>
              <c:f>Hoja1!$B$23</c:f>
              <c:strCache>
                <c:ptCount val="1"/>
                <c:pt idx="0">
                  <c:v>Cobertura escolar bruta en preescolar</c:v>
                </c:pt>
              </c:strCache>
            </c:strRef>
          </c:tx>
          <c:spPr>
            <a:ln w="22225" cap="rnd">
              <a:solidFill>
                <a:schemeClr val="accent5"/>
              </a:solidFill>
              <a:round/>
            </a:ln>
            <a:effectLst/>
          </c:spPr>
          <c:marker>
            <c:symbol val="diamond"/>
            <c:size val="6"/>
            <c:spPr>
              <a:solidFill>
                <a:schemeClr val="accent5"/>
              </a:solidFill>
              <a:ln w="9525">
                <a:solidFill>
                  <a:schemeClr val="accent5"/>
                </a:solidFill>
                <a:round/>
              </a:ln>
              <a:effectLst/>
            </c:spPr>
          </c:marker>
          <c:dLbls>
            <c:dLbl>
              <c:idx val="0"/>
              <c:layout>
                <c:manualLayout>
                  <c:x val="-4.3985200174000566E-2"/>
                  <c:y val="-5.8394160583941666E-2"/>
                </c:manualLayout>
              </c:layout>
              <c:dLblPos val="r"/>
              <c:showVal val="1"/>
              <c:extLst>
                <c:ext xmlns:c15="http://schemas.microsoft.com/office/drawing/2012/chart" uri="{CE6537A1-D6FC-4f65-9D91-7224C49458BB}"/>
              </c:extLst>
            </c:dLbl>
            <c:dLbl>
              <c:idx val="1"/>
              <c:layout>
                <c:manualLayout>
                  <c:x val="-4.3985200174000566E-2"/>
                  <c:y val="-5.8394160583941666E-2"/>
                </c:manualLayout>
              </c:layout>
              <c:dLblPos val="r"/>
              <c:showVal val="1"/>
              <c:extLst>
                <c:ext xmlns:c15="http://schemas.microsoft.com/office/drawing/2012/chart" uri="{CE6537A1-D6FC-4f65-9D91-7224C49458BB}"/>
              </c:extLst>
            </c:dLbl>
            <c:dLbl>
              <c:idx val="2"/>
              <c:layout>
                <c:manualLayout>
                  <c:x val="-4.1502270316769063E-2"/>
                  <c:y val="-6.3260340632603412E-2"/>
                </c:manualLayout>
              </c:layout>
              <c:dLblPos val="r"/>
              <c:showVal val="1"/>
              <c:extLst>
                <c:ext xmlns:c15="http://schemas.microsoft.com/office/drawing/2012/chart" uri="{CE6537A1-D6FC-4f65-9D91-7224C49458BB}"/>
              </c:extLst>
            </c:dLbl>
            <c:dLbl>
              <c:idx val="3"/>
              <c:layout>
                <c:manualLayout>
                  <c:x val="-4.3985200174000781E-2"/>
                  <c:y val="-5.3527980535279976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dLblPos val="ct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Hoja1!$D$2:$D$6</c:f>
              <c:strCache>
                <c:ptCount val="5"/>
                <c:pt idx="0">
                  <c:v>2011</c:v>
                </c:pt>
                <c:pt idx="1">
                  <c:v>2012</c:v>
                </c:pt>
                <c:pt idx="2">
                  <c:v>2013</c:v>
                </c:pt>
                <c:pt idx="3">
                  <c:v>2014</c:v>
                </c:pt>
                <c:pt idx="4">
                  <c:v>2015(*)</c:v>
                </c:pt>
              </c:strCache>
            </c:strRef>
          </c:cat>
          <c:val>
            <c:numRef>
              <c:f>Hoja1!$E$23:$E$26</c:f>
              <c:numCache>
                <c:formatCode>0%</c:formatCode>
                <c:ptCount val="4"/>
                <c:pt idx="0">
                  <c:v>0.4</c:v>
                </c:pt>
                <c:pt idx="1">
                  <c:v>0.42145633583830039</c:v>
                </c:pt>
                <c:pt idx="2">
                  <c:v>0.39025280166797038</c:v>
                </c:pt>
                <c:pt idx="3">
                  <c:v>0.38319028679087336</c:v>
                </c:pt>
              </c:numCache>
            </c:numRef>
          </c:val>
        </c:ser>
        <c:dLbls>
          <c:showVal val="1"/>
        </c:dLbls>
        <c:marker val="1"/>
        <c:axId val="157030656"/>
        <c:axId val="157044736"/>
      </c:lineChart>
      <c:catAx>
        <c:axId val="1570306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mn-lt"/>
                <a:ea typeface="+mn-ea"/>
                <a:cs typeface="+mn-cs"/>
              </a:defRPr>
            </a:pPr>
            <a:endParaRPr lang="es-ES"/>
          </a:p>
        </c:txPr>
        <c:crossAx val="157044736"/>
        <c:crosses val="autoZero"/>
        <c:auto val="1"/>
        <c:lblAlgn val="ctr"/>
        <c:lblOffset val="100"/>
      </c:catAx>
      <c:valAx>
        <c:axId val="157044736"/>
        <c:scaling>
          <c:orientation val="minMax"/>
        </c:scaling>
        <c:axPos val="l"/>
        <c:numFmt formatCode="0%"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57030656"/>
        <c:crosses val="autoZero"/>
        <c:crossBetween val="between"/>
      </c:valAx>
      <c:spPr>
        <a:noFill/>
        <a:ln>
          <a:noFill/>
        </a:ln>
        <a:effectLst/>
      </c:spPr>
    </c:plotArea>
    <c:plotVisOnly val="1"/>
    <c:dispBlanksAs val="zero"/>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s-E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tx>
            <c:strRef>
              <c:f>Hoja2!$B$5</c:f>
              <c:strCache>
                <c:ptCount val="1"/>
                <c:pt idx="0">
                  <c:v>Pasto</c:v>
                </c:pt>
              </c:strCache>
            </c:strRef>
          </c:tx>
          <c:dLbls>
            <c:spPr>
              <a:noFill/>
              <a:ln>
                <a:noFill/>
              </a:ln>
              <a:effectLst/>
            </c:spPr>
            <c:showVal val="1"/>
            <c:extLst>
              <c:ext xmlns:c15="http://schemas.microsoft.com/office/drawing/2012/chart" uri="{CE6537A1-D6FC-4f65-9D91-7224C49458BB}">
                <c15:showLeaderLines val="0"/>
              </c:ext>
            </c:extLst>
          </c:dLbls>
          <c:cat>
            <c:multiLvlStrRef>
              <c:f>Hoja2!$C$3:$H$4</c:f>
              <c:multiLvlStrCache>
                <c:ptCount val="6"/>
                <c:lvl>
                  <c:pt idx="0">
                    <c:v>2009</c:v>
                  </c:pt>
                  <c:pt idx="1">
                    <c:v>2012</c:v>
                  </c:pt>
                  <c:pt idx="2">
                    <c:v>2009</c:v>
                  </c:pt>
                  <c:pt idx="3">
                    <c:v>2012</c:v>
                  </c:pt>
                  <c:pt idx="4">
                    <c:v>2009</c:v>
                  </c:pt>
                  <c:pt idx="5">
                    <c:v>2012</c:v>
                  </c:pt>
                </c:lvl>
                <c:lvl>
                  <c:pt idx="0">
                    <c:v>Lenguaje</c:v>
                  </c:pt>
                  <c:pt idx="2">
                    <c:v>Matematicas</c:v>
                  </c:pt>
                  <c:pt idx="4">
                    <c:v>Ciencias Naturales</c:v>
                  </c:pt>
                </c:lvl>
              </c:multiLvlStrCache>
            </c:multiLvlStrRef>
          </c:cat>
          <c:val>
            <c:numRef>
              <c:f>Hoja2!$C$5:$H$5</c:f>
              <c:numCache>
                <c:formatCode>General</c:formatCode>
                <c:ptCount val="6"/>
                <c:pt idx="0">
                  <c:v>307</c:v>
                </c:pt>
                <c:pt idx="1">
                  <c:v>339</c:v>
                </c:pt>
                <c:pt idx="2">
                  <c:v>310</c:v>
                </c:pt>
                <c:pt idx="3">
                  <c:v>326</c:v>
                </c:pt>
                <c:pt idx="4">
                  <c:v>307</c:v>
                </c:pt>
                <c:pt idx="5">
                  <c:v>332</c:v>
                </c:pt>
              </c:numCache>
            </c:numRef>
          </c:val>
        </c:ser>
        <c:ser>
          <c:idx val="1"/>
          <c:order val="1"/>
          <c:tx>
            <c:strRef>
              <c:f>Hoja2!$B$6</c:f>
              <c:strCache>
                <c:ptCount val="1"/>
                <c:pt idx="0">
                  <c:v>Colombia</c:v>
                </c:pt>
              </c:strCache>
            </c:strRef>
          </c:tx>
          <c:dLbls>
            <c:spPr>
              <a:noFill/>
              <a:ln>
                <a:noFill/>
              </a:ln>
              <a:effectLst/>
            </c:spPr>
            <c:showVal val="1"/>
            <c:extLst>
              <c:ext xmlns:c15="http://schemas.microsoft.com/office/drawing/2012/chart" uri="{CE6537A1-D6FC-4f65-9D91-7224C49458BB}">
                <c15:showLeaderLines val="0"/>
              </c:ext>
            </c:extLst>
          </c:dLbls>
          <c:cat>
            <c:multiLvlStrRef>
              <c:f>Hoja2!$C$3:$H$4</c:f>
              <c:multiLvlStrCache>
                <c:ptCount val="6"/>
                <c:lvl>
                  <c:pt idx="0">
                    <c:v>2009</c:v>
                  </c:pt>
                  <c:pt idx="1">
                    <c:v>2012</c:v>
                  </c:pt>
                  <c:pt idx="2">
                    <c:v>2009</c:v>
                  </c:pt>
                  <c:pt idx="3">
                    <c:v>2012</c:v>
                  </c:pt>
                  <c:pt idx="4">
                    <c:v>2009</c:v>
                  </c:pt>
                  <c:pt idx="5">
                    <c:v>2012</c:v>
                  </c:pt>
                </c:lvl>
                <c:lvl>
                  <c:pt idx="0">
                    <c:v>Lenguaje</c:v>
                  </c:pt>
                  <c:pt idx="2">
                    <c:v>Matematicas</c:v>
                  </c:pt>
                  <c:pt idx="4">
                    <c:v>Ciencias Naturales</c:v>
                  </c:pt>
                </c:lvl>
              </c:multiLvlStrCache>
            </c:multiLvlStrRef>
          </c:cat>
          <c:val>
            <c:numRef>
              <c:f>Hoja2!$C$6:$H$6</c:f>
              <c:numCache>
                <c:formatCode>General</c:formatCode>
                <c:ptCount val="6"/>
                <c:pt idx="0">
                  <c:v>301</c:v>
                </c:pt>
                <c:pt idx="1">
                  <c:v>302</c:v>
                </c:pt>
                <c:pt idx="2">
                  <c:v>301</c:v>
                </c:pt>
                <c:pt idx="3">
                  <c:v>294</c:v>
                </c:pt>
                <c:pt idx="4">
                  <c:v>302</c:v>
                </c:pt>
                <c:pt idx="5">
                  <c:v>301</c:v>
                </c:pt>
              </c:numCache>
            </c:numRef>
          </c:val>
        </c:ser>
        <c:shape val="box"/>
        <c:axId val="157051904"/>
        <c:axId val="157086464"/>
        <c:axId val="0"/>
      </c:bar3DChart>
      <c:catAx>
        <c:axId val="157051904"/>
        <c:scaling>
          <c:orientation val="minMax"/>
        </c:scaling>
        <c:axPos val="b"/>
        <c:numFmt formatCode="General" sourceLinked="0"/>
        <c:tickLblPos val="nextTo"/>
        <c:crossAx val="157086464"/>
        <c:crosses val="autoZero"/>
        <c:auto val="1"/>
        <c:lblAlgn val="ctr"/>
        <c:lblOffset val="100"/>
      </c:catAx>
      <c:valAx>
        <c:axId val="157086464"/>
        <c:scaling>
          <c:orientation val="minMax"/>
        </c:scaling>
        <c:axPos val="l"/>
        <c:majorGridlines/>
        <c:numFmt formatCode="General" sourceLinked="1"/>
        <c:tickLblPos val="nextTo"/>
        <c:crossAx val="157051904"/>
        <c:crosses val="autoZero"/>
        <c:crossBetween val="between"/>
      </c:valAx>
    </c:plotArea>
    <c:legend>
      <c:legendPos val="r"/>
    </c:legend>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a:pPr>
            <a:r>
              <a:rPr lang="es-CO"/>
              <a:t>Gráfica No. 2</a:t>
            </a:r>
          </a:p>
        </c:rich>
      </c:tx>
    </c:title>
    <c:view3D>
      <c:rAngAx val="1"/>
    </c:view3D>
    <c:plotArea>
      <c:layout/>
      <c:bar3DChart>
        <c:barDir val="col"/>
        <c:grouping val="percentStacked"/>
        <c:ser>
          <c:idx val="0"/>
          <c:order val="0"/>
          <c:tx>
            <c:strRef>
              <c:f>Hoja1!$C$3</c:f>
              <c:strCache>
                <c:ptCount val="1"/>
                <c:pt idx="0">
                  <c:v>Pasto</c:v>
                </c:pt>
              </c:strCache>
            </c:strRef>
          </c:tx>
          <c:dLbls>
            <c:spPr>
              <a:noFill/>
              <a:ln>
                <a:noFill/>
              </a:ln>
              <a:effectLst/>
            </c:spPr>
            <c:showVal val="1"/>
            <c:extLst>
              <c:ext xmlns:c15="http://schemas.microsoft.com/office/drawing/2012/chart" uri="{CE6537A1-D6FC-4f65-9D91-7224C49458BB}">
                <c15:showLeaderLines val="0"/>
              </c:ext>
            </c:extLst>
          </c:dLbls>
          <c:cat>
            <c:strRef>
              <c:f>Hoja1!$B$4:$B$7</c:f>
              <c:strCache>
                <c:ptCount val="4"/>
                <c:pt idx="0">
                  <c:v>Insuficiente</c:v>
                </c:pt>
                <c:pt idx="1">
                  <c:v>Mínimo</c:v>
                </c:pt>
                <c:pt idx="2">
                  <c:v>Satisfactorio</c:v>
                </c:pt>
                <c:pt idx="3">
                  <c:v>Avanzado</c:v>
                </c:pt>
              </c:strCache>
            </c:strRef>
          </c:cat>
          <c:val>
            <c:numRef>
              <c:f>Hoja1!$C$4:$C$7</c:f>
              <c:numCache>
                <c:formatCode>0%</c:formatCode>
                <c:ptCount val="4"/>
                <c:pt idx="0">
                  <c:v>8.0000000000000043E-2</c:v>
                </c:pt>
                <c:pt idx="1">
                  <c:v>0.34</c:v>
                </c:pt>
                <c:pt idx="2">
                  <c:v>0.38000000000000039</c:v>
                </c:pt>
                <c:pt idx="3">
                  <c:v>0.2</c:v>
                </c:pt>
              </c:numCache>
            </c:numRef>
          </c:val>
        </c:ser>
        <c:ser>
          <c:idx val="1"/>
          <c:order val="1"/>
          <c:tx>
            <c:strRef>
              <c:f>Hoja1!$D$3</c:f>
              <c:strCache>
                <c:ptCount val="1"/>
                <c:pt idx="0">
                  <c:v>Colombia</c:v>
                </c:pt>
              </c:strCache>
            </c:strRef>
          </c:tx>
          <c:dLbls>
            <c:spPr>
              <a:noFill/>
              <a:ln>
                <a:noFill/>
              </a:ln>
              <a:effectLst/>
            </c:spPr>
            <c:showVal val="1"/>
            <c:extLst>
              <c:ext xmlns:c15="http://schemas.microsoft.com/office/drawing/2012/chart" uri="{CE6537A1-D6FC-4f65-9D91-7224C49458BB}">
                <c15:showLeaderLines val="0"/>
              </c:ext>
            </c:extLst>
          </c:dLbls>
          <c:cat>
            <c:strRef>
              <c:f>Hoja1!$B$4:$B$7</c:f>
              <c:strCache>
                <c:ptCount val="4"/>
                <c:pt idx="0">
                  <c:v>Insuficiente</c:v>
                </c:pt>
                <c:pt idx="1">
                  <c:v>Mínimo</c:v>
                </c:pt>
                <c:pt idx="2">
                  <c:v>Satisfactorio</c:v>
                </c:pt>
                <c:pt idx="3">
                  <c:v>Avanzado</c:v>
                </c:pt>
              </c:strCache>
            </c:strRef>
          </c:cat>
          <c:val>
            <c:numRef>
              <c:f>Hoja1!$D$4:$D$7</c:f>
              <c:numCache>
                <c:formatCode>0%</c:formatCode>
                <c:ptCount val="4"/>
                <c:pt idx="0">
                  <c:v>0.18000000000000016</c:v>
                </c:pt>
                <c:pt idx="1">
                  <c:v>0.4</c:v>
                </c:pt>
                <c:pt idx="2">
                  <c:v>0.28000000000000008</c:v>
                </c:pt>
                <c:pt idx="3">
                  <c:v>0.13</c:v>
                </c:pt>
              </c:numCache>
            </c:numRef>
          </c:val>
        </c:ser>
        <c:dLbls>
          <c:showVal val="1"/>
        </c:dLbls>
        <c:gapWidth val="95"/>
        <c:gapDepth val="95"/>
        <c:shape val="cylinder"/>
        <c:axId val="156895104"/>
        <c:axId val="156896640"/>
        <c:axId val="0"/>
      </c:bar3DChart>
      <c:catAx>
        <c:axId val="156895104"/>
        <c:scaling>
          <c:orientation val="minMax"/>
        </c:scaling>
        <c:axPos val="b"/>
        <c:numFmt formatCode="General" sourceLinked="0"/>
        <c:majorTickMark val="none"/>
        <c:tickLblPos val="nextTo"/>
        <c:crossAx val="156896640"/>
        <c:crosses val="autoZero"/>
        <c:auto val="1"/>
        <c:lblAlgn val="ctr"/>
        <c:lblOffset val="100"/>
      </c:catAx>
      <c:valAx>
        <c:axId val="156896640"/>
        <c:scaling>
          <c:orientation val="minMax"/>
        </c:scaling>
        <c:delete val="1"/>
        <c:axPos val="l"/>
        <c:numFmt formatCode="0%" sourceLinked="1"/>
        <c:majorTickMark val="none"/>
        <c:tickLblPos val="none"/>
        <c:crossAx val="156895104"/>
        <c:crosses val="autoZero"/>
        <c:crossBetween val="between"/>
      </c:valAx>
    </c:plotArea>
    <c:legend>
      <c:legendPos val="t"/>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style val="4"/>
  <c:clrMapOvr bg1="lt1" tx1="dk1" bg2="lt2" tx2="dk2" accent1="accent1" accent2="accent2" accent3="accent3" accent4="accent4" accent5="accent5" accent6="accent6" hlink="hlink" folHlink="folHlink"/>
  <c:chart>
    <c:title>
      <c:tx>
        <c:rich>
          <a:bodyPr/>
          <a:lstStyle/>
          <a:p>
            <a:pPr>
              <a:defRPr/>
            </a:pPr>
            <a:r>
              <a:rPr lang="es-CO"/>
              <a:t>Gráfico No. 3</a:t>
            </a:r>
          </a:p>
        </c:rich>
      </c:tx>
    </c:title>
    <c:view3D>
      <c:rAngAx val="1"/>
    </c:view3D>
    <c:plotArea>
      <c:layout/>
      <c:bar3DChart>
        <c:barDir val="col"/>
        <c:grouping val="clustered"/>
        <c:ser>
          <c:idx val="0"/>
          <c:order val="0"/>
          <c:tx>
            <c:strRef>
              <c:f>Hoja1!$C$49</c:f>
              <c:strCache>
                <c:ptCount val="1"/>
                <c:pt idx="0">
                  <c:v>Pasto</c:v>
                </c:pt>
              </c:strCache>
            </c:strRef>
          </c:tx>
          <c:dLbls>
            <c:spPr>
              <a:noFill/>
              <a:ln>
                <a:noFill/>
              </a:ln>
              <a:effectLst/>
            </c:spPr>
            <c:showVal val="1"/>
            <c:extLst>
              <c:ext xmlns:c15="http://schemas.microsoft.com/office/drawing/2012/chart" uri="{CE6537A1-D6FC-4f65-9D91-7224C49458BB}">
                <c15:showLeaderLines val="0"/>
              </c:ext>
            </c:extLst>
          </c:dLbls>
          <c:cat>
            <c:strRef>
              <c:f>Hoja1!$B$50:$B$53</c:f>
              <c:strCache>
                <c:ptCount val="4"/>
                <c:pt idx="0">
                  <c:v>Insuficiente</c:v>
                </c:pt>
                <c:pt idx="1">
                  <c:v>Mínimo</c:v>
                </c:pt>
                <c:pt idx="2">
                  <c:v>Satisfactorio</c:v>
                </c:pt>
                <c:pt idx="3">
                  <c:v>Avanzado</c:v>
                </c:pt>
              </c:strCache>
            </c:strRef>
          </c:cat>
          <c:val>
            <c:numRef>
              <c:f>Hoja1!$C$50:$C$53</c:f>
              <c:numCache>
                <c:formatCode>0%</c:formatCode>
                <c:ptCount val="4"/>
                <c:pt idx="0">
                  <c:v>0.22</c:v>
                </c:pt>
                <c:pt idx="1">
                  <c:v>0.3200000000000004</c:v>
                </c:pt>
                <c:pt idx="2">
                  <c:v>0.28000000000000008</c:v>
                </c:pt>
                <c:pt idx="3">
                  <c:v>0.19</c:v>
                </c:pt>
              </c:numCache>
            </c:numRef>
          </c:val>
        </c:ser>
        <c:ser>
          <c:idx val="1"/>
          <c:order val="1"/>
          <c:tx>
            <c:strRef>
              <c:f>Hoja1!$D$49</c:f>
              <c:strCache>
                <c:ptCount val="1"/>
                <c:pt idx="0">
                  <c:v>Colombia</c:v>
                </c:pt>
              </c:strCache>
            </c:strRef>
          </c:tx>
          <c:dLbls>
            <c:spPr>
              <a:noFill/>
              <a:ln>
                <a:noFill/>
              </a:ln>
              <a:effectLst/>
            </c:spPr>
            <c:showVal val="1"/>
            <c:extLst>
              <c:ext xmlns:c15="http://schemas.microsoft.com/office/drawing/2012/chart" uri="{CE6537A1-D6FC-4f65-9D91-7224C49458BB}">
                <c15:showLeaderLines val="0"/>
              </c:ext>
            </c:extLst>
          </c:dLbls>
          <c:cat>
            <c:strRef>
              <c:f>Hoja1!$B$50:$B$53</c:f>
              <c:strCache>
                <c:ptCount val="4"/>
                <c:pt idx="0">
                  <c:v>Insuficiente</c:v>
                </c:pt>
                <c:pt idx="1">
                  <c:v>Mínimo</c:v>
                </c:pt>
                <c:pt idx="2">
                  <c:v>Satisfactorio</c:v>
                </c:pt>
                <c:pt idx="3">
                  <c:v>Avanzado</c:v>
                </c:pt>
              </c:strCache>
            </c:strRef>
          </c:cat>
          <c:val>
            <c:numRef>
              <c:f>Hoja1!$D$50:$D$53</c:f>
              <c:numCache>
                <c:formatCode>0%</c:formatCode>
                <c:ptCount val="4"/>
                <c:pt idx="0">
                  <c:v>0.37000000000000033</c:v>
                </c:pt>
                <c:pt idx="1">
                  <c:v>0.3200000000000004</c:v>
                </c:pt>
                <c:pt idx="2">
                  <c:v>0.2</c:v>
                </c:pt>
                <c:pt idx="3">
                  <c:v>0.13</c:v>
                </c:pt>
              </c:numCache>
            </c:numRef>
          </c:val>
        </c:ser>
        <c:dLbls>
          <c:showVal val="1"/>
        </c:dLbls>
        <c:shape val="pyramid"/>
        <c:axId val="157160576"/>
        <c:axId val="157162112"/>
        <c:axId val="0"/>
      </c:bar3DChart>
      <c:catAx>
        <c:axId val="157160576"/>
        <c:scaling>
          <c:orientation val="minMax"/>
        </c:scaling>
        <c:axPos val="b"/>
        <c:numFmt formatCode="General" sourceLinked="0"/>
        <c:majorTickMark val="none"/>
        <c:tickLblPos val="nextTo"/>
        <c:crossAx val="157162112"/>
        <c:crosses val="autoZero"/>
        <c:auto val="1"/>
        <c:lblAlgn val="ctr"/>
        <c:lblOffset val="100"/>
      </c:catAx>
      <c:valAx>
        <c:axId val="157162112"/>
        <c:scaling>
          <c:orientation val="minMax"/>
        </c:scaling>
        <c:delete val="1"/>
        <c:axPos val="l"/>
        <c:numFmt formatCode="0%" sourceLinked="1"/>
        <c:tickLblPos val="none"/>
        <c:crossAx val="157160576"/>
        <c:crosses val="autoZero"/>
        <c:crossBetween val="between"/>
      </c:valAx>
    </c:plotArea>
    <c:legend>
      <c:legendPos val="t"/>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style val="27"/>
  <c:clrMapOvr bg1="lt1" tx1="dk1" bg2="lt2" tx2="dk2" accent1="accent1" accent2="accent2" accent3="accent3" accent4="accent4" accent5="accent5" accent6="accent6" hlink="hlink" folHlink="folHlink"/>
  <c:chart>
    <c:title>
      <c:tx>
        <c:rich>
          <a:bodyPr/>
          <a:lstStyle/>
          <a:p>
            <a:pPr>
              <a:defRPr/>
            </a:pPr>
            <a:r>
              <a:rPr lang="es-CO"/>
              <a:t>Gráfico No. 4</a:t>
            </a:r>
          </a:p>
        </c:rich>
      </c:tx>
    </c:title>
    <c:view3D>
      <c:rAngAx val="1"/>
    </c:view3D>
    <c:plotArea>
      <c:layout/>
      <c:bar3DChart>
        <c:barDir val="col"/>
        <c:grouping val="clustered"/>
        <c:ser>
          <c:idx val="0"/>
          <c:order val="0"/>
          <c:tx>
            <c:strRef>
              <c:f>Hoja1!$C$76</c:f>
              <c:strCache>
                <c:ptCount val="1"/>
                <c:pt idx="0">
                  <c:v>Pasto</c:v>
                </c:pt>
              </c:strCache>
            </c:strRef>
          </c:tx>
          <c:dLbls>
            <c:spPr>
              <a:noFill/>
              <a:ln>
                <a:noFill/>
              </a:ln>
              <a:effectLst/>
            </c:spPr>
            <c:showVal val="1"/>
            <c:extLst>
              <c:ext xmlns:c15="http://schemas.microsoft.com/office/drawing/2012/chart" uri="{CE6537A1-D6FC-4f65-9D91-7224C49458BB}">
                <c15:showLeaderLines val="0"/>
              </c:ext>
            </c:extLst>
          </c:dLbls>
          <c:cat>
            <c:strRef>
              <c:f>Hoja1!$B$77:$B$80</c:f>
              <c:strCache>
                <c:ptCount val="4"/>
                <c:pt idx="0">
                  <c:v>Insuficiente</c:v>
                </c:pt>
                <c:pt idx="1">
                  <c:v>Mínimo</c:v>
                </c:pt>
                <c:pt idx="2">
                  <c:v>Satisfactorio</c:v>
                </c:pt>
                <c:pt idx="3">
                  <c:v>Avanzado</c:v>
                </c:pt>
              </c:strCache>
            </c:strRef>
          </c:cat>
          <c:val>
            <c:numRef>
              <c:f>Hoja1!$C$77:$C$80</c:f>
              <c:numCache>
                <c:formatCode>0%</c:formatCode>
                <c:ptCount val="4"/>
                <c:pt idx="0">
                  <c:v>0.17</c:v>
                </c:pt>
                <c:pt idx="1">
                  <c:v>0.29000000000000031</c:v>
                </c:pt>
                <c:pt idx="2">
                  <c:v>0.38000000000000039</c:v>
                </c:pt>
                <c:pt idx="3">
                  <c:v>0.16</c:v>
                </c:pt>
              </c:numCache>
            </c:numRef>
          </c:val>
        </c:ser>
        <c:ser>
          <c:idx val="1"/>
          <c:order val="1"/>
          <c:tx>
            <c:strRef>
              <c:f>Hoja1!$D$76</c:f>
              <c:strCache>
                <c:ptCount val="1"/>
                <c:pt idx="0">
                  <c:v>Colombia</c:v>
                </c:pt>
              </c:strCache>
            </c:strRef>
          </c:tx>
          <c:dLbls>
            <c:spPr>
              <a:noFill/>
              <a:ln>
                <a:noFill/>
              </a:ln>
              <a:effectLst/>
            </c:spPr>
            <c:showVal val="1"/>
            <c:extLst>
              <c:ext xmlns:c15="http://schemas.microsoft.com/office/drawing/2012/chart" uri="{CE6537A1-D6FC-4f65-9D91-7224C49458BB}">
                <c15:showLeaderLines val="0"/>
              </c:ext>
            </c:extLst>
          </c:dLbls>
          <c:cat>
            <c:strRef>
              <c:f>Hoja1!$B$77:$B$80</c:f>
              <c:strCache>
                <c:ptCount val="4"/>
                <c:pt idx="0">
                  <c:v>Insuficiente</c:v>
                </c:pt>
                <c:pt idx="1">
                  <c:v>Mínimo</c:v>
                </c:pt>
                <c:pt idx="2">
                  <c:v>Satisfactorio</c:v>
                </c:pt>
                <c:pt idx="3">
                  <c:v>Avanzado</c:v>
                </c:pt>
              </c:strCache>
            </c:strRef>
          </c:cat>
          <c:val>
            <c:numRef>
              <c:f>Hoja1!$D$77:$D$80</c:f>
              <c:numCache>
                <c:formatCode>0%</c:formatCode>
                <c:ptCount val="4"/>
                <c:pt idx="0">
                  <c:v>0.29000000000000031</c:v>
                </c:pt>
                <c:pt idx="1">
                  <c:v>0.3200000000000004</c:v>
                </c:pt>
                <c:pt idx="2">
                  <c:v>0.29000000000000031</c:v>
                </c:pt>
                <c:pt idx="3">
                  <c:v>0.11</c:v>
                </c:pt>
              </c:numCache>
            </c:numRef>
          </c:val>
        </c:ser>
        <c:dLbls>
          <c:showVal val="1"/>
        </c:dLbls>
        <c:shape val="box"/>
        <c:axId val="157467008"/>
        <c:axId val="157468544"/>
        <c:axId val="0"/>
      </c:bar3DChart>
      <c:catAx>
        <c:axId val="157467008"/>
        <c:scaling>
          <c:orientation val="minMax"/>
        </c:scaling>
        <c:axPos val="b"/>
        <c:numFmt formatCode="General" sourceLinked="0"/>
        <c:majorTickMark val="none"/>
        <c:tickLblPos val="nextTo"/>
        <c:crossAx val="157468544"/>
        <c:crosses val="autoZero"/>
        <c:auto val="1"/>
        <c:lblAlgn val="ctr"/>
        <c:lblOffset val="100"/>
      </c:catAx>
      <c:valAx>
        <c:axId val="157468544"/>
        <c:scaling>
          <c:orientation val="minMax"/>
        </c:scaling>
        <c:delete val="1"/>
        <c:axPos val="l"/>
        <c:numFmt formatCode="0%" sourceLinked="1"/>
        <c:tickLblPos val="none"/>
        <c:crossAx val="157467008"/>
        <c:crosses val="autoZero"/>
        <c:crossBetween val="between"/>
      </c:valAx>
    </c:plotArea>
    <c:legend>
      <c:legendPos val="t"/>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violencia contra niños, niñas  y adolescentes</a:t>
            </a:r>
            <a:r>
              <a:rPr lang="es-CO" sz="1600">
                <a:effectLst/>
              </a:rPr>
              <a:t>(0 a 17 Años)</a:t>
            </a:r>
          </a:p>
        </c:rich>
      </c:tx>
      <c:spPr>
        <a:noFill/>
        <a:ln>
          <a:noFill/>
        </a:ln>
        <a:effectLst/>
      </c:spPr>
    </c:title>
    <c:plotArea>
      <c:layout>
        <c:manualLayout>
          <c:layoutTarget val="inner"/>
          <c:xMode val="edge"/>
          <c:yMode val="edge"/>
          <c:x val="3.0555555555555582E-2"/>
          <c:y val="0.39405251386378326"/>
          <c:w val="0.93888888888888966"/>
          <c:h val="0.5145664184972985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'0-17'!$C$23</c:f>
              <c:numCache>
                <c:formatCode>0</c:formatCode>
                <c:ptCount val="1"/>
                <c:pt idx="0">
                  <c:v>1631.8011479531328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'0-17'!$E$23</c:f>
              <c:numCache>
                <c:formatCode>0</c:formatCode>
                <c:ptCount val="1"/>
                <c:pt idx="0">
                  <c:v>1869.0102199069472</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'0-17'!$G$23</c:f>
              <c:numCache>
                <c:formatCode>0</c:formatCode>
                <c:ptCount val="1"/>
                <c:pt idx="0">
                  <c:v>1784.1270349698498</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'0-17'!$I$23</c:f>
              <c:numCache>
                <c:formatCode>0</c:formatCode>
                <c:ptCount val="1"/>
                <c:pt idx="0">
                  <c:v>1316.702434931339</c:v>
                </c:pt>
              </c:numCache>
            </c:numRef>
          </c:val>
        </c:ser>
        <c:dLbls>
          <c:showVal val="1"/>
        </c:dLbls>
        <c:overlap val="-25"/>
        <c:axId val="157776512"/>
        <c:axId val="157790592"/>
      </c:barChart>
      <c:catAx>
        <c:axId val="157776512"/>
        <c:scaling>
          <c:orientation val="minMax"/>
        </c:scaling>
        <c:delete val="1"/>
        <c:axPos val="b"/>
        <c:numFmt formatCode="General" sourceLinked="1"/>
        <c:majorTickMark val="none"/>
        <c:tickLblPos val="none"/>
        <c:crossAx val="157790592"/>
        <c:crosses val="autoZero"/>
        <c:auto val="1"/>
        <c:lblAlgn val="ctr"/>
        <c:lblOffset val="100"/>
      </c:catAx>
      <c:valAx>
        <c:axId val="157790592"/>
        <c:scaling>
          <c:orientation val="minMax"/>
        </c:scaling>
        <c:delete val="1"/>
        <c:axPos val="l"/>
        <c:numFmt formatCode="0" sourceLinked="1"/>
        <c:majorTickMark val="none"/>
        <c:tickLblPos val="none"/>
        <c:crossAx val="157776512"/>
        <c:crosses val="autoZero"/>
        <c:crossBetween val="between"/>
      </c:valAx>
      <c:spPr>
        <a:noFill/>
        <a:ln>
          <a:noFill/>
        </a:ln>
        <a:effectLst/>
      </c:spPr>
    </c:plotArea>
    <c:legend>
      <c:legendPos val="t"/>
      <c:layout>
        <c:manualLayout>
          <c:xMode val="edge"/>
          <c:yMode val="edge"/>
          <c:x val="0.29304527559055132"/>
          <c:y val="0.9075229020496951"/>
          <c:w val="0.37502034120734989"/>
          <c:h val="8.754925089616715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violencia interpersonal contra niños, niñas  y adolescentes</a:t>
            </a:r>
            <a:r>
              <a:rPr lang="es-CO" sz="1600">
                <a:effectLst/>
              </a:rPr>
              <a:t>(0 a 17 Años)</a:t>
            </a:r>
          </a:p>
        </c:rich>
      </c:tx>
      <c:spPr>
        <a:noFill/>
        <a:ln>
          <a:noFill/>
        </a:ln>
        <a:effectLst/>
      </c:spPr>
    </c:title>
    <c:plotArea>
      <c:layout>
        <c:manualLayout>
          <c:layoutTarget val="inner"/>
          <c:xMode val="edge"/>
          <c:yMode val="edge"/>
          <c:x val="3.0555555555555582E-2"/>
          <c:y val="0.39405251386378326"/>
          <c:w val="0.93888888888888966"/>
          <c:h val="0.5145664184972985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'0-17'!$C$15</c:f>
              <c:numCache>
                <c:formatCode>0</c:formatCode>
                <c:ptCount val="1"/>
                <c:pt idx="0">
                  <c:v>747.9088594785195</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'0-17'!$E$15</c:f>
              <c:numCache>
                <c:formatCode>0</c:formatCode>
                <c:ptCount val="1"/>
                <c:pt idx="0">
                  <c:v>250.52690181731447</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'0-17'!$G$15</c:f>
              <c:numCache>
                <c:formatCode>0</c:formatCode>
                <c:ptCount val="1"/>
                <c:pt idx="0">
                  <c:v>320.31006013821377</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'0-17'!$I$15</c:f>
              <c:numCache>
                <c:formatCode>0</c:formatCode>
                <c:ptCount val="1"/>
                <c:pt idx="0">
                  <c:v>226.71163248511448</c:v>
                </c:pt>
              </c:numCache>
            </c:numRef>
          </c:val>
        </c:ser>
        <c:dLbls>
          <c:showVal val="1"/>
        </c:dLbls>
        <c:overlap val="-25"/>
        <c:axId val="157847552"/>
        <c:axId val="157849088"/>
      </c:barChart>
      <c:catAx>
        <c:axId val="157847552"/>
        <c:scaling>
          <c:orientation val="minMax"/>
        </c:scaling>
        <c:delete val="1"/>
        <c:axPos val="b"/>
        <c:numFmt formatCode="General" sourceLinked="1"/>
        <c:majorTickMark val="none"/>
        <c:tickLblPos val="none"/>
        <c:crossAx val="157849088"/>
        <c:crosses val="autoZero"/>
        <c:auto val="1"/>
        <c:lblAlgn val="ctr"/>
        <c:lblOffset val="100"/>
      </c:catAx>
      <c:valAx>
        <c:axId val="157849088"/>
        <c:scaling>
          <c:orientation val="minMax"/>
        </c:scaling>
        <c:delete val="1"/>
        <c:axPos val="l"/>
        <c:numFmt formatCode="0" sourceLinked="1"/>
        <c:majorTickMark val="none"/>
        <c:tickLblPos val="none"/>
        <c:crossAx val="157847552"/>
        <c:crosses val="autoZero"/>
        <c:crossBetween val="between"/>
      </c:valAx>
      <c:spPr>
        <a:noFill/>
        <a:ln>
          <a:noFill/>
        </a:ln>
        <a:effectLst/>
      </c:spPr>
    </c:plotArea>
    <c:legend>
      <c:legendPos val="t"/>
      <c:layout>
        <c:manualLayout>
          <c:xMode val="edge"/>
          <c:yMode val="edge"/>
          <c:x val="0.29304527559055132"/>
          <c:y val="0.9075229020496951"/>
          <c:w val="0.37502034120734989"/>
          <c:h val="8.754925089616715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MORTALIDAD EN</a:t>
            </a:r>
            <a:r>
              <a:rPr lang="en-US" sz="1000" b="0" baseline="0">
                <a:latin typeface="Century Gothic" pitchFamily="34" charset="0"/>
              </a:rPr>
              <a:t> NIÑOS, NIÑAS Y ADOLESCENTES POR MALARIA </a:t>
            </a:r>
            <a:r>
              <a:rPr lang="en-US" sz="1000" b="0">
                <a:latin typeface="Century Gothic" pitchFamily="34" charset="0"/>
              </a:rPr>
              <a:t>, MUNICIPIO DE PASTO, 2011-2014 </a:t>
            </a:r>
          </a:p>
          <a:p>
            <a:pPr>
              <a:defRPr lang="es-CO" sz="1000"/>
            </a:pPr>
            <a:r>
              <a:rPr lang="en-US" sz="1000" b="0">
                <a:latin typeface="Century Gothic" pitchFamily="34" charset="0"/>
              </a:rPr>
              <a:t> </a:t>
            </a:r>
          </a:p>
        </c:rich>
      </c:tx>
    </c:title>
    <c:plotArea>
      <c:layout>
        <c:manualLayout>
          <c:layoutTarget val="inner"/>
          <c:xMode val="edge"/>
          <c:yMode val="edge"/>
          <c:x val="0.35643190498661581"/>
          <c:y val="0.18822607845344599"/>
          <c:w val="0.62442101321642174"/>
          <c:h val="0.55900729085960621"/>
        </c:manualLayout>
      </c:layout>
      <c:lineChart>
        <c:grouping val="standard"/>
        <c:ser>
          <c:idx val="0"/>
          <c:order val="0"/>
          <c:tx>
            <c:strRef>
              <c:f>'MALARIA N.N.A'!$J$5</c:f>
              <c:strCache>
                <c:ptCount val="1"/>
                <c:pt idx="0">
                  <c:v>MORTALIDAD EN NIÑOS, NIÑAS Y ADOLESCENTES POR MALARIA</c:v>
                </c:pt>
              </c:strCache>
            </c:strRef>
          </c:tx>
          <c:cat>
            <c:numRef>
              <c:f>'MALARIA N.N.A'!$I$6:$I$9</c:f>
              <c:numCache>
                <c:formatCode>General</c:formatCode>
                <c:ptCount val="4"/>
                <c:pt idx="0">
                  <c:v>2011</c:v>
                </c:pt>
                <c:pt idx="1">
                  <c:v>2012</c:v>
                </c:pt>
                <c:pt idx="2">
                  <c:v>2013</c:v>
                </c:pt>
                <c:pt idx="3">
                  <c:v>2014</c:v>
                </c:pt>
              </c:numCache>
            </c:numRef>
          </c:cat>
          <c:val>
            <c:numRef>
              <c:f>'MALARIA N.N.A'!$J$6:$J$9</c:f>
              <c:numCache>
                <c:formatCode>General</c:formatCode>
                <c:ptCount val="4"/>
                <c:pt idx="0">
                  <c:v>0</c:v>
                </c:pt>
                <c:pt idx="1">
                  <c:v>0</c:v>
                </c:pt>
                <c:pt idx="2">
                  <c:v>0</c:v>
                </c:pt>
                <c:pt idx="3">
                  <c:v>0</c:v>
                </c:pt>
              </c:numCache>
            </c:numRef>
          </c:val>
        </c:ser>
        <c:marker val="1"/>
        <c:axId val="157893760"/>
        <c:axId val="157895296"/>
      </c:lineChart>
      <c:catAx>
        <c:axId val="157893760"/>
        <c:scaling>
          <c:orientation val="minMax"/>
        </c:scaling>
        <c:axPos val="b"/>
        <c:numFmt formatCode="General" sourceLinked="1"/>
        <c:majorTickMark val="none"/>
        <c:tickLblPos val="nextTo"/>
        <c:txPr>
          <a:bodyPr/>
          <a:lstStyle/>
          <a:p>
            <a:pPr>
              <a:defRPr lang="es-CO"/>
            </a:pPr>
            <a:endParaRPr lang="es-ES"/>
          </a:p>
        </c:txPr>
        <c:crossAx val="157895296"/>
        <c:crosses val="autoZero"/>
        <c:auto val="1"/>
        <c:lblAlgn val="ctr"/>
        <c:lblOffset val="100"/>
      </c:catAx>
      <c:valAx>
        <c:axId val="157895296"/>
        <c:scaling>
          <c:orientation val="minMax"/>
          <c:max val="10"/>
          <c:min val="0"/>
        </c:scaling>
        <c:axPos val="l"/>
        <c:title>
          <c:tx>
            <c:rich>
              <a:bodyPr/>
              <a:lstStyle/>
              <a:p>
                <a:pPr>
                  <a:defRPr lang="es-CO" sz="900"/>
                </a:pPr>
                <a:r>
                  <a:rPr lang="es-CO" sz="900"/>
                  <a:t>Número</a:t>
                </a:r>
                <a:r>
                  <a:rPr lang="es-CO" sz="900" baseline="0"/>
                  <a:t> de muertes por malaria</a:t>
                </a:r>
                <a:endParaRPr lang="es-CO" sz="900"/>
              </a:p>
            </c:rich>
          </c:tx>
          <c:layout>
            <c:manualLayout>
              <c:xMode val="edge"/>
              <c:yMode val="edge"/>
              <c:x val="0.27286447148651882"/>
              <c:y val="0.20094866157652999"/>
            </c:manualLayout>
          </c:layout>
        </c:title>
        <c:numFmt formatCode="General" sourceLinked="1"/>
        <c:majorTickMark val="none"/>
        <c:tickLblPos val="nextTo"/>
        <c:txPr>
          <a:bodyPr/>
          <a:lstStyle/>
          <a:p>
            <a:pPr>
              <a:defRPr lang="es-CO" sz="900">
                <a:latin typeface="Century Gothic" pitchFamily="34" charset="0"/>
              </a:defRPr>
            </a:pPr>
            <a:endParaRPr lang="es-ES"/>
          </a:p>
        </c:txPr>
        <c:crossAx val="157893760"/>
        <c:crosses val="autoZero"/>
        <c:crossBetween val="between"/>
      </c:valAx>
      <c:dTable>
        <c:showHorzBorder val="1"/>
        <c:showVertBorder val="1"/>
        <c:showOutline val="1"/>
        <c:showKeys val="1"/>
        <c:txPr>
          <a:bodyPr/>
          <a:lstStyle/>
          <a:p>
            <a:pPr rtl="0">
              <a:defRPr lang="es-CO">
                <a:latin typeface="Century Gothic" pitchFamily="34" charset="0"/>
              </a:defRPr>
            </a:pPr>
            <a:endParaRPr lang="es-ES"/>
          </a:p>
        </c:txPr>
      </c:dTable>
    </c:plotArea>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MORTALIDAD EN</a:t>
            </a:r>
            <a:r>
              <a:rPr lang="en-US" sz="1000" b="0" baseline="0">
                <a:latin typeface="Century Gothic" pitchFamily="34" charset="0"/>
              </a:rPr>
              <a:t> NIÑOS, NIÑAS Y ADOLESCENTES POR DENGUE </a:t>
            </a:r>
            <a:r>
              <a:rPr lang="en-US" sz="1000" b="0">
                <a:latin typeface="Century Gothic" pitchFamily="34" charset="0"/>
              </a:rPr>
              <a:t>, MUNICIPIO DE PASTO, 2011-2014 </a:t>
            </a:r>
          </a:p>
          <a:p>
            <a:pPr>
              <a:defRPr lang="es-CO" sz="1000"/>
            </a:pPr>
            <a:r>
              <a:rPr lang="en-US" sz="1000" b="0">
                <a:latin typeface="Century Gothic" pitchFamily="34" charset="0"/>
              </a:rPr>
              <a:t> </a:t>
            </a:r>
          </a:p>
        </c:rich>
      </c:tx>
    </c:title>
    <c:plotArea>
      <c:layout>
        <c:manualLayout>
          <c:layoutTarget val="inner"/>
          <c:xMode val="edge"/>
          <c:yMode val="edge"/>
          <c:x val="0.35643190498661581"/>
          <c:y val="0.17629548840178794"/>
          <c:w val="0.62442101321642174"/>
          <c:h val="0.59195506510695139"/>
        </c:manualLayout>
      </c:layout>
      <c:lineChart>
        <c:grouping val="standard"/>
        <c:ser>
          <c:idx val="1"/>
          <c:order val="0"/>
          <c:tx>
            <c:strRef>
              <c:f>'DENGUE N.N.A'!$G$4</c:f>
              <c:strCache>
                <c:ptCount val="1"/>
                <c:pt idx="0">
                  <c:v>MORTALIDAD EN NIÑOS, NIÑAS Y ADOLESCENTES POR DENGUE</c:v>
                </c:pt>
              </c:strCache>
            </c:strRef>
          </c:tx>
          <c:spPr>
            <a:ln>
              <a:solidFill>
                <a:schemeClr val="accent1"/>
              </a:solidFill>
            </a:ln>
          </c:spPr>
          <c:marker>
            <c:symbol val="diamond"/>
            <c:size val="5"/>
            <c:spPr>
              <a:solidFill>
                <a:schemeClr val="accent1"/>
              </a:solidFill>
              <a:ln>
                <a:solidFill>
                  <a:schemeClr val="accent1"/>
                </a:solidFill>
              </a:ln>
            </c:spPr>
          </c:marker>
          <c:cat>
            <c:numRef>
              <c:f>'DENGUE N.N.A'!$F$5:$F$8</c:f>
              <c:numCache>
                <c:formatCode>General</c:formatCode>
                <c:ptCount val="4"/>
                <c:pt idx="0">
                  <c:v>2011</c:v>
                </c:pt>
                <c:pt idx="1">
                  <c:v>2012</c:v>
                </c:pt>
                <c:pt idx="2">
                  <c:v>2013</c:v>
                </c:pt>
                <c:pt idx="3">
                  <c:v>2014</c:v>
                </c:pt>
              </c:numCache>
            </c:numRef>
          </c:cat>
          <c:val>
            <c:numRef>
              <c:f>'DENGUE N.N.A'!$G$5:$G$8</c:f>
              <c:numCache>
                <c:formatCode>General</c:formatCode>
                <c:ptCount val="4"/>
                <c:pt idx="0">
                  <c:v>0</c:v>
                </c:pt>
                <c:pt idx="1">
                  <c:v>0</c:v>
                </c:pt>
                <c:pt idx="2">
                  <c:v>0</c:v>
                </c:pt>
                <c:pt idx="3">
                  <c:v>0</c:v>
                </c:pt>
              </c:numCache>
            </c:numRef>
          </c:val>
        </c:ser>
        <c:marker val="1"/>
        <c:axId val="157857280"/>
        <c:axId val="157914624"/>
      </c:lineChart>
      <c:catAx>
        <c:axId val="157857280"/>
        <c:scaling>
          <c:orientation val="minMax"/>
        </c:scaling>
        <c:axPos val="b"/>
        <c:numFmt formatCode="General" sourceLinked="1"/>
        <c:majorTickMark val="none"/>
        <c:tickLblPos val="nextTo"/>
        <c:txPr>
          <a:bodyPr/>
          <a:lstStyle/>
          <a:p>
            <a:pPr>
              <a:defRPr lang="es-CO"/>
            </a:pPr>
            <a:endParaRPr lang="es-ES"/>
          </a:p>
        </c:txPr>
        <c:crossAx val="157914624"/>
        <c:crosses val="autoZero"/>
        <c:auto val="1"/>
        <c:lblAlgn val="ctr"/>
        <c:lblOffset val="100"/>
      </c:catAx>
      <c:valAx>
        <c:axId val="157914624"/>
        <c:scaling>
          <c:orientation val="minMax"/>
          <c:max val="10"/>
          <c:min val="0"/>
        </c:scaling>
        <c:axPos val="l"/>
        <c:title>
          <c:tx>
            <c:rich>
              <a:bodyPr/>
              <a:lstStyle/>
              <a:p>
                <a:pPr>
                  <a:defRPr lang="es-CO" sz="800"/>
                </a:pPr>
                <a:r>
                  <a:rPr lang="es-CO" sz="800"/>
                  <a:t>Número</a:t>
                </a:r>
                <a:r>
                  <a:rPr lang="es-CO" sz="800" baseline="0"/>
                  <a:t> de muertes por dengue</a:t>
                </a:r>
                <a:endParaRPr lang="es-CO" sz="800"/>
              </a:p>
            </c:rich>
          </c:tx>
          <c:layout>
            <c:manualLayout>
              <c:xMode val="edge"/>
              <c:yMode val="edge"/>
              <c:x val="0.25929021570925431"/>
              <c:y val="0.19990523249627626"/>
            </c:manualLayout>
          </c:layout>
        </c:title>
        <c:numFmt formatCode="General" sourceLinked="1"/>
        <c:majorTickMark val="none"/>
        <c:tickLblPos val="nextTo"/>
        <c:txPr>
          <a:bodyPr/>
          <a:lstStyle/>
          <a:p>
            <a:pPr>
              <a:defRPr lang="es-CO" sz="900">
                <a:latin typeface="Century Gothic" pitchFamily="34" charset="0"/>
              </a:defRPr>
            </a:pPr>
            <a:endParaRPr lang="es-ES"/>
          </a:p>
        </c:txPr>
        <c:crossAx val="157857280"/>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TASA DE MORTALIDAD POR ERA EN MENORES DE 5 AÑOS,</a:t>
            </a:r>
            <a:r>
              <a:rPr lang="en-US" sz="1000" b="0" baseline="0">
                <a:latin typeface="Century Gothic" pitchFamily="34" charset="0"/>
              </a:rPr>
              <a:t> MUNICIPIO DE PASTO, 2011-2014</a:t>
            </a:r>
            <a:r>
              <a:rPr lang="en-US" sz="1000" b="0">
                <a:latin typeface="Century Gothic" pitchFamily="34" charset="0"/>
              </a:rPr>
              <a:t> </a:t>
            </a:r>
          </a:p>
        </c:rich>
      </c:tx>
    </c:title>
    <c:plotArea>
      <c:layout>
        <c:manualLayout>
          <c:layoutTarget val="inner"/>
          <c:xMode val="edge"/>
          <c:yMode val="edge"/>
          <c:x val="0.35407039413597802"/>
          <c:y val="0.16019280052446538"/>
          <c:w val="0.59842016409729026"/>
          <c:h val="0.60063899450956015"/>
        </c:manualLayout>
      </c:layout>
      <c:lineChart>
        <c:grouping val="standard"/>
        <c:ser>
          <c:idx val="3"/>
          <c:order val="0"/>
          <c:tx>
            <c:strRef>
              <c:f>ERA!$J$4</c:f>
              <c:strCache>
                <c:ptCount val="1"/>
                <c:pt idx="0">
                  <c:v>TASA DE MORTALIDAD POR ERA EN MENORES DE 5 AÑOS POR CADA 100.000 MENORES DE 5 AÑOS</c:v>
                </c:pt>
              </c:strCache>
            </c:strRef>
          </c:tx>
          <c:spPr>
            <a:ln>
              <a:solidFill>
                <a:schemeClr val="accent1"/>
              </a:solidFill>
            </a:ln>
          </c:spPr>
          <c:marker>
            <c:symbol val="diamond"/>
            <c:size val="5"/>
            <c:spPr>
              <a:solidFill>
                <a:schemeClr val="accent1"/>
              </a:solidFill>
              <a:ln>
                <a:solidFill>
                  <a:schemeClr val="accent1"/>
                </a:solidFill>
              </a:ln>
            </c:spPr>
          </c:marker>
          <c:cat>
            <c:numRef>
              <c:f>ERA!$G$5:$G$8</c:f>
              <c:numCache>
                <c:formatCode>General</c:formatCode>
                <c:ptCount val="4"/>
                <c:pt idx="0">
                  <c:v>2011</c:v>
                </c:pt>
                <c:pt idx="1">
                  <c:v>2012</c:v>
                </c:pt>
                <c:pt idx="2">
                  <c:v>2013</c:v>
                </c:pt>
                <c:pt idx="3">
                  <c:v>2014</c:v>
                </c:pt>
              </c:numCache>
            </c:numRef>
          </c:cat>
          <c:val>
            <c:numRef>
              <c:f>ERA!$J$5:$J$8</c:f>
              <c:numCache>
                <c:formatCode>0.0</c:formatCode>
                <c:ptCount val="4"/>
                <c:pt idx="0">
                  <c:v>0</c:v>
                </c:pt>
                <c:pt idx="1">
                  <c:v>9.4209270192186967</c:v>
                </c:pt>
                <c:pt idx="2">
                  <c:v>3.1652581268002367</c:v>
                </c:pt>
                <c:pt idx="3">
                  <c:v>6.3747051698858854</c:v>
                </c:pt>
              </c:numCache>
            </c:numRef>
          </c:val>
        </c:ser>
        <c:marker val="1"/>
        <c:axId val="155522176"/>
        <c:axId val="155524096"/>
      </c:lineChart>
      <c:catAx>
        <c:axId val="155522176"/>
        <c:scaling>
          <c:orientation val="minMax"/>
        </c:scaling>
        <c:axPos val="b"/>
        <c:numFmt formatCode="General" sourceLinked="1"/>
        <c:majorTickMark val="none"/>
        <c:tickLblPos val="nextTo"/>
        <c:txPr>
          <a:bodyPr/>
          <a:lstStyle/>
          <a:p>
            <a:pPr>
              <a:defRPr lang="es-CO"/>
            </a:pPr>
            <a:endParaRPr lang="es-ES"/>
          </a:p>
        </c:txPr>
        <c:crossAx val="155524096"/>
        <c:crosses val="autoZero"/>
        <c:auto val="1"/>
        <c:lblAlgn val="ctr"/>
        <c:lblOffset val="100"/>
      </c:catAx>
      <c:valAx>
        <c:axId val="155524096"/>
        <c:scaling>
          <c:orientation val="minMax"/>
          <c:max val="15"/>
          <c:min val="0"/>
        </c:scaling>
        <c:axPos val="l"/>
        <c:title>
          <c:tx>
            <c:rich>
              <a:bodyPr/>
              <a:lstStyle/>
              <a:p>
                <a:pPr>
                  <a:defRPr lang="es-CO" sz="800"/>
                </a:pPr>
                <a:r>
                  <a:rPr lang="es-CO" sz="800"/>
                  <a:t>Tasa de mortalidad x 100.000 menores</a:t>
                </a:r>
              </a:p>
              <a:p>
                <a:pPr>
                  <a:defRPr lang="es-CO" sz="800"/>
                </a:pPr>
                <a:r>
                  <a:rPr lang="es-CO" sz="800"/>
                  <a:t> de 5 años</a:t>
                </a:r>
              </a:p>
            </c:rich>
          </c:tx>
          <c:layout>
            <c:manualLayout>
              <c:xMode val="edge"/>
              <c:yMode val="edge"/>
              <c:x val="0.21751486251031232"/>
              <c:y val="0.1351438617342644"/>
            </c:manualLayout>
          </c:layout>
        </c:title>
        <c:numFmt formatCode="0.0" sourceLinked="1"/>
        <c:majorTickMark val="none"/>
        <c:tickLblPos val="nextTo"/>
        <c:txPr>
          <a:bodyPr/>
          <a:lstStyle/>
          <a:p>
            <a:pPr>
              <a:defRPr lang="es-CO" sz="900">
                <a:latin typeface="Century Gothic" pitchFamily="34" charset="0"/>
              </a:defRPr>
            </a:pPr>
            <a:endParaRPr lang="es-ES"/>
          </a:p>
        </c:txPr>
        <c:crossAx val="155522176"/>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800">
                <a:effectLst/>
              </a:rPr>
              <a:t>Tasa de muertes por causas externas en niños, niñas y adolescentes (0 a 17 Años)</a:t>
            </a:r>
          </a:p>
        </c:rich>
      </c:tx>
      <c:spPr>
        <a:noFill/>
        <a:ln>
          <a:noFill/>
        </a:ln>
        <a:effectLst/>
      </c:spPr>
    </c:title>
    <c:plotArea>
      <c:layout>
        <c:manualLayout>
          <c:layoutTarget val="inner"/>
          <c:xMode val="edge"/>
          <c:yMode val="edge"/>
          <c:x val="2.432283029297955E-2"/>
          <c:y val="0.38812657001565892"/>
          <c:w val="0.95135433941404091"/>
          <c:h val="0.46308945287418485"/>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'0-17'!$C$10</c:f>
              <c:numCache>
                <c:formatCode>0</c:formatCode>
                <c:ptCount val="1"/>
                <c:pt idx="0">
                  <c:v>18.974431952943409</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'0-17'!$E$10</c:f>
              <c:numCache>
                <c:formatCode>0</c:formatCode>
                <c:ptCount val="1"/>
                <c:pt idx="0">
                  <c:v>15.90646995665487</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'0-17'!$G$10</c:f>
              <c:numCache>
                <c:formatCode>0</c:formatCode>
                <c:ptCount val="1"/>
                <c:pt idx="0">
                  <c:v>23.222479360020486</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'0-17'!$I$10</c:f>
              <c:numCache>
                <c:formatCode>0</c:formatCode>
                <c:ptCount val="1"/>
                <c:pt idx="0">
                  <c:v>15.329256289029109</c:v>
                </c:pt>
              </c:numCache>
            </c:numRef>
          </c:val>
        </c:ser>
        <c:dLbls>
          <c:showVal val="1"/>
        </c:dLbls>
        <c:overlap val="-25"/>
        <c:axId val="158087808"/>
        <c:axId val="158101888"/>
      </c:barChart>
      <c:catAx>
        <c:axId val="158087808"/>
        <c:scaling>
          <c:orientation val="minMax"/>
        </c:scaling>
        <c:delete val="1"/>
        <c:axPos val="b"/>
        <c:numFmt formatCode="General" sourceLinked="1"/>
        <c:majorTickMark val="none"/>
        <c:tickLblPos val="none"/>
        <c:crossAx val="158101888"/>
        <c:crosses val="autoZero"/>
        <c:auto val="1"/>
        <c:lblAlgn val="ctr"/>
        <c:lblOffset val="100"/>
      </c:catAx>
      <c:valAx>
        <c:axId val="158101888"/>
        <c:scaling>
          <c:orientation val="minMax"/>
        </c:scaling>
        <c:delete val="1"/>
        <c:axPos val="l"/>
        <c:numFmt formatCode="0" sourceLinked="1"/>
        <c:majorTickMark val="none"/>
        <c:tickLblPos val="none"/>
        <c:crossAx val="158087808"/>
        <c:crosses val="autoZero"/>
        <c:crossBetween val="between"/>
      </c:valAx>
      <c:spPr>
        <a:noFill/>
        <a:ln>
          <a:noFill/>
        </a:ln>
        <a:effectLst/>
      </c:spPr>
    </c:plotArea>
    <c:legend>
      <c:legendPos val="t"/>
      <c:layout>
        <c:manualLayout>
          <c:xMode val="edge"/>
          <c:yMode val="edge"/>
          <c:x val="0.33083767514135426"/>
          <c:y val="0.88669527896995703"/>
          <c:w val="0.29852365469241732"/>
          <c:h val="9.6567199486330441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Homicidios en niños, niñas y adolescentes</a:t>
            </a:r>
            <a:r>
              <a:rPr lang="es-CO" sz="1600">
                <a:effectLst/>
              </a:rPr>
              <a:t> </a:t>
            </a:r>
          </a:p>
          <a:p>
            <a:pPr>
              <a:defRPr lang="es-CO" sz="1400" b="0" i="0" u="none" strike="noStrike" kern="1200" spc="0" baseline="0">
                <a:solidFill>
                  <a:schemeClr val="tx1">
                    <a:lumMod val="65000"/>
                    <a:lumOff val="35000"/>
                  </a:schemeClr>
                </a:solidFill>
                <a:latin typeface="+mn-lt"/>
                <a:ea typeface="+mn-ea"/>
                <a:cs typeface="+mn-cs"/>
              </a:defRPr>
            </a:pPr>
            <a:r>
              <a:rPr lang="es-CO" sz="1600">
                <a:effectLst/>
              </a:rPr>
              <a:t>(0 a 17 Años)</a:t>
            </a:r>
          </a:p>
        </c:rich>
      </c:tx>
      <c:spPr>
        <a:noFill/>
        <a:ln>
          <a:noFill/>
        </a:ln>
        <a:effectLst/>
      </c:spPr>
    </c:title>
    <c:plotArea>
      <c:layout>
        <c:manualLayout>
          <c:layoutTarget val="inner"/>
          <c:xMode val="edge"/>
          <c:yMode val="edge"/>
          <c:x val="2.4083196496989631E-2"/>
          <c:y val="0.37370828646419196"/>
          <c:w val="0.95183360700602082"/>
          <c:h val="0.47663184959022975"/>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'0-17'!$C$6</c:f>
              <c:numCache>
                <c:formatCode>0</c:formatCode>
                <c:ptCount val="1"/>
                <c:pt idx="0">
                  <c:v>6.3248106509811288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'0-17'!$E$6</c:f>
              <c:numCache>
                <c:formatCode>0</c:formatCode>
                <c:ptCount val="1"/>
                <c:pt idx="0">
                  <c:v>3.1812939913309752</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'0-17'!$G$6</c:f>
              <c:numCache>
                <c:formatCode>0</c:formatCode>
                <c:ptCount val="1"/>
                <c:pt idx="0">
                  <c:v>5.6054260524187365</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'0-17'!$I$6</c:f>
              <c:numCache>
                <c:formatCode>0</c:formatCode>
                <c:ptCount val="1"/>
                <c:pt idx="0">
                  <c:v>4.0340148129023863</c:v>
                </c:pt>
              </c:numCache>
            </c:numRef>
          </c:val>
        </c:ser>
        <c:dLbls>
          <c:showVal val="1"/>
        </c:dLbls>
        <c:overlap val="-25"/>
        <c:axId val="158031872"/>
        <c:axId val="158033408"/>
      </c:barChart>
      <c:catAx>
        <c:axId val="158031872"/>
        <c:scaling>
          <c:orientation val="minMax"/>
        </c:scaling>
        <c:delete val="1"/>
        <c:axPos val="b"/>
        <c:numFmt formatCode="General" sourceLinked="1"/>
        <c:majorTickMark val="none"/>
        <c:tickLblPos val="none"/>
        <c:crossAx val="158033408"/>
        <c:crosses val="autoZero"/>
        <c:auto val="1"/>
        <c:lblAlgn val="ctr"/>
        <c:lblOffset val="100"/>
      </c:catAx>
      <c:valAx>
        <c:axId val="158033408"/>
        <c:scaling>
          <c:orientation val="minMax"/>
        </c:scaling>
        <c:delete val="1"/>
        <c:axPos val="l"/>
        <c:numFmt formatCode="0" sourceLinked="1"/>
        <c:majorTickMark val="none"/>
        <c:tickLblPos val="none"/>
        <c:crossAx val="158031872"/>
        <c:crosses val="autoZero"/>
        <c:crossBetween val="between"/>
      </c:valAx>
      <c:spPr>
        <a:noFill/>
        <a:ln>
          <a:noFill/>
        </a:ln>
        <a:effectLst/>
      </c:spPr>
    </c:plotArea>
    <c:legend>
      <c:legendPos val="t"/>
      <c:layout>
        <c:manualLayout>
          <c:xMode val="edge"/>
          <c:yMode val="edge"/>
          <c:x val="0.34564058802994507"/>
          <c:y val="0.8627544910179642"/>
          <c:w val="0.29558253494175346"/>
          <c:h val="0.1347314819180537"/>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suicidios en niños, niñas y adolescentes (0-17 Años)</a:t>
            </a:r>
            <a:endParaRPr lang="es-CO" sz="1400">
              <a:effectLst/>
            </a:endParaRPr>
          </a:p>
        </c:rich>
      </c:tx>
      <c:spPr>
        <a:noFill/>
        <a:ln>
          <a:noFill/>
        </a:ln>
        <a:effectLst/>
      </c:spPr>
    </c:title>
    <c:plotArea>
      <c:layout>
        <c:manualLayout>
          <c:layoutTarget val="inner"/>
          <c:xMode val="edge"/>
          <c:yMode val="edge"/>
          <c:x val="2.5287356321839111E-2"/>
          <c:y val="0.32376500299323818"/>
          <c:w val="0.94942528735632181"/>
          <c:h val="0.47681663389915979"/>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'0-17'!$C$8</c:f>
              <c:numCache>
                <c:formatCode>0</c:formatCode>
                <c:ptCount val="1"/>
                <c:pt idx="0">
                  <c:v>3.9530066568632103</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'0-17'!$E$8</c:f>
              <c:numCache>
                <c:formatCode>0</c:formatCode>
                <c:ptCount val="1"/>
                <c:pt idx="0">
                  <c:v>3.9766174891637118</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'0-17'!$G$8</c:f>
              <c:numCache>
                <c:formatCode>0</c:formatCode>
                <c:ptCount val="1"/>
                <c:pt idx="0">
                  <c:v>4.8046509020732069</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'0-17'!$I$8</c:f>
              <c:numCache>
                <c:formatCode>0</c:formatCode>
                <c:ptCount val="1"/>
                <c:pt idx="0">
                  <c:v>3.2272118503219218</c:v>
                </c:pt>
              </c:numCache>
            </c:numRef>
          </c:val>
        </c:ser>
        <c:dLbls>
          <c:showVal val="1"/>
        </c:dLbls>
        <c:overlap val="-25"/>
        <c:axId val="158180480"/>
        <c:axId val="158182016"/>
      </c:barChart>
      <c:catAx>
        <c:axId val="158180480"/>
        <c:scaling>
          <c:orientation val="minMax"/>
        </c:scaling>
        <c:delete val="1"/>
        <c:axPos val="b"/>
        <c:numFmt formatCode="General" sourceLinked="1"/>
        <c:majorTickMark val="none"/>
        <c:tickLblPos val="none"/>
        <c:crossAx val="158182016"/>
        <c:crosses val="autoZero"/>
        <c:auto val="1"/>
        <c:lblAlgn val="ctr"/>
        <c:lblOffset val="100"/>
      </c:catAx>
      <c:valAx>
        <c:axId val="158182016"/>
        <c:scaling>
          <c:orientation val="minMax"/>
        </c:scaling>
        <c:delete val="1"/>
        <c:axPos val="l"/>
        <c:numFmt formatCode="0" sourceLinked="1"/>
        <c:majorTickMark val="none"/>
        <c:tickLblPos val="none"/>
        <c:crossAx val="158180480"/>
        <c:crosses val="autoZero"/>
        <c:crossBetween val="between"/>
      </c:valAx>
      <c:spPr>
        <a:noFill/>
        <a:ln>
          <a:noFill/>
        </a:ln>
        <a:effectLst/>
      </c:spPr>
    </c:plotArea>
    <c:legend>
      <c:legendPos val="t"/>
      <c:layout>
        <c:manualLayout>
          <c:xMode val="edge"/>
          <c:yMode val="edge"/>
          <c:x val="0.34481907864965233"/>
          <c:y val="0.85658496053178235"/>
          <c:w val="0.31036166168884177"/>
          <c:h val="0.14021701794961547"/>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muertes por otros accidentes en niños, niñas y adolescentes</a:t>
            </a:r>
            <a:r>
              <a:rPr lang="es-CO" sz="1600">
                <a:effectLst/>
              </a:rPr>
              <a:t>(0 a 17 Años)</a:t>
            </a:r>
          </a:p>
        </c:rich>
      </c:tx>
      <c:spPr>
        <a:noFill/>
        <a:ln>
          <a:noFill/>
        </a:ln>
        <a:effectLst/>
      </c:spPr>
    </c:title>
    <c:plotArea>
      <c:layout>
        <c:manualLayout>
          <c:layoutTarget val="inner"/>
          <c:xMode val="edge"/>
          <c:yMode val="edge"/>
          <c:x val="2.4858757062146894E-2"/>
          <c:y val="0.37849205691393839"/>
          <c:w val="0.95028248587570519"/>
          <c:h val="0.446069346594833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'0-17'!$C$9</c:f>
              <c:numCache>
                <c:formatCode>0</c:formatCode>
                <c:ptCount val="1"/>
                <c:pt idx="0">
                  <c:v>6.3248106509811288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'0-17'!$E$9</c:f>
              <c:numCache>
                <c:formatCode>0</c:formatCode>
                <c:ptCount val="1"/>
                <c:pt idx="0">
                  <c:v>3.9766174891637118</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'0-17'!$G$9</c:f>
              <c:numCache>
                <c:formatCode>0</c:formatCode>
                <c:ptCount val="1"/>
                <c:pt idx="0">
                  <c:v>8.8085266538008788</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'0-17'!$I$9</c:f>
              <c:numCache>
                <c:formatCode>0</c:formatCode>
                <c:ptCount val="1"/>
                <c:pt idx="0">
                  <c:v>6.4544237006438365</c:v>
                </c:pt>
              </c:numCache>
            </c:numRef>
          </c:val>
        </c:ser>
        <c:dLbls>
          <c:showVal val="1"/>
        </c:dLbls>
        <c:overlap val="-25"/>
        <c:axId val="158370048"/>
        <c:axId val="158384128"/>
      </c:barChart>
      <c:catAx>
        <c:axId val="158370048"/>
        <c:scaling>
          <c:orientation val="minMax"/>
        </c:scaling>
        <c:delete val="1"/>
        <c:axPos val="b"/>
        <c:numFmt formatCode="General" sourceLinked="1"/>
        <c:majorTickMark val="none"/>
        <c:tickLblPos val="none"/>
        <c:crossAx val="158384128"/>
        <c:crosses val="autoZero"/>
        <c:auto val="1"/>
        <c:lblAlgn val="ctr"/>
        <c:lblOffset val="100"/>
      </c:catAx>
      <c:valAx>
        <c:axId val="158384128"/>
        <c:scaling>
          <c:orientation val="minMax"/>
        </c:scaling>
        <c:delete val="1"/>
        <c:axPos val="l"/>
        <c:numFmt formatCode="0" sourceLinked="1"/>
        <c:majorTickMark val="none"/>
        <c:tickLblPos val="none"/>
        <c:crossAx val="158370048"/>
        <c:crosses val="autoZero"/>
        <c:crossBetween val="between"/>
      </c:valAx>
      <c:spPr>
        <a:noFill/>
        <a:ln>
          <a:noFill/>
        </a:ln>
        <a:effectLst/>
      </c:spPr>
    </c:plotArea>
    <c:legend>
      <c:legendPos val="t"/>
      <c:layout>
        <c:manualLayout>
          <c:xMode val="edge"/>
          <c:yMode val="edge"/>
          <c:x val="0.33614982872903598"/>
          <c:y val="0.87761403508771962"/>
          <c:w val="0.30510129454157214"/>
          <c:h val="0.11842188147534199"/>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muertes por accidentes de tránsito en niños, niñas y adolescentes</a:t>
            </a:r>
            <a:r>
              <a:rPr lang="es-CO" sz="1400">
                <a:effectLst/>
              </a:rPr>
              <a:t>(0 a 17 Años)</a:t>
            </a:r>
          </a:p>
        </c:rich>
      </c:tx>
      <c:spPr>
        <a:noFill/>
        <a:ln>
          <a:noFill/>
        </a:ln>
        <a:effectLst/>
      </c:spPr>
    </c:title>
    <c:plotArea>
      <c:layout>
        <c:manualLayout>
          <c:layoutTarget val="inner"/>
          <c:xMode val="edge"/>
          <c:yMode val="edge"/>
          <c:x val="2.5287356321839111E-2"/>
          <c:y val="0.29794713160854891"/>
          <c:w val="0.94942528735632181"/>
          <c:h val="0.55324334458192659"/>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'0-17'!$C$7</c:f>
              <c:numCache>
                <c:formatCode>0</c:formatCode>
                <c:ptCount val="1"/>
                <c:pt idx="0">
                  <c:v>2.3718039941179225</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'0-17'!$E$7</c:f>
              <c:numCache>
                <c:formatCode>0</c:formatCode>
                <c:ptCount val="1"/>
                <c:pt idx="0">
                  <c:v>4.7719409869964604</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'0-17'!$G$7</c:f>
              <c:numCache>
                <c:formatCode>0</c:formatCode>
                <c:ptCount val="1"/>
                <c:pt idx="0">
                  <c:v>4.003875751727672</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'0-17'!$I$7</c:f>
              <c:numCache>
                <c:formatCode>0</c:formatCode>
                <c:ptCount val="1"/>
                <c:pt idx="0">
                  <c:v>1.6136059251609571</c:v>
                </c:pt>
              </c:numCache>
            </c:numRef>
          </c:val>
        </c:ser>
        <c:dLbls>
          <c:showVal val="1"/>
        </c:dLbls>
        <c:overlap val="-25"/>
        <c:axId val="158301568"/>
        <c:axId val="158323840"/>
      </c:barChart>
      <c:catAx>
        <c:axId val="158301568"/>
        <c:scaling>
          <c:orientation val="minMax"/>
        </c:scaling>
        <c:delete val="1"/>
        <c:axPos val="b"/>
        <c:numFmt formatCode="General" sourceLinked="1"/>
        <c:majorTickMark val="none"/>
        <c:tickLblPos val="none"/>
        <c:crossAx val="158323840"/>
        <c:crosses val="autoZero"/>
        <c:auto val="1"/>
        <c:lblAlgn val="ctr"/>
        <c:lblOffset val="100"/>
      </c:catAx>
      <c:valAx>
        <c:axId val="158323840"/>
        <c:scaling>
          <c:orientation val="minMax"/>
        </c:scaling>
        <c:delete val="1"/>
        <c:axPos val="l"/>
        <c:numFmt formatCode="0" sourceLinked="1"/>
        <c:majorTickMark val="none"/>
        <c:tickLblPos val="none"/>
        <c:crossAx val="158301568"/>
        <c:crosses val="autoZero"/>
        <c:crossBetween val="between"/>
      </c:valAx>
      <c:spPr>
        <a:noFill/>
        <a:ln>
          <a:noFill/>
        </a:ln>
        <a:effectLst/>
      </c:spPr>
    </c:plotArea>
    <c:legend>
      <c:legendPos val="t"/>
      <c:layout>
        <c:manualLayout>
          <c:xMode val="edge"/>
          <c:yMode val="edge"/>
          <c:x val="0.31723287175310022"/>
          <c:y val="0.89392857142857263"/>
          <c:w val="0.31036166168884177"/>
          <c:h val="0.10044713160854885"/>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violencia contra niños, niñas  y adolescentes</a:t>
            </a:r>
            <a:r>
              <a:rPr lang="es-CO" sz="1600">
                <a:effectLst/>
              </a:rPr>
              <a:t>(0 a 17 Años)</a:t>
            </a:r>
          </a:p>
        </c:rich>
      </c:tx>
      <c:spPr>
        <a:noFill/>
        <a:ln>
          <a:noFill/>
        </a:ln>
        <a:effectLst/>
      </c:spPr>
    </c:title>
    <c:plotArea>
      <c:layout>
        <c:manualLayout>
          <c:layoutTarget val="inner"/>
          <c:xMode val="edge"/>
          <c:yMode val="edge"/>
          <c:x val="3.0555555555555582E-2"/>
          <c:y val="0.39405251386378326"/>
          <c:w val="0.93888888888888966"/>
          <c:h val="0.5145664184972985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'0-17'!$C$23</c:f>
              <c:numCache>
                <c:formatCode>0</c:formatCode>
                <c:ptCount val="1"/>
                <c:pt idx="0">
                  <c:v>1631.8011479531328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'0-17'!$E$23</c:f>
              <c:numCache>
                <c:formatCode>0</c:formatCode>
                <c:ptCount val="1"/>
                <c:pt idx="0">
                  <c:v>1869.0102199069472</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'0-17'!$G$23</c:f>
              <c:numCache>
                <c:formatCode>0</c:formatCode>
                <c:ptCount val="1"/>
                <c:pt idx="0">
                  <c:v>1784.1270349698498</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'0-17'!$I$23</c:f>
              <c:numCache>
                <c:formatCode>0</c:formatCode>
                <c:ptCount val="1"/>
                <c:pt idx="0">
                  <c:v>1316.702434931339</c:v>
                </c:pt>
              </c:numCache>
            </c:numRef>
          </c:val>
        </c:ser>
        <c:dLbls>
          <c:showVal val="1"/>
        </c:dLbls>
        <c:overlap val="-25"/>
        <c:axId val="158454528"/>
        <c:axId val="158456064"/>
      </c:barChart>
      <c:catAx>
        <c:axId val="158454528"/>
        <c:scaling>
          <c:orientation val="minMax"/>
        </c:scaling>
        <c:delete val="1"/>
        <c:axPos val="b"/>
        <c:numFmt formatCode="General" sourceLinked="1"/>
        <c:majorTickMark val="none"/>
        <c:tickLblPos val="none"/>
        <c:crossAx val="158456064"/>
        <c:crosses val="autoZero"/>
        <c:auto val="1"/>
        <c:lblAlgn val="ctr"/>
        <c:lblOffset val="100"/>
      </c:catAx>
      <c:valAx>
        <c:axId val="158456064"/>
        <c:scaling>
          <c:orientation val="minMax"/>
        </c:scaling>
        <c:delete val="1"/>
        <c:axPos val="l"/>
        <c:numFmt formatCode="0" sourceLinked="1"/>
        <c:majorTickMark val="none"/>
        <c:tickLblPos val="none"/>
        <c:crossAx val="158454528"/>
        <c:crosses val="autoZero"/>
        <c:crossBetween val="between"/>
      </c:valAx>
      <c:spPr>
        <a:noFill/>
        <a:ln>
          <a:noFill/>
        </a:ln>
        <a:effectLst/>
      </c:spPr>
    </c:plotArea>
    <c:legend>
      <c:legendPos val="t"/>
      <c:layout>
        <c:manualLayout>
          <c:xMode val="edge"/>
          <c:yMode val="edge"/>
          <c:x val="0.29304527559055132"/>
          <c:y val="0.9075229020496951"/>
          <c:w val="0.37502034120734989"/>
          <c:h val="8.754925089616715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violencia interpersonal contra niños, niñas  y adolescentes</a:t>
            </a:r>
            <a:r>
              <a:rPr lang="es-CO" sz="1600">
                <a:effectLst/>
              </a:rPr>
              <a:t>(0 a 17 Años)</a:t>
            </a:r>
          </a:p>
        </c:rich>
      </c:tx>
      <c:spPr>
        <a:noFill/>
        <a:ln>
          <a:noFill/>
        </a:ln>
        <a:effectLst/>
      </c:spPr>
    </c:title>
    <c:plotArea>
      <c:layout>
        <c:manualLayout>
          <c:layoutTarget val="inner"/>
          <c:xMode val="edge"/>
          <c:yMode val="edge"/>
          <c:x val="3.0555555555555582E-2"/>
          <c:y val="0.39405251386378326"/>
          <c:w val="0.93888888888888966"/>
          <c:h val="0.5145664184972985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'0-17'!$C$15</c:f>
              <c:numCache>
                <c:formatCode>0</c:formatCode>
                <c:ptCount val="1"/>
                <c:pt idx="0">
                  <c:v>747.9088594785195</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'0-17'!$E$15</c:f>
              <c:numCache>
                <c:formatCode>0</c:formatCode>
                <c:ptCount val="1"/>
                <c:pt idx="0">
                  <c:v>250.52690181731447</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'0-17'!$G$15</c:f>
              <c:numCache>
                <c:formatCode>0</c:formatCode>
                <c:ptCount val="1"/>
                <c:pt idx="0">
                  <c:v>320.31006013821377</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'0-17'!$I$15</c:f>
              <c:numCache>
                <c:formatCode>0</c:formatCode>
                <c:ptCount val="1"/>
                <c:pt idx="0">
                  <c:v>226.71163248511448</c:v>
                </c:pt>
              </c:numCache>
            </c:numRef>
          </c:val>
        </c:ser>
        <c:dLbls>
          <c:showVal val="1"/>
        </c:dLbls>
        <c:overlap val="-25"/>
        <c:axId val="159385856"/>
        <c:axId val="159404032"/>
      </c:barChart>
      <c:catAx>
        <c:axId val="159385856"/>
        <c:scaling>
          <c:orientation val="minMax"/>
        </c:scaling>
        <c:delete val="1"/>
        <c:axPos val="b"/>
        <c:numFmt formatCode="General" sourceLinked="1"/>
        <c:majorTickMark val="none"/>
        <c:tickLblPos val="none"/>
        <c:crossAx val="159404032"/>
        <c:crosses val="autoZero"/>
        <c:auto val="1"/>
        <c:lblAlgn val="ctr"/>
        <c:lblOffset val="100"/>
      </c:catAx>
      <c:valAx>
        <c:axId val="159404032"/>
        <c:scaling>
          <c:orientation val="minMax"/>
        </c:scaling>
        <c:delete val="1"/>
        <c:axPos val="l"/>
        <c:numFmt formatCode="0" sourceLinked="1"/>
        <c:majorTickMark val="none"/>
        <c:tickLblPos val="none"/>
        <c:crossAx val="159385856"/>
        <c:crosses val="autoZero"/>
        <c:crossBetween val="between"/>
      </c:valAx>
      <c:spPr>
        <a:noFill/>
        <a:ln>
          <a:noFill/>
        </a:ln>
        <a:effectLst/>
      </c:spPr>
    </c:plotArea>
    <c:legend>
      <c:legendPos val="t"/>
      <c:layout>
        <c:manualLayout>
          <c:xMode val="edge"/>
          <c:yMode val="edge"/>
          <c:x val="0.29304527559055132"/>
          <c:y val="0.9075229020496951"/>
          <c:w val="0.37502034120734989"/>
          <c:h val="8.754925089616715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MORTALIDAD EN</a:t>
            </a:r>
            <a:r>
              <a:rPr lang="en-US" sz="1000" b="0" baseline="0">
                <a:latin typeface="Century Gothic" pitchFamily="34" charset="0"/>
              </a:rPr>
              <a:t> NIÑOS, NIÑAS Y ADOLESCENTES POR MALARIA </a:t>
            </a:r>
            <a:r>
              <a:rPr lang="en-US" sz="1000" b="0">
                <a:latin typeface="Century Gothic" pitchFamily="34" charset="0"/>
              </a:rPr>
              <a:t>, MUNICIPIO DE PASTO, 2011-2014 </a:t>
            </a:r>
          </a:p>
          <a:p>
            <a:pPr>
              <a:defRPr lang="es-CO" sz="1000"/>
            </a:pPr>
            <a:r>
              <a:rPr lang="en-US" sz="1000" b="0">
                <a:latin typeface="Century Gothic" pitchFamily="34" charset="0"/>
              </a:rPr>
              <a:t> </a:t>
            </a:r>
          </a:p>
        </c:rich>
      </c:tx>
    </c:title>
    <c:plotArea>
      <c:layout>
        <c:manualLayout>
          <c:layoutTarget val="inner"/>
          <c:xMode val="edge"/>
          <c:yMode val="edge"/>
          <c:x val="0.35643190498661581"/>
          <c:y val="0.18822607845344599"/>
          <c:w val="0.62442101321642174"/>
          <c:h val="0.55900729085960621"/>
        </c:manualLayout>
      </c:layout>
      <c:lineChart>
        <c:grouping val="standard"/>
        <c:ser>
          <c:idx val="0"/>
          <c:order val="0"/>
          <c:tx>
            <c:strRef>
              <c:f>'MALARIA N.N.A'!$J$5</c:f>
              <c:strCache>
                <c:ptCount val="1"/>
                <c:pt idx="0">
                  <c:v>MORTALIDAD EN NIÑOS, NIÑAS Y ADOLESCENTES POR MALARIA</c:v>
                </c:pt>
              </c:strCache>
            </c:strRef>
          </c:tx>
          <c:cat>
            <c:numRef>
              <c:f>'MALARIA N.N.A'!$I$6:$I$9</c:f>
              <c:numCache>
                <c:formatCode>General</c:formatCode>
                <c:ptCount val="4"/>
                <c:pt idx="0">
                  <c:v>2011</c:v>
                </c:pt>
                <c:pt idx="1">
                  <c:v>2012</c:v>
                </c:pt>
                <c:pt idx="2">
                  <c:v>2013</c:v>
                </c:pt>
                <c:pt idx="3">
                  <c:v>2014</c:v>
                </c:pt>
              </c:numCache>
            </c:numRef>
          </c:cat>
          <c:val>
            <c:numRef>
              <c:f>'MALARIA N.N.A'!$J$6:$J$9</c:f>
              <c:numCache>
                <c:formatCode>General</c:formatCode>
                <c:ptCount val="4"/>
                <c:pt idx="0">
                  <c:v>0</c:v>
                </c:pt>
                <c:pt idx="1">
                  <c:v>0</c:v>
                </c:pt>
                <c:pt idx="2">
                  <c:v>0</c:v>
                </c:pt>
                <c:pt idx="3">
                  <c:v>0</c:v>
                </c:pt>
              </c:numCache>
            </c:numRef>
          </c:val>
        </c:ser>
        <c:marker val="1"/>
        <c:axId val="158846336"/>
        <c:axId val="159433856"/>
      </c:lineChart>
      <c:catAx>
        <c:axId val="158846336"/>
        <c:scaling>
          <c:orientation val="minMax"/>
        </c:scaling>
        <c:axPos val="b"/>
        <c:numFmt formatCode="General" sourceLinked="1"/>
        <c:majorTickMark val="none"/>
        <c:tickLblPos val="nextTo"/>
        <c:txPr>
          <a:bodyPr/>
          <a:lstStyle/>
          <a:p>
            <a:pPr>
              <a:defRPr lang="es-CO"/>
            </a:pPr>
            <a:endParaRPr lang="es-ES"/>
          </a:p>
        </c:txPr>
        <c:crossAx val="159433856"/>
        <c:crosses val="autoZero"/>
        <c:auto val="1"/>
        <c:lblAlgn val="ctr"/>
        <c:lblOffset val="100"/>
      </c:catAx>
      <c:valAx>
        <c:axId val="159433856"/>
        <c:scaling>
          <c:orientation val="minMax"/>
          <c:max val="10"/>
          <c:min val="0"/>
        </c:scaling>
        <c:axPos val="l"/>
        <c:title>
          <c:tx>
            <c:rich>
              <a:bodyPr/>
              <a:lstStyle/>
              <a:p>
                <a:pPr>
                  <a:defRPr lang="es-CO" sz="900"/>
                </a:pPr>
                <a:r>
                  <a:rPr lang="es-CO" sz="900"/>
                  <a:t>Número</a:t>
                </a:r>
                <a:r>
                  <a:rPr lang="es-CO" sz="900" baseline="0"/>
                  <a:t> de muertes por malaria</a:t>
                </a:r>
                <a:endParaRPr lang="es-CO" sz="900"/>
              </a:p>
            </c:rich>
          </c:tx>
          <c:layout>
            <c:manualLayout>
              <c:xMode val="edge"/>
              <c:yMode val="edge"/>
              <c:x val="0.27286447148651882"/>
              <c:y val="0.20094866157652999"/>
            </c:manualLayout>
          </c:layout>
        </c:title>
        <c:numFmt formatCode="General" sourceLinked="1"/>
        <c:majorTickMark val="none"/>
        <c:tickLblPos val="nextTo"/>
        <c:txPr>
          <a:bodyPr/>
          <a:lstStyle/>
          <a:p>
            <a:pPr>
              <a:defRPr lang="es-CO" sz="900">
                <a:latin typeface="Century Gothic" pitchFamily="34" charset="0"/>
              </a:defRPr>
            </a:pPr>
            <a:endParaRPr lang="es-ES"/>
          </a:p>
        </c:txPr>
        <c:crossAx val="158846336"/>
        <c:crosses val="autoZero"/>
        <c:crossBetween val="between"/>
      </c:valAx>
      <c:dTable>
        <c:showHorzBorder val="1"/>
        <c:showVertBorder val="1"/>
        <c:showOutline val="1"/>
        <c:showKeys val="1"/>
        <c:txPr>
          <a:bodyPr/>
          <a:lstStyle/>
          <a:p>
            <a:pPr rtl="0">
              <a:defRPr lang="es-CO">
                <a:latin typeface="Century Gothic" pitchFamily="34" charset="0"/>
              </a:defRPr>
            </a:pPr>
            <a:endParaRPr lang="es-ES"/>
          </a:p>
        </c:txPr>
      </c:dTable>
    </c:plotArea>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MORTALIDAD EN</a:t>
            </a:r>
            <a:r>
              <a:rPr lang="en-US" sz="1000" b="0" baseline="0">
                <a:latin typeface="Century Gothic" pitchFamily="34" charset="0"/>
              </a:rPr>
              <a:t> NIÑOS, NIÑAS Y ADOLESCENTES POR DENGUE </a:t>
            </a:r>
            <a:r>
              <a:rPr lang="en-US" sz="1000" b="0">
                <a:latin typeface="Century Gothic" pitchFamily="34" charset="0"/>
              </a:rPr>
              <a:t>, MUNICIPIO DE PASTO, 2011-2014 </a:t>
            </a:r>
          </a:p>
          <a:p>
            <a:pPr>
              <a:defRPr lang="es-CO" sz="1000"/>
            </a:pPr>
            <a:r>
              <a:rPr lang="en-US" sz="1000" b="0">
                <a:latin typeface="Century Gothic" pitchFamily="34" charset="0"/>
              </a:rPr>
              <a:t> </a:t>
            </a:r>
          </a:p>
        </c:rich>
      </c:tx>
    </c:title>
    <c:plotArea>
      <c:layout>
        <c:manualLayout>
          <c:layoutTarget val="inner"/>
          <c:xMode val="edge"/>
          <c:yMode val="edge"/>
          <c:x val="0.35643190498661581"/>
          <c:y val="0.17629548840178794"/>
          <c:w val="0.62442101321642174"/>
          <c:h val="0.59195506510695139"/>
        </c:manualLayout>
      </c:layout>
      <c:lineChart>
        <c:grouping val="standard"/>
        <c:ser>
          <c:idx val="1"/>
          <c:order val="0"/>
          <c:tx>
            <c:strRef>
              <c:f>'DENGUE N.N.A'!$G$4</c:f>
              <c:strCache>
                <c:ptCount val="1"/>
                <c:pt idx="0">
                  <c:v>MORTALIDAD EN NIÑOS, NIÑAS Y ADOLESCENTES POR DENGUE</c:v>
                </c:pt>
              </c:strCache>
            </c:strRef>
          </c:tx>
          <c:spPr>
            <a:ln>
              <a:solidFill>
                <a:schemeClr val="accent1"/>
              </a:solidFill>
            </a:ln>
          </c:spPr>
          <c:marker>
            <c:symbol val="diamond"/>
            <c:size val="5"/>
            <c:spPr>
              <a:solidFill>
                <a:schemeClr val="accent1"/>
              </a:solidFill>
              <a:ln>
                <a:solidFill>
                  <a:schemeClr val="accent1"/>
                </a:solidFill>
              </a:ln>
            </c:spPr>
          </c:marker>
          <c:cat>
            <c:numRef>
              <c:f>'DENGUE N.N.A'!$F$5:$F$8</c:f>
              <c:numCache>
                <c:formatCode>General</c:formatCode>
                <c:ptCount val="4"/>
                <c:pt idx="0">
                  <c:v>2011</c:v>
                </c:pt>
                <c:pt idx="1">
                  <c:v>2012</c:v>
                </c:pt>
                <c:pt idx="2">
                  <c:v>2013</c:v>
                </c:pt>
                <c:pt idx="3">
                  <c:v>2014</c:v>
                </c:pt>
              </c:numCache>
            </c:numRef>
          </c:cat>
          <c:val>
            <c:numRef>
              <c:f>'DENGUE N.N.A'!$G$5:$G$8</c:f>
              <c:numCache>
                <c:formatCode>General</c:formatCode>
                <c:ptCount val="4"/>
                <c:pt idx="0">
                  <c:v>0</c:v>
                </c:pt>
                <c:pt idx="1">
                  <c:v>0</c:v>
                </c:pt>
                <c:pt idx="2">
                  <c:v>0</c:v>
                </c:pt>
                <c:pt idx="3">
                  <c:v>0</c:v>
                </c:pt>
              </c:numCache>
            </c:numRef>
          </c:val>
        </c:ser>
        <c:marker val="1"/>
        <c:axId val="162989952"/>
        <c:axId val="163020800"/>
      </c:lineChart>
      <c:catAx>
        <c:axId val="162989952"/>
        <c:scaling>
          <c:orientation val="minMax"/>
        </c:scaling>
        <c:axPos val="b"/>
        <c:numFmt formatCode="General" sourceLinked="1"/>
        <c:majorTickMark val="none"/>
        <c:tickLblPos val="nextTo"/>
        <c:txPr>
          <a:bodyPr/>
          <a:lstStyle/>
          <a:p>
            <a:pPr>
              <a:defRPr lang="es-CO"/>
            </a:pPr>
            <a:endParaRPr lang="es-ES"/>
          </a:p>
        </c:txPr>
        <c:crossAx val="163020800"/>
        <c:crosses val="autoZero"/>
        <c:auto val="1"/>
        <c:lblAlgn val="ctr"/>
        <c:lblOffset val="100"/>
      </c:catAx>
      <c:valAx>
        <c:axId val="163020800"/>
        <c:scaling>
          <c:orientation val="minMax"/>
          <c:max val="10"/>
          <c:min val="0"/>
        </c:scaling>
        <c:axPos val="l"/>
        <c:title>
          <c:tx>
            <c:rich>
              <a:bodyPr/>
              <a:lstStyle/>
              <a:p>
                <a:pPr>
                  <a:defRPr lang="es-CO" sz="800"/>
                </a:pPr>
                <a:r>
                  <a:rPr lang="es-CO" sz="800"/>
                  <a:t>Número</a:t>
                </a:r>
                <a:r>
                  <a:rPr lang="es-CO" sz="800" baseline="0"/>
                  <a:t> de muertes por dengue</a:t>
                </a:r>
                <a:endParaRPr lang="es-CO" sz="800"/>
              </a:p>
            </c:rich>
          </c:tx>
          <c:layout>
            <c:manualLayout>
              <c:xMode val="edge"/>
              <c:yMode val="edge"/>
              <c:x val="0.25929021570925431"/>
              <c:y val="0.19990523249627626"/>
            </c:manualLayout>
          </c:layout>
        </c:title>
        <c:numFmt formatCode="General" sourceLinked="1"/>
        <c:majorTickMark val="none"/>
        <c:tickLblPos val="nextTo"/>
        <c:txPr>
          <a:bodyPr/>
          <a:lstStyle/>
          <a:p>
            <a:pPr>
              <a:defRPr lang="es-CO" sz="900">
                <a:latin typeface="Century Gothic" pitchFamily="34" charset="0"/>
              </a:defRPr>
            </a:pPr>
            <a:endParaRPr lang="es-ES"/>
          </a:p>
        </c:txPr>
        <c:crossAx val="162989952"/>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lang val="es-ES"/>
  <c:clrMapOvr bg1="lt1" tx1="dk1" bg2="lt2" tx2="dk2" accent1="accent1" accent2="accent2" accent3="accent3" accent4="accent4" accent5="accent5" accent6="accent6" hlink="hlink" folHlink="folHlink"/>
  <c:chart>
    <c:title>
      <c:tx>
        <c:rich>
          <a:bodyPr/>
          <a:lstStyle/>
          <a:p>
            <a:pPr>
              <a:defRPr lang="es-CO" sz="1100"/>
            </a:pPr>
            <a:r>
              <a:rPr lang="en-US" sz="1100" b="0" i="0" baseline="0">
                <a:effectLst/>
                <a:latin typeface="Century Gothic" pitchFamily="34" charset="0"/>
              </a:rPr>
              <a:t>TASA DE FECUNDIDAD ESPECÍFICA, MUNICIPIO DE PASTO, 2011- 2014 </a:t>
            </a:r>
            <a:endParaRPr lang="es-CO" sz="1100">
              <a:effectLst/>
              <a:latin typeface="Century Gothic" pitchFamily="34" charset="0"/>
            </a:endParaRPr>
          </a:p>
        </c:rich>
      </c:tx>
    </c:title>
    <c:plotArea>
      <c:layout/>
      <c:lineChart>
        <c:grouping val="standard"/>
        <c:ser>
          <c:idx val="0"/>
          <c:order val="0"/>
          <c:tx>
            <c:strRef>
              <c:f>TEF!$J$32</c:f>
              <c:strCache>
                <c:ptCount val="1"/>
                <c:pt idx="0">
                  <c:v>2011</c:v>
                </c:pt>
              </c:strCache>
            </c:strRef>
          </c:tx>
          <c:cat>
            <c:strRef>
              <c:f>TEF!$K$31:$R$31</c:f>
              <c:strCache>
                <c:ptCount val="8"/>
                <c:pt idx="0">
                  <c:v>10-14</c:v>
                </c:pt>
                <c:pt idx="1">
                  <c:v>15-19</c:v>
                </c:pt>
                <c:pt idx="2">
                  <c:v>20-24</c:v>
                </c:pt>
                <c:pt idx="3">
                  <c:v>25-29</c:v>
                </c:pt>
                <c:pt idx="4">
                  <c:v>30-34</c:v>
                </c:pt>
                <c:pt idx="5">
                  <c:v>35-39</c:v>
                </c:pt>
                <c:pt idx="6">
                  <c:v>40-44</c:v>
                </c:pt>
                <c:pt idx="7">
                  <c:v>45-49</c:v>
                </c:pt>
              </c:strCache>
            </c:strRef>
          </c:cat>
          <c:val>
            <c:numRef>
              <c:f>TEF!$K$32:$R$32</c:f>
              <c:numCache>
                <c:formatCode>0.0</c:formatCode>
                <c:ptCount val="8"/>
                <c:pt idx="0">
                  <c:v>1.8480384391995361</c:v>
                </c:pt>
                <c:pt idx="1">
                  <c:v>56.96584242557158</c:v>
                </c:pt>
                <c:pt idx="2">
                  <c:v>75.119409465914174</c:v>
                </c:pt>
                <c:pt idx="3">
                  <c:v>54.700328407224958</c:v>
                </c:pt>
                <c:pt idx="4">
                  <c:v>44.652302210344637</c:v>
                </c:pt>
                <c:pt idx="5">
                  <c:v>23.370310357721529</c:v>
                </c:pt>
                <c:pt idx="6">
                  <c:v>7.7475434618291814</c:v>
                </c:pt>
                <c:pt idx="7">
                  <c:v>0.5616005616005616</c:v>
                </c:pt>
              </c:numCache>
            </c:numRef>
          </c:val>
        </c:ser>
        <c:ser>
          <c:idx val="1"/>
          <c:order val="1"/>
          <c:tx>
            <c:strRef>
              <c:f>TEF!$J$33</c:f>
              <c:strCache>
                <c:ptCount val="1"/>
                <c:pt idx="0">
                  <c:v>2012</c:v>
                </c:pt>
              </c:strCache>
            </c:strRef>
          </c:tx>
          <c:spPr>
            <a:ln>
              <a:solidFill>
                <a:schemeClr val="accent3"/>
              </a:solidFill>
            </a:ln>
          </c:spPr>
          <c:marker>
            <c:symbol val="diamond"/>
            <c:size val="5"/>
            <c:spPr>
              <a:solidFill>
                <a:schemeClr val="accent3"/>
              </a:solidFill>
              <a:ln>
                <a:solidFill>
                  <a:schemeClr val="accent3"/>
                </a:solidFill>
              </a:ln>
            </c:spPr>
          </c:marker>
          <c:cat>
            <c:strRef>
              <c:f>TEF!$K$31:$R$31</c:f>
              <c:strCache>
                <c:ptCount val="8"/>
                <c:pt idx="0">
                  <c:v>10-14</c:v>
                </c:pt>
                <c:pt idx="1">
                  <c:v>15-19</c:v>
                </c:pt>
                <c:pt idx="2">
                  <c:v>20-24</c:v>
                </c:pt>
                <c:pt idx="3">
                  <c:v>25-29</c:v>
                </c:pt>
                <c:pt idx="4">
                  <c:v>30-34</c:v>
                </c:pt>
                <c:pt idx="5">
                  <c:v>35-39</c:v>
                </c:pt>
                <c:pt idx="6">
                  <c:v>40-44</c:v>
                </c:pt>
                <c:pt idx="7">
                  <c:v>45-49</c:v>
                </c:pt>
              </c:strCache>
            </c:strRef>
          </c:cat>
          <c:val>
            <c:numRef>
              <c:f>TEF!$K$33:$R$33</c:f>
              <c:numCache>
                <c:formatCode>0.0</c:formatCode>
                <c:ptCount val="8"/>
                <c:pt idx="0">
                  <c:v>1.5954900813699922</c:v>
                </c:pt>
                <c:pt idx="1">
                  <c:v>56.539583108327029</c:v>
                </c:pt>
                <c:pt idx="2">
                  <c:v>74.262573195424707</c:v>
                </c:pt>
                <c:pt idx="3">
                  <c:v>55.041628122109159</c:v>
                </c:pt>
                <c:pt idx="4">
                  <c:v>43.678285343147913</c:v>
                </c:pt>
                <c:pt idx="5">
                  <c:v>23.585482097030429</c:v>
                </c:pt>
                <c:pt idx="6">
                  <c:v>6.5963060686015815</c:v>
                </c:pt>
                <c:pt idx="7">
                  <c:v>0.74434970902693198</c:v>
                </c:pt>
              </c:numCache>
            </c:numRef>
          </c:val>
        </c:ser>
        <c:ser>
          <c:idx val="2"/>
          <c:order val="2"/>
          <c:tx>
            <c:strRef>
              <c:f>TEF!$J$34</c:f>
              <c:strCache>
                <c:ptCount val="1"/>
                <c:pt idx="0">
                  <c:v>2013</c:v>
                </c:pt>
              </c:strCache>
            </c:strRef>
          </c:tx>
          <c:spPr>
            <a:ln>
              <a:solidFill>
                <a:schemeClr val="accent6"/>
              </a:solidFill>
            </a:ln>
          </c:spPr>
          <c:marker>
            <c:symbol val="diamond"/>
            <c:size val="5"/>
            <c:spPr>
              <a:solidFill>
                <a:schemeClr val="accent6"/>
              </a:solidFill>
              <a:ln>
                <a:solidFill>
                  <a:schemeClr val="accent6"/>
                </a:solidFill>
              </a:ln>
            </c:spPr>
          </c:marker>
          <c:cat>
            <c:strRef>
              <c:f>TEF!$K$31:$R$31</c:f>
              <c:strCache>
                <c:ptCount val="8"/>
                <c:pt idx="0">
                  <c:v>10-14</c:v>
                </c:pt>
                <c:pt idx="1">
                  <c:v>15-19</c:v>
                </c:pt>
                <c:pt idx="2">
                  <c:v>20-24</c:v>
                </c:pt>
                <c:pt idx="3">
                  <c:v>25-29</c:v>
                </c:pt>
                <c:pt idx="4">
                  <c:v>30-34</c:v>
                </c:pt>
                <c:pt idx="5">
                  <c:v>35-39</c:v>
                </c:pt>
                <c:pt idx="6">
                  <c:v>40-44</c:v>
                </c:pt>
                <c:pt idx="7">
                  <c:v>45-49</c:v>
                </c:pt>
              </c:strCache>
            </c:strRef>
          </c:cat>
          <c:val>
            <c:numRef>
              <c:f>TEF!$K$34:$R$34</c:f>
              <c:numCache>
                <c:formatCode>0.0</c:formatCode>
                <c:ptCount val="8"/>
                <c:pt idx="0">
                  <c:v>1.9403869994071041</c:v>
                </c:pt>
                <c:pt idx="1">
                  <c:v>56.611789697291421</c:v>
                </c:pt>
                <c:pt idx="2">
                  <c:v>73.558538732394055</c:v>
                </c:pt>
                <c:pt idx="3">
                  <c:v>53.018155485439401</c:v>
                </c:pt>
                <c:pt idx="4">
                  <c:v>41.780966448617846</c:v>
                </c:pt>
                <c:pt idx="5">
                  <c:v>23.911747167561089</c:v>
                </c:pt>
                <c:pt idx="6">
                  <c:v>8.0432323740103069</c:v>
                </c:pt>
                <c:pt idx="7">
                  <c:v>0.58958401572223806</c:v>
                </c:pt>
              </c:numCache>
            </c:numRef>
          </c:val>
        </c:ser>
        <c:ser>
          <c:idx val="3"/>
          <c:order val="3"/>
          <c:tx>
            <c:strRef>
              <c:f>TEF!$J$35</c:f>
              <c:strCache>
                <c:ptCount val="1"/>
                <c:pt idx="0">
                  <c:v>2014</c:v>
                </c:pt>
              </c:strCache>
            </c:strRef>
          </c:tx>
          <c:spPr>
            <a:ln>
              <a:solidFill>
                <a:schemeClr val="accent2"/>
              </a:solidFill>
            </a:ln>
          </c:spPr>
          <c:marker>
            <c:symbol val="diamond"/>
            <c:size val="5"/>
            <c:spPr>
              <a:solidFill>
                <a:schemeClr val="accent2"/>
              </a:solidFill>
              <a:ln>
                <a:solidFill>
                  <a:schemeClr val="accent2"/>
                </a:solidFill>
              </a:ln>
            </c:spPr>
          </c:marker>
          <c:cat>
            <c:strRef>
              <c:f>TEF!$K$31:$R$31</c:f>
              <c:strCache>
                <c:ptCount val="8"/>
                <c:pt idx="0">
                  <c:v>10-14</c:v>
                </c:pt>
                <c:pt idx="1">
                  <c:v>15-19</c:v>
                </c:pt>
                <c:pt idx="2">
                  <c:v>20-24</c:v>
                </c:pt>
                <c:pt idx="3">
                  <c:v>25-29</c:v>
                </c:pt>
                <c:pt idx="4">
                  <c:v>30-34</c:v>
                </c:pt>
                <c:pt idx="5">
                  <c:v>35-39</c:v>
                </c:pt>
                <c:pt idx="6">
                  <c:v>40-44</c:v>
                </c:pt>
                <c:pt idx="7">
                  <c:v>45-49</c:v>
                </c:pt>
              </c:strCache>
            </c:strRef>
          </c:cat>
          <c:val>
            <c:numRef>
              <c:f>TEF!$K$35:$R$35</c:f>
              <c:numCache>
                <c:formatCode>0.0</c:formatCode>
                <c:ptCount val="8"/>
                <c:pt idx="0">
                  <c:v>1.9187544542514121</c:v>
                </c:pt>
                <c:pt idx="1">
                  <c:v>51.267281105990776</c:v>
                </c:pt>
                <c:pt idx="2">
                  <c:v>75.593239002367497</c:v>
                </c:pt>
                <c:pt idx="3">
                  <c:v>61.629181234671059</c:v>
                </c:pt>
                <c:pt idx="4">
                  <c:v>44.503023724608454</c:v>
                </c:pt>
                <c:pt idx="5">
                  <c:v>27.39090064995359</c:v>
                </c:pt>
                <c:pt idx="6">
                  <c:v>5.9617194854094864</c:v>
                </c:pt>
                <c:pt idx="7">
                  <c:v>0.57467594661899213</c:v>
                </c:pt>
              </c:numCache>
            </c:numRef>
          </c:val>
        </c:ser>
        <c:marker val="1"/>
        <c:axId val="163015680"/>
        <c:axId val="163193984"/>
      </c:lineChart>
      <c:catAx>
        <c:axId val="163015680"/>
        <c:scaling>
          <c:orientation val="minMax"/>
        </c:scaling>
        <c:axPos val="b"/>
        <c:numFmt formatCode="General" sourceLinked="0"/>
        <c:majorTickMark val="none"/>
        <c:tickLblPos val="nextTo"/>
        <c:txPr>
          <a:bodyPr/>
          <a:lstStyle/>
          <a:p>
            <a:pPr>
              <a:defRPr lang="es-CO"/>
            </a:pPr>
            <a:endParaRPr lang="es-ES"/>
          </a:p>
        </c:txPr>
        <c:crossAx val="163193984"/>
        <c:crosses val="autoZero"/>
        <c:auto val="1"/>
        <c:lblAlgn val="ctr"/>
        <c:lblOffset val="100"/>
      </c:catAx>
      <c:valAx>
        <c:axId val="163193984"/>
        <c:scaling>
          <c:orientation val="minMax"/>
          <c:max val="100"/>
        </c:scaling>
        <c:axPos val="l"/>
        <c:title>
          <c:tx>
            <c:rich>
              <a:bodyPr/>
              <a:lstStyle/>
              <a:p>
                <a:pPr>
                  <a:defRPr lang="es-CO" sz="900"/>
                </a:pPr>
                <a:r>
                  <a:rPr lang="es-CO" sz="900"/>
                  <a:t>Tasa</a:t>
                </a:r>
                <a:r>
                  <a:rPr lang="es-CO" sz="900" baseline="0"/>
                  <a:t> de fecundidad especÍfica</a:t>
                </a:r>
              </a:p>
              <a:p>
                <a:pPr>
                  <a:defRPr lang="es-CO" sz="900"/>
                </a:pPr>
                <a:r>
                  <a:rPr lang="es-CO" sz="900" baseline="0"/>
                  <a:t> por 1.000 MEF</a:t>
                </a:r>
                <a:endParaRPr lang="es-CO" sz="900"/>
              </a:p>
            </c:rich>
          </c:tx>
        </c:title>
        <c:numFmt formatCode="0.0" sourceLinked="1"/>
        <c:majorTickMark val="none"/>
        <c:tickLblPos val="nextTo"/>
        <c:txPr>
          <a:bodyPr/>
          <a:lstStyle/>
          <a:p>
            <a:pPr>
              <a:defRPr lang="es-CO">
                <a:latin typeface="Century Gothic" pitchFamily="34" charset="0"/>
              </a:defRPr>
            </a:pPr>
            <a:endParaRPr lang="es-ES"/>
          </a:p>
        </c:txPr>
        <c:crossAx val="163015680"/>
        <c:crosses val="autoZero"/>
        <c:crossBetween val="between"/>
        <c:majorUnit val="10"/>
        <c:minorUnit val="2"/>
      </c:valAx>
      <c:dTable>
        <c:showHorzBorder val="1"/>
        <c:showVertBorder val="1"/>
        <c:showOutline val="1"/>
        <c:showKeys val="1"/>
        <c:txPr>
          <a:bodyPr/>
          <a:lstStyle/>
          <a:p>
            <a:pPr rtl="0">
              <a:defRPr lang="es-CO" sz="900" b="1"/>
            </a:pPr>
            <a:endParaRPr lang="es-ES"/>
          </a:p>
        </c:txPr>
      </c:dTable>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TASA DE MORTALIDAD POR EDA EN MENORES DE 5 AÑOS, MUNICIPIO DE PASTO, 2011-2014 </a:t>
            </a:r>
          </a:p>
          <a:p>
            <a:pPr>
              <a:defRPr lang="es-CO" sz="1000"/>
            </a:pPr>
            <a:r>
              <a:rPr lang="en-US" sz="1000" b="0">
                <a:latin typeface="Century Gothic" pitchFamily="34" charset="0"/>
              </a:rPr>
              <a:t> </a:t>
            </a:r>
          </a:p>
        </c:rich>
      </c:tx>
    </c:title>
    <c:plotArea>
      <c:layout>
        <c:manualLayout>
          <c:layoutTarget val="inner"/>
          <c:xMode val="edge"/>
          <c:yMode val="edge"/>
          <c:x val="0.35643190498661581"/>
          <c:y val="0.16019280052446533"/>
          <c:w val="0.61803459834570262"/>
          <c:h val="0.59535615153481647"/>
        </c:manualLayout>
      </c:layout>
      <c:lineChart>
        <c:grouping val="standard"/>
        <c:ser>
          <c:idx val="2"/>
          <c:order val="0"/>
          <c:tx>
            <c:strRef>
              <c:f>EDA!$K$4</c:f>
              <c:strCache>
                <c:ptCount val="1"/>
                <c:pt idx="0">
                  <c:v>TASA DE MORTALIDAD POR EDA EN MENORES DE 5 AÑOS POR CADA 100.000 MENORES DE 5 AÑOS</c:v>
                </c:pt>
              </c:strCache>
            </c:strRef>
          </c:tx>
          <c:spPr>
            <a:ln>
              <a:solidFill>
                <a:schemeClr val="accent1"/>
              </a:solidFill>
            </a:ln>
          </c:spPr>
          <c:marker>
            <c:symbol val="diamond"/>
            <c:size val="5"/>
            <c:spPr>
              <a:solidFill>
                <a:schemeClr val="accent1"/>
              </a:solidFill>
              <a:ln>
                <a:solidFill>
                  <a:schemeClr val="accent1"/>
                </a:solidFill>
              </a:ln>
            </c:spPr>
          </c:marker>
          <c:dPt>
            <c:idx val="0"/>
            <c:spPr>
              <a:ln>
                <a:solidFill>
                  <a:schemeClr val="accent1"/>
                </a:solidFill>
              </a:ln>
            </c:spPr>
          </c:dPt>
          <c:cat>
            <c:numRef>
              <c:f>EDA!$H$5:$H$8</c:f>
              <c:numCache>
                <c:formatCode>General</c:formatCode>
                <c:ptCount val="4"/>
                <c:pt idx="0">
                  <c:v>2011</c:v>
                </c:pt>
                <c:pt idx="1">
                  <c:v>2012</c:v>
                </c:pt>
                <c:pt idx="2">
                  <c:v>2013</c:v>
                </c:pt>
                <c:pt idx="3">
                  <c:v>2014</c:v>
                </c:pt>
              </c:numCache>
            </c:numRef>
          </c:cat>
          <c:val>
            <c:numRef>
              <c:f>EDA!$K$5:$K$8</c:f>
              <c:numCache>
                <c:formatCode>0.0</c:formatCode>
                <c:ptCount val="4"/>
                <c:pt idx="0">
                  <c:v>0</c:v>
                </c:pt>
                <c:pt idx="1">
                  <c:v>0</c:v>
                </c:pt>
                <c:pt idx="2">
                  <c:v>0</c:v>
                </c:pt>
                <c:pt idx="3">
                  <c:v>0</c:v>
                </c:pt>
              </c:numCache>
            </c:numRef>
          </c:val>
        </c:ser>
        <c:marker val="1"/>
        <c:axId val="155529600"/>
        <c:axId val="155531136"/>
      </c:lineChart>
      <c:catAx>
        <c:axId val="155529600"/>
        <c:scaling>
          <c:orientation val="minMax"/>
        </c:scaling>
        <c:axPos val="b"/>
        <c:numFmt formatCode="General" sourceLinked="1"/>
        <c:majorTickMark val="none"/>
        <c:tickLblPos val="nextTo"/>
        <c:txPr>
          <a:bodyPr/>
          <a:lstStyle/>
          <a:p>
            <a:pPr>
              <a:defRPr lang="es-CO"/>
            </a:pPr>
            <a:endParaRPr lang="es-ES"/>
          </a:p>
        </c:txPr>
        <c:crossAx val="155531136"/>
        <c:crosses val="autoZero"/>
        <c:auto val="1"/>
        <c:lblAlgn val="ctr"/>
        <c:lblOffset val="100"/>
      </c:catAx>
      <c:valAx>
        <c:axId val="155531136"/>
        <c:scaling>
          <c:orientation val="minMax"/>
          <c:max val="10"/>
          <c:min val="0"/>
        </c:scaling>
        <c:axPos val="l"/>
        <c:title>
          <c:tx>
            <c:rich>
              <a:bodyPr/>
              <a:lstStyle/>
              <a:p>
                <a:pPr>
                  <a:defRPr lang="es-CO" sz="900"/>
                </a:pPr>
                <a:r>
                  <a:rPr lang="es-CO" sz="900"/>
                  <a:t>Tasa de mortalidad x 100.000 menores</a:t>
                </a:r>
              </a:p>
              <a:p>
                <a:pPr>
                  <a:defRPr lang="es-CO" sz="900"/>
                </a:pPr>
                <a:r>
                  <a:rPr lang="es-CO" sz="900"/>
                  <a:t> de 5 años</a:t>
                </a:r>
              </a:p>
            </c:rich>
          </c:tx>
          <c:layout>
            <c:manualLayout>
              <c:xMode val="edge"/>
              <c:yMode val="edge"/>
              <c:x val="0.23108898872937825"/>
              <c:y val="0.10847656688828311"/>
            </c:manualLayout>
          </c:layout>
        </c:title>
        <c:numFmt formatCode="0.0" sourceLinked="1"/>
        <c:majorTickMark val="none"/>
        <c:tickLblPos val="nextTo"/>
        <c:txPr>
          <a:bodyPr/>
          <a:lstStyle/>
          <a:p>
            <a:pPr>
              <a:defRPr lang="es-CO" sz="900">
                <a:latin typeface="Century Gothic" pitchFamily="34" charset="0"/>
              </a:defRPr>
            </a:pPr>
            <a:endParaRPr lang="es-ES"/>
          </a:p>
        </c:txPr>
        <c:crossAx val="155529600"/>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Homicidios en niños, niñas y adolescentes</a:t>
            </a:r>
            <a:r>
              <a:rPr lang="es-CO" sz="1600">
                <a:effectLst/>
              </a:rPr>
              <a:t> </a:t>
            </a:r>
          </a:p>
          <a:p>
            <a:pPr>
              <a:defRPr lang="es-CO" sz="1400" b="0" i="0" u="none" strike="noStrike" kern="1200" spc="0" baseline="0">
                <a:solidFill>
                  <a:schemeClr val="tx1">
                    <a:lumMod val="65000"/>
                    <a:lumOff val="35000"/>
                  </a:schemeClr>
                </a:solidFill>
                <a:latin typeface="+mn-lt"/>
                <a:ea typeface="+mn-ea"/>
                <a:cs typeface="+mn-cs"/>
              </a:defRPr>
            </a:pPr>
            <a:r>
              <a:rPr lang="es-CO" sz="1600">
                <a:effectLst/>
              </a:rPr>
              <a:t>(0 a 17 Años)</a:t>
            </a:r>
          </a:p>
        </c:rich>
      </c:tx>
      <c:spPr>
        <a:noFill/>
        <a:ln>
          <a:noFill/>
        </a:ln>
        <a:effectLst/>
      </c:spPr>
    </c:title>
    <c:plotArea>
      <c:layout>
        <c:manualLayout>
          <c:layoutTarget val="inner"/>
          <c:xMode val="edge"/>
          <c:yMode val="edge"/>
          <c:x val="2.4083196496989631E-2"/>
          <c:y val="0.37370828646419196"/>
          <c:w val="0.95183360700602082"/>
          <c:h val="0.47663184959022975"/>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'0-17'!$C$6</c:f>
              <c:numCache>
                <c:formatCode>0</c:formatCode>
                <c:ptCount val="1"/>
                <c:pt idx="0">
                  <c:v>6.3248106509811288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'0-17'!$E$6</c:f>
              <c:numCache>
                <c:formatCode>0</c:formatCode>
                <c:ptCount val="1"/>
                <c:pt idx="0">
                  <c:v>3.1812939913309752</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'0-17'!$G$6</c:f>
              <c:numCache>
                <c:formatCode>0</c:formatCode>
                <c:ptCount val="1"/>
                <c:pt idx="0">
                  <c:v>5.6054260524187365</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'0-17'!$I$6</c:f>
              <c:numCache>
                <c:formatCode>0</c:formatCode>
                <c:ptCount val="1"/>
                <c:pt idx="0">
                  <c:v>4.0340148129023863</c:v>
                </c:pt>
              </c:numCache>
            </c:numRef>
          </c:val>
        </c:ser>
        <c:dLbls>
          <c:showVal val="1"/>
        </c:dLbls>
        <c:overlap val="-25"/>
        <c:axId val="158685440"/>
        <c:axId val="158695424"/>
      </c:barChart>
      <c:catAx>
        <c:axId val="158685440"/>
        <c:scaling>
          <c:orientation val="minMax"/>
        </c:scaling>
        <c:delete val="1"/>
        <c:axPos val="b"/>
        <c:numFmt formatCode="General" sourceLinked="1"/>
        <c:majorTickMark val="none"/>
        <c:tickLblPos val="none"/>
        <c:crossAx val="158695424"/>
        <c:crosses val="autoZero"/>
        <c:auto val="1"/>
        <c:lblAlgn val="ctr"/>
        <c:lblOffset val="100"/>
      </c:catAx>
      <c:valAx>
        <c:axId val="158695424"/>
        <c:scaling>
          <c:orientation val="minMax"/>
        </c:scaling>
        <c:delete val="1"/>
        <c:axPos val="l"/>
        <c:numFmt formatCode="0" sourceLinked="1"/>
        <c:majorTickMark val="none"/>
        <c:tickLblPos val="none"/>
        <c:crossAx val="158685440"/>
        <c:crosses val="autoZero"/>
        <c:crossBetween val="between"/>
      </c:valAx>
      <c:spPr>
        <a:noFill/>
        <a:ln>
          <a:noFill/>
        </a:ln>
        <a:effectLst/>
      </c:spPr>
    </c:plotArea>
    <c:legend>
      <c:legendPos val="t"/>
      <c:layout>
        <c:manualLayout>
          <c:xMode val="edge"/>
          <c:yMode val="edge"/>
          <c:x val="0.34564058802994507"/>
          <c:y val="0.8627544910179642"/>
          <c:w val="0.29558253494175346"/>
          <c:h val="0.1347314819180537"/>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suicidios en niños, niñas y adolescentes (0-17 Años)</a:t>
            </a:r>
            <a:endParaRPr lang="es-CO" sz="1400">
              <a:effectLst/>
            </a:endParaRPr>
          </a:p>
        </c:rich>
      </c:tx>
      <c:spPr>
        <a:noFill/>
        <a:ln>
          <a:noFill/>
        </a:ln>
        <a:effectLst/>
      </c:spPr>
    </c:title>
    <c:plotArea>
      <c:layout>
        <c:manualLayout>
          <c:layoutTarget val="inner"/>
          <c:xMode val="edge"/>
          <c:yMode val="edge"/>
          <c:x val="2.5287356321839104E-2"/>
          <c:y val="0.32376500299323818"/>
          <c:w val="0.94942528735632181"/>
          <c:h val="0.47681663389915968"/>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'0-17'!$C$8</c:f>
              <c:numCache>
                <c:formatCode>0</c:formatCode>
                <c:ptCount val="1"/>
                <c:pt idx="0">
                  <c:v>3.9530066568632103</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'0-17'!$E$8</c:f>
              <c:numCache>
                <c:formatCode>0</c:formatCode>
                <c:ptCount val="1"/>
                <c:pt idx="0">
                  <c:v>3.9766174891637123</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'0-17'!$G$8</c:f>
              <c:numCache>
                <c:formatCode>0</c:formatCode>
                <c:ptCount val="1"/>
                <c:pt idx="0">
                  <c:v>4.8046509020732069</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'0-17'!$I$8</c:f>
              <c:numCache>
                <c:formatCode>0</c:formatCode>
                <c:ptCount val="1"/>
                <c:pt idx="0">
                  <c:v>3.2272118503219209</c:v>
                </c:pt>
              </c:numCache>
            </c:numRef>
          </c:val>
        </c:ser>
        <c:dLbls>
          <c:showVal val="1"/>
        </c:dLbls>
        <c:overlap val="-25"/>
        <c:axId val="31235456"/>
        <c:axId val="31245440"/>
      </c:barChart>
      <c:catAx>
        <c:axId val="31235456"/>
        <c:scaling>
          <c:orientation val="minMax"/>
        </c:scaling>
        <c:delete val="1"/>
        <c:axPos val="b"/>
        <c:numFmt formatCode="General" sourceLinked="1"/>
        <c:majorTickMark val="none"/>
        <c:tickLblPos val="none"/>
        <c:crossAx val="31245440"/>
        <c:crosses val="autoZero"/>
        <c:auto val="1"/>
        <c:lblAlgn val="ctr"/>
        <c:lblOffset val="100"/>
      </c:catAx>
      <c:valAx>
        <c:axId val="31245440"/>
        <c:scaling>
          <c:orientation val="minMax"/>
        </c:scaling>
        <c:delete val="1"/>
        <c:axPos val="l"/>
        <c:numFmt formatCode="0" sourceLinked="1"/>
        <c:majorTickMark val="none"/>
        <c:tickLblPos val="none"/>
        <c:crossAx val="31235456"/>
        <c:crosses val="autoZero"/>
        <c:crossBetween val="between"/>
      </c:valAx>
      <c:spPr>
        <a:noFill/>
        <a:ln>
          <a:noFill/>
        </a:ln>
        <a:effectLst/>
      </c:spPr>
    </c:plotArea>
    <c:legend>
      <c:legendPos val="t"/>
      <c:layout>
        <c:manualLayout>
          <c:xMode val="edge"/>
          <c:yMode val="edge"/>
          <c:x val="0.34481907864965222"/>
          <c:y val="0.85658496053178235"/>
          <c:w val="0.31036166168884161"/>
          <c:h val="0.1402170179496154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muertes por otros accidentes en niños, niñas y adolescentes</a:t>
            </a:r>
            <a:r>
              <a:rPr lang="es-CO" sz="1600">
                <a:effectLst/>
              </a:rPr>
              <a:t>(0 a 17 Años)</a:t>
            </a:r>
          </a:p>
        </c:rich>
      </c:tx>
      <c:spPr>
        <a:noFill/>
        <a:ln>
          <a:noFill/>
        </a:ln>
        <a:effectLst/>
      </c:spPr>
    </c:title>
    <c:plotArea>
      <c:layout>
        <c:manualLayout>
          <c:layoutTarget val="inner"/>
          <c:xMode val="edge"/>
          <c:yMode val="edge"/>
          <c:x val="2.4858757062146894E-2"/>
          <c:y val="0.37849205691393839"/>
          <c:w val="0.9502824858757053"/>
          <c:h val="0.446069346594833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'0-17'!$C$9</c:f>
              <c:numCache>
                <c:formatCode>0</c:formatCode>
                <c:ptCount val="1"/>
                <c:pt idx="0">
                  <c:v>6.3248106509811297</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'0-17'!$E$9</c:f>
              <c:numCache>
                <c:formatCode>0</c:formatCode>
                <c:ptCount val="1"/>
                <c:pt idx="0">
                  <c:v>3.9766174891637123</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'0-17'!$G$9</c:f>
              <c:numCache>
                <c:formatCode>0</c:formatCode>
                <c:ptCount val="1"/>
                <c:pt idx="0">
                  <c:v>8.8085266538008788</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'0-17'!$I$9</c:f>
              <c:numCache>
                <c:formatCode>0</c:formatCode>
                <c:ptCount val="1"/>
                <c:pt idx="0">
                  <c:v>6.4544237006438347</c:v>
                </c:pt>
              </c:numCache>
            </c:numRef>
          </c:val>
        </c:ser>
        <c:dLbls>
          <c:showVal val="1"/>
        </c:dLbls>
        <c:overlap val="-25"/>
        <c:axId val="163255040"/>
        <c:axId val="163256576"/>
      </c:barChart>
      <c:catAx>
        <c:axId val="163255040"/>
        <c:scaling>
          <c:orientation val="minMax"/>
        </c:scaling>
        <c:delete val="1"/>
        <c:axPos val="b"/>
        <c:numFmt formatCode="General" sourceLinked="1"/>
        <c:majorTickMark val="none"/>
        <c:tickLblPos val="none"/>
        <c:crossAx val="163256576"/>
        <c:crosses val="autoZero"/>
        <c:auto val="1"/>
        <c:lblAlgn val="ctr"/>
        <c:lblOffset val="100"/>
      </c:catAx>
      <c:valAx>
        <c:axId val="163256576"/>
        <c:scaling>
          <c:orientation val="minMax"/>
        </c:scaling>
        <c:delete val="1"/>
        <c:axPos val="l"/>
        <c:numFmt formatCode="0" sourceLinked="1"/>
        <c:majorTickMark val="none"/>
        <c:tickLblPos val="none"/>
        <c:crossAx val="163255040"/>
        <c:crosses val="autoZero"/>
        <c:crossBetween val="between"/>
      </c:valAx>
      <c:spPr>
        <a:noFill/>
        <a:ln>
          <a:noFill/>
        </a:ln>
        <a:effectLst/>
      </c:spPr>
    </c:plotArea>
    <c:legend>
      <c:legendPos val="t"/>
      <c:layout>
        <c:manualLayout>
          <c:xMode val="edge"/>
          <c:yMode val="edge"/>
          <c:x val="0.33614982872903598"/>
          <c:y val="0.87761403508771962"/>
          <c:w val="0.30510129454157214"/>
          <c:h val="0.1184218814753419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muertes por accidentes de tránsito en niños, niñas y adolescentes</a:t>
            </a:r>
            <a:r>
              <a:rPr lang="es-CO" sz="1400">
                <a:effectLst/>
              </a:rPr>
              <a:t>(0 a 17 Años)</a:t>
            </a:r>
          </a:p>
        </c:rich>
      </c:tx>
      <c:spPr>
        <a:noFill/>
        <a:ln>
          <a:noFill/>
        </a:ln>
        <a:effectLst/>
      </c:spPr>
    </c:title>
    <c:plotArea>
      <c:layout>
        <c:manualLayout>
          <c:layoutTarget val="inner"/>
          <c:xMode val="edge"/>
          <c:yMode val="edge"/>
          <c:x val="2.5287356321839104E-2"/>
          <c:y val="0.29794713160854891"/>
          <c:w val="0.94942528735632181"/>
          <c:h val="0.55324334458192659"/>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'0-17'!$C$7</c:f>
              <c:numCache>
                <c:formatCode>0</c:formatCode>
                <c:ptCount val="1"/>
                <c:pt idx="0">
                  <c:v>2.371803994117923</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'0-17'!$E$7</c:f>
              <c:numCache>
                <c:formatCode>0</c:formatCode>
                <c:ptCount val="1"/>
                <c:pt idx="0">
                  <c:v>4.7719409869964604</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'0-17'!$G$7</c:f>
              <c:numCache>
                <c:formatCode>0</c:formatCode>
                <c:ptCount val="1"/>
                <c:pt idx="0">
                  <c:v>4.003875751727672</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'0-17'!$I$7</c:f>
              <c:numCache>
                <c:formatCode>0</c:formatCode>
                <c:ptCount val="1"/>
                <c:pt idx="0">
                  <c:v>1.6136059251609571</c:v>
                </c:pt>
              </c:numCache>
            </c:numRef>
          </c:val>
        </c:ser>
        <c:dLbls>
          <c:showVal val="1"/>
        </c:dLbls>
        <c:overlap val="-25"/>
        <c:axId val="164939648"/>
        <c:axId val="164941184"/>
      </c:barChart>
      <c:catAx>
        <c:axId val="164939648"/>
        <c:scaling>
          <c:orientation val="minMax"/>
        </c:scaling>
        <c:delete val="1"/>
        <c:axPos val="b"/>
        <c:numFmt formatCode="General" sourceLinked="1"/>
        <c:majorTickMark val="none"/>
        <c:tickLblPos val="none"/>
        <c:crossAx val="164941184"/>
        <c:crosses val="autoZero"/>
        <c:auto val="1"/>
        <c:lblAlgn val="ctr"/>
        <c:lblOffset val="100"/>
      </c:catAx>
      <c:valAx>
        <c:axId val="164941184"/>
        <c:scaling>
          <c:orientation val="minMax"/>
        </c:scaling>
        <c:delete val="1"/>
        <c:axPos val="l"/>
        <c:numFmt formatCode="0" sourceLinked="1"/>
        <c:majorTickMark val="none"/>
        <c:tickLblPos val="none"/>
        <c:crossAx val="164939648"/>
        <c:crosses val="autoZero"/>
        <c:crossBetween val="between"/>
      </c:valAx>
      <c:spPr>
        <a:noFill/>
        <a:ln>
          <a:noFill/>
        </a:ln>
        <a:effectLst/>
      </c:spPr>
    </c:plotArea>
    <c:legend>
      <c:legendPos val="t"/>
      <c:layout>
        <c:manualLayout>
          <c:xMode val="edge"/>
          <c:yMode val="edge"/>
          <c:x val="0.31723287175310017"/>
          <c:y val="0.8939285714285724"/>
          <c:w val="0.31036166168884161"/>
          <c:h val="0.1004471316085488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style val="7"/>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200" b="1" i="0" u="none" strike="noStrike" kern="1200" cap="all" spc="120" normalizeH="0" baseline="0">
              <a:solidFill>
                <a:sysClr val="windowText" lastClr="000000"/>
              </a:solidFill>
              <a:latin typeface="+mn-lt"/>
              <a:ea typeface="+mn-ea"/>
              <a:cs typeface="+mn-cs"/>
            </a:defRPr>
          </a:pPr>
          <a:endParaRPr lang="es-ES"/>
        </a:p>
      </c:txPr>
    </c:title>
    <c:plotArea>
      <c:layout>
        <c:manualLayout>
          <c:layoutTarget val="inner"/>
          <c:xMode val="edge"/>
          <c:yMode val="edge"/>
          <c:x val="2.432283029297955E-2"/>
          <c:y val="0.23658421859035172"/>
          <c:w val="0.95135433941404091"/>
          <c:h val="0.66172428516457427"/>
        </c:manualLayout>
      </c:layout>
      <c:lineChart>
        <c:grouping val="standard"/>
        <c:ser>
          <c:idx val="0"/>
          <c:order val="0"/>
          <c:tx>
            <c:strRef>
              <c:f>Hoja1!$B$15</c:f>
              <c:strCache>
                <c:ptCount val="1"/>
                <c:pt idx="0">
                  <c:v>Cobertura escolar neta para educación básica secundaria</c:v>
                </c:pt>
              </c:strCache>
            </c:strRef>
          </c:tx>
          <c:spPr>
            <a:ln w="22225" cap="rnd">
              <a:solidFill>
                <a:schemeClr val="accent5"/>
              </a:solidFill>
              <a:round/>
            </a:ln>
            <a:effectLst/>
          </c:spPr>
          <c:marker>
            <c:symbol val="diamond"/>
            <c:size val="6"/>
            <c:spPr>
              <a:solidFill>
                <a:schemeClr val="accent5"/>
              </a:solidFill>
              <a:ln w="9525">
                <a:solidFill>
                  <a:schemeClr val="accent5"/>
                </a:solidFill>
                <a:round/>
              </a:ln>
              <a:effectLst/>
            </c:spPr>
          </c:marker>
          <c:dLbls>
            <c:dLbl>
              <c:idx val="0"/>
              <c:layout>
                <c:manualLayout>
                  <c:x val="-4.3985200174000566E-2"/>
                  <c:y val="-3.9215686274509852E-2"/>
                </c:manualLayout>
              </c:layout>
              <c:dLblPos val="r"/>
              <c:showVal val="1"/>
              <c:extLst>
                <c:ext xmlns:c15="http://schemas.microsoft.com/office/drawing/2012/chart" uri="{CE6537A1-D6FC-4f65-9D91-7224C49458BB}"/>
              </c:extLst>
            </c:dLbl>
            <c:dLbl>
              <c:idx val="1"/>
              <c:layout>
                <c:manualLayout>
                  <c:x val="-3.9019340459537616E-2"/>
                  <c:y val="-7.3529411764705885E-2"/>
                </c:manualLayout>
              </c:layout>
              <c:dLblPos val="r"/>
              <c:showVal val="1"/>
              <c:extLst>
                <c:ext xmlns:c15="http://schemas.microsoft.com/office/drawing/2012/chart" uri="{CE6537A1-D6FC-4f65-9D91-7224C49458BB}"/>
              </c:extLst>
            </c:dLbl>
            <c:dLbl>
              <c:idx val="2"/>
              <c:layout>
                <c:manualLayout>
                  <c:x val="-4.1502270316769063E-2"/>
                  <c:y val="-5.8823529411764705E-2"/>
                </c:manualLayout>
              </c:layout>
              <c:dLblPos val="r"/>
              <c:showVal val="1"/>
              <c:extLst>
                <c:ext xmlns:c15="http://schemas.microsoft.com/office/drawing/2012/chart" uri="{CE6537A1-D6FC-4f65-9D91-7224C49458BB}"/>
              </c:extLst>
            </c:dLbl>
            <c:dLbl>
              <c:idx val="3"/>
              <c:layout>
                <c:manualLayout>
                  <c:x val="-4.3985200174000781E-2"/>
                  <c:y val="-8.8235294117647176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dLblPos val="ct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Hoja1!$D$2:$D$6</c:f>
              <c:strCache>
                <c:ptCount val="5"/>
                <c:pt idx="0">
                  <c:v>2011</c:v>
                </c:pt>
                <c:pt idx="1">
                  <c:v>2012</c:v>
                </c:pt>
                <c:pt idx="2">
                  <c:v>2013</c:v>
                </c:pt>
                <c:pt idx="3">
                  <c:v>2014</c:v>
                </c:pt>
                <c:pt idx="4">
                  <c:v>2015(*)</c:v>
                </c:pt>
              </c:strCache>
            </c:strRef>
          </c:cat>
          <c:val>
            <c:numRef>
              <c:f>Hoja1!$E$15:$E$18</c:f>
              <c:numCache>
                <c:formatCode>0%</c:formatCode>
                <c:ptCount val="4"/>
                <c:pt idx="0">
                  <c:v>0.74000000000000066</c:v>
                </c:pt>
                <c:pt idx="1">
                  <c:v>0.73000000000000065</c:v>
                </c:pt>
                <c:pt idx="2">
                  <c:v>0.73000000000000065</c:v>
                </c:pt>
                <c:pt idx="3">
                  <c:v>0.73000000000000065</c:v>
                </c:pt>
              </c:numCache>
            </c:numRef>
          </c:val>
        </c:ser>
        <c:dLbls>
          <c:showVal val="1"/>
        </c:dLbls>
        <c:marker val="1"/>
        <c:axId val="31274112"/>
        <c:axId val="31275648"/>
      </c:lineChart>
      <c:catAx>
        <c:axId val="312741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mn-lt"/>
                <a:ea typeface="+mn-ea"/>
                <a:cs typeface="+mn-cs"/>
              </a:defRPr>
            </a:pPr>
            <a:endParaRPr lang="es-ES"/>
          </a:p>
        </c:txPr>
        <c:crossAx val="31275648"/>
        <c:crosses val="autoZero"/>
        <c:auto val="1"/>
        <c:lblAlgn val="ctr"/>
        <c:lblOffset val="100"/>
      </c:catAx>
      <c:valAx>
        <c:axId val="31275648"/>
        <c:scaling>
          <c:orientation val="minMax"/>
        </c:scaling>
        <c:axPos val="l"/>
        <c:numFmt formatCode="0%"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31274112"/>
        <c:crosses val="autoZero"/>
        <c:crossBetween val="between"/>
      </c:valAx>
      <c:spPr>
        <a:noFill/>
        <a:ln>
          <a:noFill/>
        </a:ln>
        <a:effectLst/>
      </c:spPr>
    </c:plotArea>
    <c:plotVisOnly val="1"/>
    <c:dispBlanksAs val="zero"/>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s-ES"/>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style val="7"/>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200" b="1" i="0" u="none" strike="noStrike" kern="1200" cap="all" spc="120" normalizeH="0" baseline="0">
              <a:solidFill>
                <a:sysClr val="windowText" lastClr="000000"/>
              </a:solidFill>
              <a:latin typeface="+mn-lt"/>
              <a:ea typeface="+mn-ea"/>
              <a:cs typeface="+mn-cs"/>
            </a:defRPr>
          </a:pPr>
          <a:endParaRPr lang="es-ES"/>
        </a:p>
      </c:txPr>
    </c:title>
    <c:plotArea>
      <c:layout>
        <c:manualLayout>
          <c:layoutTarget val="inner"/>
          <c:xMode val="edge"/>
          <c:yMode val="edge"/>
          <c:x val="2.432283029297955E-2"/>
          <c:y val="0.23658421859035172"/>
          <c:w val="0.95135433941404091"/>
          <c:h val="0.66172428516457427"/>
        </c:manualLayout>
      </c:layout>
      <c:lineChart>
        <c:grouping val="standard"/>
        <c:ser>
          <c:idx val="0"/>
          <c:order val="0"/>
          <c:tx>
            <c:strRef>
              <c:f>Hoja1!$B$35</c:f>
              <c:strCache>
                <c:ptCount val="1"/>
                <c:pt idx="0">
                  <c:v>Cobertura escolar bruta para educación básica secundaria</c:v>
                </c:pt>
              </c:strCache>
            </c:strRef>
          </c:tx>
          <c:spPr>
            <a:ln w="22225" cap="rnd">
              <a:solidFill>
                <a:schemeClr val="accent5"/>
              </a:solidFill>
              <a:round/>
            </a:ln>
            <a:effectLst/>
          </c:spPr>
          <c:marker>
            <c:symbol val="diamond"/>
            <c:size val="6"/>
            <c:spPr>
              <a:solidFill>
                <a:schemeClr val="accent5"/>
              </a:solidFill>
              <a:ln w="9525">
                <a:solidFill>
                  <a:schemeClr val="accent5"/>
                </a:solidFill>
                <a:round/>
              </a:ln>
              <a:effectLst/>
            </c:spPr>
          </c:marker>
          <c:dLbls>
            <c:dLbl>
              <c:idx val="0"/>
              <c:layout>
                <c:manualLayout>
                  <c:x val="-4.3985200174000566E-2"/>
                  <c:y val="-5.3333333333333441E-2"/>
                </c:manualLayout>
              </c:layout>
              <c:dLblPos val="r"/>
              <c:showVal val="1"/>
              <c:extLst>
                <c:ext xmlns:c15="http://schemas.microsoft.com/office/drawing/2012/chart" uri="{CE6537A1-D6FC-4f65-9D91-7224C49458BB}"/>
              </c:extLst>
            </c:dLbl>
            <c:dLbl>
              <c:idx val="1"/>
              <c:layout>
                <c:manualLayout>
                  <c:x val="-4.3985200174000566E-2"/>
                  <c:y val="-5.3333333333333441E-2"/>
                </c:manualLayout>
              </c:layout>
              <c:dLblPos val="r"/>
              <c:showVal val="1"/>
              <c:extLst>
                <c:ext xmlns:c15="http://schemas.microsoft.com/office/drawing/2012/chart" uri="{CE6537A1-D6FC-4f65-9D91-7224C49458BB}"/>
              </c:extLst>
            </c:dLbl>
            <c:dLbl>
              <c:idx val="2"/>
              <c:layout>
                <c:manualLayout>
                  <c:x val="-3.9019340459537664E-2"/>
                  <c:y val="-8.2424242424242566E-2"/>
                </c:manualLayout>
              </c:layout>
              <c:dLblPos val="r"/>
              <c:showVal val="1"/>
              <c:extLst>
                <c:ext xmlns:c15="http://schemas.microsoft.com/office/drawing/2012/chart" uri="{CE6537A1-D6FC-4f65-9D91-7224C49458BB}"/>
              </c:extLst>
            </c:dLbl>
            <c:dLbl>
              <c:idx val="3"/>
              <c:layout>
                <c:manualLayout>
                  <c:x val="-4.3985200174000781E-2"/>
                  <c:y val="-5.8181818181818175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dLblPos val="ct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Hoja1!$D$2:$D$6</c:f>
              <c:strCache>
                <c:ptCount val="5"/>
                <c:pt idx="0">
                  <c:v>2011</c:v>
                </c:pt>
                <c:pt idx="1">
                  <c:v>2012</c:v>
                </c:pt>
                <c:pt idx="2">
                  <c:v>2013</c:v>
                </c:pt>
                <c:pt idx="3">
                  <c:v>2014</c:v>
                </c:pt>
                <c:pt idx="4">
                  <c:v>2015(*)</c:v>
                </c:pt>
              </c:strCache>
            </c:strRef>
          </c:cat>
          <c:val>
            <c:numRef>
              <c:f>Hoja1!$E$35:$E$38</c:f>
              <c:numCache>
                <c:formatCode>0%</c:formatCode>
                <c:ptCount val="4"/>
                <c:pt idx="0">
                  <c:v>0.92</c:v>
                </c:pt>
                <c:pt idx="1">
                  <c:v>0.9</c:v>
                </c:pt>
                <c:pt idx="2">
                  <c:v>0.9</c:v>
                </c:pt>
                <c:pt idx="3">
                  <c:v>0.9</c:v>
                </c:pt>
              </c:numCache>
            </c:numRef>
          </c:val>
        </c:ser>
        <c:dLbls>
          <c:showVal val="1"/>
        </c:dLbls>
        <c:marker val="1"/>
        <c:axId val="164915456"/>
        <c:axId val="179392512"/>
      </c:lineChart>
      <c:catAx>
        <c:axId val="1649154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mn-lt"/>
                <a:ea typeface="+mn-ea"/>
                <a:cs typeface="+mn-cs"/>
              </a:defRPr>
            </a:pPr>
            <a:endParaRPr lang="es-ES"/>
          </a:p>
        </c:txPr>
        <c:crossAx val="179392512"/>
        <c:crosses val="autoZero"/>
        <c:auto val="1"/>
        <c:lblAlgn val="ctr"/>
        <c:lblOffset val="100"/>
      </c:catAx>
      <c:valAx>
        <c:axId val="179392512"/>
        <c:scaling>
          <c:orientation val="minMax"/>
        </c:scaling>
        <c:axPos val="l"/>
        <c:numFmt formatCode="0%"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64915456"/>
        <c:crosses val="autoZero"/>
        <c:crossBetween val="between"/>
      </c:valAx>
      <c:spPr>
        <a:noFill/>
        <a:ln>
          <a:noFill/>
        </a:ln>
        <a:effectLst/>
      </c:spPr>
    </c:plotArea>
    <c:plotVisOnly val="1"/>
    <c:dispBlanksAs val="zero"/>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s-ES"/>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style val="7"/>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200" b="1" i="0" u="none" strike="noStrike" kern="1200" cap="all" spc="120" normalizeH="0" baseline="0">
              <a:solidFill>
                <a:sysClr val="windowText" lastClr="000000"/>
              </a:solidFill>
              <a:latin typeface="+mn-lt"/>
              <a:ea typeface="+mn-ea"/>
              <a:cs typeface="+mn-cs"/>
            </a:defRPr>
          </a:pPr>
          <a:endParaRPr lang="es-ES"/>
        </a:p>
      </c:txPr>
    </c:title>
    <c:plotArea>
      <c:layout>
        <c:manualLayout>
          <c:layoutTarget val="inner"/>
          <c:xMode val="edge"/>
          <c:yMode val="edge"/>
          <c:x val="2.432283029297955E-2"/>
          <c:y val="0.23658421859035172"/>
          <c:w val="0.95135433941404091"/>
          <c:h val="0.66172428516457427"/>
        </c:manualLayout>
      </c:layout>
      <c:lineChart>
        <c:grouping val="standard"/>
        <c:ser>
          <c:idx val="0"/>
          <c:order val="0"/>
          <c:tx>
            <c:strRef>
              <c:f>Hoja1!$B$39</c:f>
              <c:strCache>
                <c:ptCount val="1"/>
                <c:pt idx="0">
                  <c:v>Cobertura escolar bruta para educación media</c:v>
                </c:pt>
              </c:strCache>
            </c:strRef>
          </c:tx>
          <c:spPr>
            <a:ln w="22225" cap="rnd">
              <a:solidFill>
                <a:schemeClr val="accent5"/>
              </a:solidFill>
              <a:round/>
            </a:ln>
            <a:effectLst/>
          </c:spPr>
          <c:marker>
            <c:symbol val="diamond"/>
            <c:size val="6"/>
            <c:spPr>
              <a:solidFill>
                <a:schemeClr val="accent5"/>
              </a:solidFill>
              <a:ln w="9525">
                <a:solidFill>
                  <a:schemeClr val="accent5"/>
                </a:solidFill>
                <a:round/>
              </a:ln>
              <a:effectLst/>
            </c:spPr>
          </c:marker>
          <c:dLbls>
            <c:dLbl>
              <c:idx val="0"/>
              <c:layout>
                <c:manualLayout>
                  <c:x val="-4.3985200174000566E-2"/>
                  <c:y val="-5.3333333333333441E-2"/>
                </c:manualLayout>
              </c:layout>
              <c:dLblPos val="r"/>
              <c:showVal val="1"/>
              <c:extLst>
                <c:ext xmlns:c15="http://schemas.microsoft.com/office/drawing/2012/chart" uri="{CE6537A1-D6FC-4f65-9D91-7224C49458BB}"/>
              </c:extLst>
            </c:dLbl>
            <c:dLbl>
              <c:idx val="1"/>
              <c:layout>
                <c:manualLayout>
                  <c:x val="-4.3985200174000566E-2"/>
                  <c:y val="-5.3333333333333441E-2"/>
                </c:manualLayout>
              </c:layout>
              <c:dLblPos val="r"/>
              <c:showVal val="1"/>
              <c:extLst>
                <c:ext xmlns:c15="http://schemas.microsoft.com/office/drawing/2012/chart" uri="{CE6537A1-D6FC-4f65-9D91-7224C49458BB}"/>
              </c:extLst>
            </c:dLbl>
            <c:dLbl>
              <c:idx val="2"/>
              <c:layout>
                <c:manualLayout>
                  <c:x val="-3.9019340459537664E-2"/>
                  <c:y val="-8.2424242424242566E-2"/>
                </c:manualLayout>
              </c:layout>
              <c:dLblPos val="r"/>
              <c:showVal val="1"/>
              <c:extLst>
                <c:ext xmlns:c15="http://schemas.microsoft.com/office/drawing/2012/chart" uri="{CE6537A1-D6FC-4f65-9D91-7224C49458BB}"/>
              </c:extLst>
            </c:dLbl>
            <c:dLbl>
              <c:idx val="3"/>
              <c:layout>
                <c:manualLayout>
                  <c:x val="-4.3985200174000781E-2"/>
                  <c:y val="-5.8181818181818175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dLblPos val="ct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Hoja1!$D$2:$D$6</c:f>
              <c:strCache>
                <c:ptCount val="5"/>
                <c:pt idx="0">
                  <c:v>2011</c:v>
                </c:pt>
                <c:pt idx="1">
                  <c:v>2012</c:v>
                </c:pt>
                <c:pt idx="2">
                  <c:v>2013</c:v>
                </c:pt>
                <c:pt idx="3">
                  <c:v>2014</c:v>
                </c:pt>
                <c:pt idx="4">
                  <c:v>2015(*)</c:v>
                </c:pt>
              </c:strCache>
            </c:strRef>
          </c:cat>
          <c:val>
            <c:numRef>
              <c:f>Hoja1!$E$39:$E$42</c:f>
              <c:numCache>
                <c:formatCode>0%</c:formatCode>
                <c:ptCount val="4"/>
                <c:pt idx="0">
                  <c:v>0.69000000000000061</c:v>
                </c:pt>
                <c:pt idx="1">
                  <c:v>0.66000000000000092</c:v>
                </c:pt>
                <c:pt idx="2">
                  <c:v>0.66000000000000092</c:v>
                </c:pt>
                <c:pt idx="3">
                  <c:v>0.64562504084166505</c:v>
                </c:pt>
              </c:numCache>
            </c:numRef>
          </c:val>
        </c:ser>
        <c:dLbls>
          <c:showVal val="1"/>
        </c:dLbls>
        <c:marker val="1"/>
        <c:axId val="164991744"/>
        <c:axId val="164993280"/>
      </c:lineChart>
      <c:catAx>
        <c:axId val="1649917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mn-lt"/>
                <a:ea typeface="+mn-ea"/>
                <a:cs typeface="+mn-cs"/>
              </a:defRPr>
            </a:pPr>
            <a:endParaRPr lang="es-ES"/>
          </a:p>
        </c:txPr>
        <c:crossAx val="164993280"/>
        <c:crosses val="autoZero"/>
        <c:auto val="1"/>
        <c:lblAlgn val="ctr"/>
        <c:lblOffset val="100"/>
      </c:catAx>
      <c:valAx>
        <c:axId val="164993280"/>
        <c:scaling>
          <c:orientation val="minMax"/>
        </c:scaling>
        <c:axPos val="l"/>
        <c:numFmt formatCode="0%"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64991744"/>
        <c:crosses val="autoZero"/>
        <c:crossBetween val="between"/>
      </c:valAx>
      <c:spPr>
        <a:noFill/>
        <a:ln>
          <a:noFill/>
        </a:ln>
        <a:effectLst/>
      </c:spPr>
    </c:plotArea>
    <c:plotVisOnly val="1"/>
    <c:dispBlanksAs val="zero"/>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s-ES"/>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Hoja3!$B$6</c:f>
              <c:strCache>
                <c:ptCount val="1"/>
                <c:pt idx="0">
                  <c:v>Pasto</c:v>
                </c:pt>
              </c:strCache>
            </c:strRef>
          </c:tx>
          <c:dLbls>
            <c:spPr>
              <a:noFill/>
              <a:ln>
                <a:noFill/>
              </a:ln>
              <a:effectLst/>
            </c:spPr>
            <c:showVal val="1"/>
            <c:extLst>
              <c:ext xmlns:c15="http://schemas.microsoft.com/office/drawing/2012/chart" uri="{CE6537A1-D6FC-4f65-9D91-7224C49458BB}">
                <c15:showLeaderLines val="0"/>
              </c:ext>
            </c:extLst>
          </c:dLbls>
          <c:cat>
            <c:multiLvlStrRef>
              <c:f>Hoja3!$C$4:$H$5</c:f>
              <c:multiLvlStrCache>
                <c:ptCount val="6"/>
                <c:lvl>
                  <c:pt idx="0">
                    <c:v>2009</c:v>
                  </c:pt>
                  <c:pt idx="1">
                    <c:v>2012</c:v>
                  </c:pt>
                  <c:pt idx="2">
                    <c:v>2009</c:v>
                  </c:pt>
                  <c:pt idx="3">
                    <c:v>2012</c:v>
                  </c:pt>
                  <c:pt idx="4">
                    <c:v>2009</c:v>
                  </c:pt>
                  <c:pt idx="5">
                    <c:v>2012</c:v>
                  </c:pt>
                </c:lvl>
                <c:lvl>
                  <c:pt idx="0">
                    <c:v>Lenguaje</c:v>
                  </c:pt>
                  <c:pt idx="2">
                    <c:v>Matematicas</c:v>
                  </c:pt>
                  <c:pt idx="4">
                    <c:v>Ciencias Naturales</c:v>
                  </c:pt>
                </c:lvl>
              </c:multiLvlStrCache>
            </c:multiLvlStrRef>
          </c:cat>
          <c:val>
            <c:numRef>
              <c:f>Hoja3!$C$6:$H$6</c:f>
              <c:numCache>
                <c:formatCode>General</c:formatCode>
                <c:ptCount val="6"/>
                <c:pt idx="0">
                  <c:v>315</c:v>
                </c:pt>
                <c:pt idx="1">
                  <c:v>343</c:v>
                </c:pt>
                <c:pt idx="2">
                  <c:v>311</c:v>
                </c:pt>
                <c:pt idx="3">
                  <c:v>336</c:v>
                </c:pt>
                <c:pt idx="4">
                  <c:v>314</c:v>
                </c:pt>
                <c:pt idx="5">
                  <c:v>349</c:v>
                </c:pt>
              </c:numCache>
            </c:numRef>
          </c:val>
        </c:ser>
        <c:ser>
          <c:idx val="1"/>
          <c:order val="1"/>
          <c:tx>
            <c:strRef>
              <c:f>Hoja3!$B$7</c:f>
              <c:strCache>
                <c:ptCount val="1"/>
                <c:pt idx="0">
                  <c:v>Colombia</c:v>
                </c:pt>
              </c:strCache>
            </c:strRef>
          </c:tx>
          <c:dLbls>
            <c:spPr>
              <a:noFill/>
              <a:ln>
                <a:noFill/>
              </a:ln>
              <a:effectLst/>
            </c:spPr>
            <c:showVal val="1"/>
            <c:extLst>
              <c:ext xmlns:c15="http://schemas.microsoft.com/office/drawing/2012/chart" uri="{CE6537A1-D6FC-4f65-9D91-7224C49458BB}">
                <c15:showLeaderLines val="0"/>
              </c:ext>
            </c:extLst>
          </c:dLbls>
          <c:cat>
            <c:multiLvlStrRef>
              <c:f>Hoja3!$C$4:$H$5</c:f>
              <c:multiLvlStrCache>
                <c:ptCount val="6"/>
                <c:lvl>
                  <c:pt idx="0">
                    <c:v>2009</c:v>
                  </c:pt>
                  <c:pt idx="1">
                    <c:v>2012</c:v>
                  </c:pt>
                  <c:pt idx="2">
                    <c:v>2009</c:v>
                  </c:pt>
                  <c:pt idx="3">
                    <c:v>2012</c:v>
                  </c:pt>
                  <c:pt idx="4">
                    <c:v>2009</c:v>
                  </c:pt>
                  <c:pt idx="5">
                    <c:v>2012</c:v>
                  </c:pt>
                </c:lvl>
                <c:lvl>
                  <c:pt idx="0">
                    <c:v>Lenguaje</c:v>
                  </c:pt>
                  <c:pt idx="2">
                    <c:v>Matematicas</c:v>
                  </c:pt>
                  <c:pt idx="4">
                    <c:v>Ciencias Naturales</c:v>
                  </c:pt>
                </c:lvl>
              </c:multiLvlStrCache>
            </c:multiLvlStrRef>
          </c:cat>
          <c:val>
            <c:numRef>
              <c:f>Hoja3!$C$7:$H$7</c:f>
              <c:numCache>
                <c:formatCode>General</c:formatCode>
                <c:ptCount val="6"/>
                <c:pt idx="0">
                  <c:v>301</c:v>
                </c:pt>
                <c:pt idx="1">
                  <c:v>307</c:v>
                </c:pt>
                <c:pt idx="2">
                  <c:v>302</c:v>
                </c:pt>
                <c:pt idx="3">
                  <c:v>303</c:v>
                </c:pt>
                <c:pt idx="4">
                  <c:v>301</c:v>
                </c:pt>
                <c:pt idx="5">
                  <c:v>312</c:v>
                </c:pt>
              </c:numCache>
            </c:numRef>
          </c:val>
        </c:ser>
        <c:shape val="cylinder"/>
        <c:axId val="157460352"/>
        <c:axId val="157461888"/>
        <c:axId val="0"/>
      </c:bar3DChart>
      <c:catAx>
        <c:axId val="157460352"/>
        <c:scaling>
          <c:orientation val="minMax"/>
        </c:scaling>
        <c:axPos val="b"/>
        <c:numFmt formatCode="General" sourceLinked="1"/>
        <c:tickLblPos val="nextTo"/>
        <c:crossAx val="157461888"/>
        <c:crosses val="autoZero"/>
        <c:auto val="1"/>
        <c:lblAlgn val="ctr"/>
        <c:lblOffset val="100"/>
      </c:catAx>
      <c:valAx>
        <c:axId val="157461888"/>
        <c:scaling>
          <c:orientation val="minMax"/>
        </c:scaling>
        <c:axPos val="l"/>
        <c:majorGridlines/>
        <c:numFmt formatCode="General" sourceLinked="1"/>
        <c:tickLblPos val="nextTo"/>
        <c:crossAx val="157460352"/>
        <c:crosses val="autoZero"/>
        <c:crossBetween val="between"/>
      </c:valAx>
      <c:spPr>
        <a:noFill/>
        <a:ln w="25367">
          <a:noFill/>
        </a:ln>
      </c:spPr>
    </c:plotArea>
    <c:legend>
      <c:legendPos val="r"/>
    </c:legend>
    <c:plotVisOnly val="1"/>
    <c:dispBlanksAs val="gap"/>
  </c:chart>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a:pPr>
            <a:r>
              <a:rPr lang="es-CO"/>
              <a:t>Gráfico No. 6</a:t>
            </a:r>
          </a:p>
        </c:rich>
      </c:tx>
    </c:title>
    <c:plotArea>
      <c:layout/>
      <c:barChart>
        <c:barDir val="col"/>
        <c:grouping val="clustered"/>
        <c:ser>
          <c:idx val="0"/>
          <c:order val="0"/>
          <c:tx>
            <c:strRef>
              <c:f>Hoja1!$C$3</c:f>
              <c:strCache>
                <c:ptCount val="1"/>
                <c:pt idx="0">
                  <c:v>Pasto</c:v>
                </c:pt>
              </c:strCache>
            </c:strRef>
          </c:tx>
          <c:dLbls>
            <c:spPr>
              <a:noFill/>
              <a:ln>
                <a:noFill/>
              </a:ln>
              <a:effectLst/>
            </c:spPr>
            <c:showVal val="1"/>
            <c:extLst>
              <c:ext xmlns:c15="http://schemas.microsoft.com/office/drawing/2012/chart" uri="{CE6537A1-D6FC-4f65-9D91-7224C49458BB}">
                <c15:showLeaderLines val="0"/>
              </c:ext>
            </c:extLst>
          </c:dLbls>
          <c:cat>
            <c:strRef>
              <c:f>Hoja1!$B$4:$B$7</c:f>
              <c:strCache>
                <c:ptCount val="4"/>
                <c:pt idx="0">
                  <c:v>Insuficiente</c:v>
                </c:pt>
                <c:pt idx="1">
                  <c:v>Mínimo</c:v>
                </c:pt>
                <c:pt idx="2">
                  <c:v>Satisfactorio</c:v>
                </c:pt>
                <c:pt idx="3">
                  <c:v>Avanzado</c:v>
                </c:pt>
              </c:strCache>
            </c:strRef>
          </c:cat>
          <c:val>
            <c:numRef>
              <c:f>Hoja1!$C$4:$C$7</c:f>
              <c:numCache>
                <c:formatCode>0%</c:formatCode>
                <c:ptCount val="4"/>
                <c:pt idx="0">
                  <c:v>7.0000000000000021E-2</c:v>
                </c:pt>
                <c:pt idx="1">
                  <c:v>0.35000000000000031</c:v>
                </c:pt>
                <c:pt idx="2">
                  <c:v>0.5</c:v>
                </c:pt>
                <c:pt idx="3">
                  <c:v>8.0000000000000043E-2</c:v>
                </c:pt>
              </c:numCache>
            </c:numRef>
          </c:val>
        </c:ser>
        <c:ser>
          <c:idx val="1"/>
          <c:order val="1"/>
          <c:tx>
            <c:strRef>
              <c:f>Hoja1!$D$3</c:f>
              <c:strCache>
                <c:ptCount val="1"/>
                <c:pt idx="0">
                  <c:v>Colombia</c:v>
                </c:pt>
              </c:strCache>
            </c:strRef>
          </c:tx>
          <c:dLbls>
            <c:spPr>
              <a:noFill/>
              <a:ln>
                <a:noFill/>
              </a:ln>
              <a:effectLst/>
            </c:spPr>
            <c:showVal val="1"/>
            <c:extLst>
              <c:ext xmlns:c15="http://schemas.microsoft.com/office/drawing/2012/chart" uri="{CE6537A1-D6FC-4f65-9D91-7224C49458BB}">
                <c15:showLeaderLines val="0"/>
              </c:ext>
            </c:extLst>
          </c:dLbls>
          <c:cat>
            <c:strRef>
              <c:f>Hoja1!$B$4:$B$7</c:f>
              <c:strCache>
                <c:ptCount val="4"/>
                <c:pt idx="0">
                  <c:v>Insuficiente</c:v>
                </c:pt>
                <c:pt idx="1">
                  <c:v>Mínimo</c:v>
                </c:pt>
                <c:pt idx="2">
                  <c:v>Satisfactorio</c:v>
                </c:pt>
                <c:pt idx="3">
                  <c:v>Avanzado</c:v>
                </c:pt>
              </c:strCache>
            </c:strRef>
          </c:cat>
          <c:val>
            <c:numRef>
              <c:f>Hoja1!$D$4:$D$7</c:f>
              <c:numCache>
                <c:formatCode>0%</c:formatCode>
                <c:ptCount val="4"/>
                <c:pt idx="0">
                  <c:v>0.17</c:v>
                </c:pt>
                <c:pt idx="1">
                  <c:v>0.41000000000000031</c:v>
                </c:pt>
                <c:pt idx="2">
                  <c:v>0.37000000000000033</c:v>
                </c:pt>
                <c:pt idx="3">
                  <c:v>0.05</c:v>
                </c:pt>
              </c:numCache>
            </c:numRef>
          </c:val>
        </c:ser>
        <c:dLbls>
          <c:showVal val="1"/>
        </c:dLbls>
        <c:overlap val="-25"/>
        <c:axId val="159080832"/>
        <c:axId val="159082368"/>
      </c:barChart>
      <c:catAx>
        <c:axId val="159080832"/>
        <c:scaling>
          <c:orientation val="minMax"/>
        </c:scaling>
        <c:axPos val="b"/>
        <c:numFmt formatCode="General" sourceLinked="0"/>
        <c:majorTickMark val="none"/>
        <c:tickLblPos val="nextTo"/>
        <c:crossAx val="159082368"/>
        <c:crosses val="autoZero"/>
        <c:auto val="1"/>
        <c:lblAlgn val="ctr"/>
        <c:lblOffset val="100"/>
      </c:catAx>
      <c:valAx>
        <c:axId val="159082368"/>
        <c:scaling>
          <c:orientation val="minMax"/>
        </c:scaling>
        <c:delete val="1"/>
        <c:axPos val="l"/>
        <c:numFmt formatCode="0%" sourceLinked="1"/>
        <c:tickLblPos val="none"/>
        <c:crossAx val="159080832"/>
        <c:crosses val="autoZero"/>
        <c:crossBetween val="between"/>
      </c:valAx>
    </c:plotArea>
    <c:legend>
      <c:legendPos val="t"/>
    </c:legend>
    <c:plotVisOnly val="1"/>
    <c:dispBlanksAs val="gap"/>
  </c:chart>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style val="22"/>
  <c:clrMapOvr bg1="lt1" tx1="dk1" bg2="lt2" tx2="dk2" accent1="accent1" accent2="accent2" accent3="accent3" accent4="accent4" accent5="accent5" accent6="accent6" hlink="hlink" folHlink="folHlink"/>
  <c:chart>
    <c:title>
      <c:tx>
        <c:rich>
          <a:bodyPr/>
          <a:lstStyle/>
          <a:p>
            <a:pPr>
              <a:defRPr/>
            </a:pPr>
            <a:r>
              <a:rPr lang="es-CO"/>
              <a:t>Gráfica No. 7</a:t>
            </a:r>
          </a:p>
        </c:rich>
      </c:tx>
    </c:title>
    <c:view3D>
      <c:rAngAx val="1"/>
    </c:view3D>
    <c:plotArea>
      <c:layout/>
      <c:bar3DChart>
        <c:barDir val="col"/>
        <c:grouping val="clustered"/>
        <c:ser>
          <c:idx val="0"/>
          <c:order val="0"/>
          <c:tx>
            <c:strRef>
              <c:f>Hoja1!$C$22</c:f>
              <c:strCache>
                <c:ptCount val="1"/>
                <c:pt idx="0">
                  <c:v>Pasto</c:v>
                </c:pt>
              </c:strCache>
            </c:strRef>
          </c:tx>
          <c:dLbls>
            <c:spPr>
              <a:noFill/>
              <a:ln>
                <a:noFill/>
              </a:ln>
              <a:effectLst/>
            </c:spPr>
            <c:showVal val="1"/>
            <c:extLst>
              <c:ext xmlns:c15="http://schemas.microsoft.com/office/drawing/2012/chart" uri="{CE6537A1-D6FC-4f65-9D91-7224C49458BB}">
                <c15:showLeaderLines val="0"/>
              </c:ext>
            </c:extLst>
          </c:dLbls>
          <c:cat>
            <c:strRef>
              <c:f>Hoja1!$B$23:$B$26</c:f>
              <c:strCache>
                <c:ptCount val="4"/>
                <c:pt idx="0">
                  <c:v>Insuficiente</c:v>
                </c:pt>
                <c:pt idx="1">
                  <c:v>Mínimo</c:v>
                </c:pt>
                <c:pt idx="2">
                  <c:v>Satisfactorio</c:v>
                </c:pt>
                <c:pt idx="3">
                  <c:v>Avanzado</c:v>
                </c:pt>
              </c:strCache>
            </c:strRef>
          </c:cat>
          <c:val>
            <c:numRef>
              <c:f>Hoja1!$C$23:$C$26</c:f>
              <c:numCache>
                <c:formatCode>0%</c:formatCode>
                <c:ptCount val="4"/>
                <c:pt idx="0">
                  <c:v>0.1</c:v>
                </c:pt>
                <c:pt idx="1">
                  <c:v>0.53</c:v>
                </c:pt>
                <c:pt idx="2">
                  <c:v>0.3200000000000004</c:v>
                </c:pt>
                <c:pt idx="3">
                  <c:v>6.0000000000000032E-2</c:v>
                </c:pt>
              </c:numCache>
            </c:numRef>
          </c:val>
        </c:ser>
        <c:ser>
          <c:idx val="1"/>
          <c:order val="1"/>
          <c:tx>
            <c:strRef>
              <c:f>Hoja1!$D$22</c:f>
              <c:strCache>
                <c:ptCount val="1"/>
                <c:pt idx="0">
                  <c:v>Colombia</c:v>
                </c:pt>
              </c:strCache>
            </c:strRef>
          </c:tx>
          <c:dLbls>
            <c:spPr>
              <a:noFill/>
              <a:ln>
                <a:noFill/>
              </a:ln>
              <a:effectLst/>
            </c:spPr>
            <c:showVal val="1"/>
            <c:extLst>
              <c:ext xmlns:c15="http://schemas.microsoft.com/office/drawing/2012/chart" uri="{CE6537A1-D6FC-4f65-9D91-7224C49458BB}">
                <c15:showLeaderLines val="0"/>
              </c:ext>
            </c:extLst>
          </c:dLbls>
          <c:cat>
            <c:strRef>
              <c:f>Hoja1!$B$23:$B$26</c:f>
              <c:strCache>
                <c:ptCount val="4"/>
                <c:pt idx="0">
                  <c:v>Insuficiente</c:v>
                </c:pt>
                <c:pt idx="1">
                  <c:v>Mínimo</c:v>
                </c:pt>
                <c:pt idx="2">
                  <c:v>Satisfactorio</c:v>
                </c:pt>
                <c:pt idx="3">
                  <c:v>Avanzado</c:v>
                </c:pt>
              </c:strCache>
            </c:strRef>
          </c:cat>
          <c:val>
            <c:numRef>
              <c:f>Hoja1!$D$23:$D$26</c:f>
              <c:numCache>
                <c:formatCode>0%</c:formatCode>
                <c:ptCount val="4"/>
                <c:pt idx="0">
                  <c:v>0.21000000000000016</c:v>
                </c:pt>
                <c:pt idx="1">
                  <c:v>0.53</c:v>
                </c:pt>
                <c:pt idx="2">
                  <c:v>0.21000000000000016</c:v>
                </c:pt>
                <c:pt idx="3">
                  <c:v>0.05</c:v>
                </c:pt>
              </c:numCache>
            </c:numRef>
          </c:val>
        </c:ser>
        <c:dLbls>
          <c:showVal val="1"/>
        </c:dLbls>
        <c:shape val="cylinder"/>
        <c:axId val="179580288"/>
        <c:axId val="179836032"/>
        <c:axId val="0"/>
      </c:bar3DChart>
      <c:catAx>
        <c:axId val="179580288"/>
        <c:scaling>
          <c:orientation val="minMax"/>
        </c:scaling>
        <c:axPos val="b"/>
        <c:numFmt formatCode="General" sourceLinked="0"/>
        <c:majorTickMark val="none"/>
        <c:tickLblPos val="nextTo"/>
        <c:crossAx val="179836032"/>
        <c:crosses val="autoZero"/>
        <c:auto val="1"/>
        <c:lblAlgn val="ctr"/>
        <c:lblOffset val="100"/>
      </c:catAx>
      <c:valAx>
        <c:axId val="179836032"/>
        <c:scaling>
          <c:orientation val="minMax"/>
        </c:scaling>
        <c:delete val="1"/>
        <c:axPos val="l"/>
        <c:numFmt formatCode="0%" sourceLinked="1"/>
        <c:tickLblPos val="none"/>
        <c:crossAx val="179580288"/>
        <c:crosses val="autoZero"/>
        <c:crossBetween val="between"/>
      </c:valAx>
    </c:plotArea>
    <c:legend>
      <c:legendPos val="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MORTALIDAD EN</a:t>
            </a:r>
            <a:r>
              <a:rPr lang="en-US" sz="1000" b="0" baseline="0">
                <a:latin typeface="Century Gothic" pitchFamily="34" charset="0"/>
              </a:rPr>
              <a:t> NIÑOS, NIÑAS Y ADOLESCENTES POR MALARIA </a:t>
            </a:r>
            <a:r>
              <a:rPr lang="en-US" sz="1000" b="0">
                <a:latin typeface="Century Gothic" pitchFamily="34" charset="0"/>
              </a:rPr>
              <a:t>, MUNICIPIO DE PASTO, 2011-2014 </a:t>
            </a:r>
          </a:p>
          <a:p>
            <a:pPr>
              <a:defRPr lang="es-CO" sz="1000"/>
            </a:pPr>
            <a:r>
              <a:rPr lang="en-US" sz="1000" b="0">
                <a:latin typeface="Century Gothic" pitchFamily="34" charset="0"/>
              </a:rPr>
              <a:t> </a:t>
            </a:r>
          </a:p>
        </c:rich>
      </c:tx>
    </c:title>
    <c:plotArea>
      <c:layout>
        <c:manualLayout>
          <c:layoutTarget val="inner"/>
          <c:xMode val="edge"/>
          <c:yMode val="edge"/>
          <c:x val="0.35643190498661581"/>
          <c:y val="0.18822607845344599"/>
          <c:w val="0.62442101321642174"/>
          <c:h val="0.55900729085960621"/>
        </c:manualLayout>
      </c:layout>
      <c:lineChart>
        <c:grouping val="standard"/>
        <c:ser>
          <c:idx val="0"/>
          <c:order val="0"/>
          <c:tx>
            <c:strRef>
              <c:f>'MALARIA N.N.A'!$J$5</c:f>
              <c:strCache>
                <c:ptCount val="1"/>
                <c:pt idx="0">
                  <c:v>MORTALIDAD EN NIÑOS, NIÑAS Y ADOLESCENTES POR MALARIA</c:v>
                </c:pt>
              </c:strCache>
            </c:strRef>
          </c:tx>
          <c:cat>
            <c:numRef>
              <c:f>'MALARIA N.N.A'!$I$6:$I$9</c:f>
              <c:numCache>
                <c:formatCode>General</c:formatCode>
                <c:ptCount val="4"/>
                <c:pt idx="0">
                  <c:v>2011</c:v>
                </c:pt>
                <c:pt idx="1">
                  <c:v>2012</c:v>
                </c:pt>
                <c:pt idx="2">
                  <c:v>2013</c:v>
                </c:pt>
                <c:pt idx="3">
                  <c:v>2014</c:v>
                </c:pt>
              </c:numCache>
            </c:numRef>
          </c:cat>
          <c:val>
            <c:numRef>
              <c:f>'MALARIA N.N.A'!$J$6:$J$9</c:f>
              <c:numCache>
                <c:formatCode>General</c:formatCode>
                <c:ptCount val="4"/>
                <c:pt idx="0">
                  <c:v>0</c:v>
                </c:pt>
                <c:pt idx="1">
                  <c:v>0</c:v>
                </c:pt>
                <c:pt idx="2">
                  <c:v>0</c:v>
                </c:pt>
                <c:pt idx="3">
                  <c:v>0</c:v>
                </c:pt>
              </c:numCache>
            </c:numRef>
          </c:val>
        </c:ser>
        <c:marker val="1"/>
        <c:axId val="155573632"/>
        <c:axId val="155722880"/>
      </c:lineChart>
      <c:catAx>
        <c:axId val="155573632"/>
        <c:scaling>
          <c:orientation val="minMax"/>
        </c:scaling>
        <c:axPos val="b"/>
        <c:numFmt formatCode="General" sourceLinked="1"/>
        <c:majorTickMark val="none"/>
        <c:tickLblPos val="nextTo"/>
        <c:txPr>
          <a:bodyPr/>
          <a:lstStyle/>
          <a:p>
            <a:pPr>
              <a:defRPr lang="es-CO"/>
            </a:pPr>
            <a:endParaRPr lang="es-ES"/>
          </a:p>
        </c:txPr>
        <c:crossAx val="155722880"/>
        <c:crosses val="autoZero"/>
        <c:auto val="1"/>
        <c:lblAlgn val="ctr"/>
        <c:lblOffset val="100"/>
      </c:catAx>
      <c:valAx>
        <c:axId val="155722880"/>
        <c:scaling>
          <c:orientation val="minMax"/>
          <c:max val="10"/>
          <c:min val="0"/>
        </c:scaling>
        <c:axPos val="l"/>
        <c:title>
          <c:tx>
            <c:rich>
              <a:bodyPr/>
              <a:lstStyle/>
              <a:p>
                <a:pPr>
                  <a:defRPr lang="es-CO" sz="900"/>
                </a:pPr>
                <a:r>
                  <a:rPr lang="es-CO" sz="900"/>
                  <a:t>Número</a:t>
                </a:r>
                <a:r>
                  <a:rPr lang="es-CO" sz="900" baseline="0"/>
                  <a:t> de muertes por malaria</a:t>
                </a:r>
                <a:endParaRPr lang="es-CO" sz="900"/>
              </a:p>
            </c:rich>
          </c:tx>
          <c:layout>
            <c:manualLayout>
              <c:xMode val="edge"/>
              <c:yMode val="edge"/>
              <c:x val="0.27286447148651882"/>
              <c:y val="0.20094866157652999"/>
            </c:manualLayout>
          </c:layout>
        </c:title>
        <c:numFmt formatCode="General" sourceLinked="1"/>
        <c:majorTickMark val="none"/>
        <c:tickLblPos val="nextTo"/>
        <c:txPr>
          <a:bodyPr/>
          <a:lstStyle/>
          <a:p>
            <a:pPr>
              <a:defRPr lang="es-CO" sz="900">
                <a:latin typeface="Century Gothic" pitchFamily="34" charset="0"/>
              </a:defRPr>
            </a:pPr>
            <a:endParaRPr lang="es-ES"/>
          </a:p>
        </c:txPr>
        <c:crossAx val="155573632"/>
        <c:crosses val="autoZero"/>
        <c:crossBetween val="between"/>
      </c:valAx>
      <c:dTable>
        <c:showHorzBorder val="1"/>
        <c:showVertBorder val="1"/>
        <c:showOutline val="1"/>
        <c:showKeys val="1"/>
        <c:txPr>
          <a:bodyPr/>
          <a:lstStyle/>
          <a:p>
            <a:pPr rtl="0">
              <a:defRPr lang="es-CO">
                <a:latin typeface="Century Gothic" pitchFamily="34" charset="0"/>
              </a:defRPr>
            </a:pPr>
            <a:endParaRPr lang="es-ES"/>
          </a:p>
        </c:txPr>
      </c:dTable>
    </c:plotArea>
    <c:plotVisOnly val="1"/>
    <c:dispBlanksAs val="gap"/>
  </c:chart>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style val="40"/>
  <c:clrMapOvr bg1="lt1" tx1="dk1" bg2="lt2" tx2="dk2" accent1="accent1" accent2="accent2" accent3="accent3" accent4="accent4" accent5="accent5" accent6="accent6" hlink="hlink" folHlink="folHlink"/>
  <c:chart>
    <c:title>
      <c:tx>
        <c:rich>
          <a:bodyPr/>
          <a:lstStyle/>
          <a:p>
            <a:pPr>
              <a:defRPr/>
            </a:pPr>
            <a:r>
              <a:rPr lang="es-CO"/>
              <a:t>Gráfico No. 8</a:t>
            </a:r>
          </a:p>
        </c:rich>
      </c:tx>
    </c:title>
    <c:view3D>
      <c:rAngAx val="1"/>
    </c:view3D>
    <c:plotArea>
      <c:layout/>
      <c:bar3DChart>
        <c:barDir val="col"/>
        <c:grouping val="percentStacked"/>
        <c:ser>
          <c:idx val="0"/>
          <c:order val="0"/>
          <c:tx>
            <c:strRef>
              <c:f>Hoja1!$C$72</c:f>
              <c:strCache>
                <c:ptCount val="1"/>
                <c:pt idx="0">
                  <c:v>Pasto</c:v>
                </c:pt>
              </c:strCache>
            </c:strRef>
          </c:tx>
          <c:dLbls>
            <c:spPr>
              <a:noFill/>
              <a:ln>
                <a:noFill/>
              </a:ln>
              <a:effectLst/>
            </c:spPr>
            <c:showVal val="1"/>
            <c:extLst>
              <c:ext xmlns:c15="http://schemas.microsoft.com/office/drawing/2012/chart" uri="{CE6537A1-D6FC-4f65-9D91-7224C49458BB}">
                <c15:showLeaderLines val="0"/>
              </c:ext>
            </c:extLst>
          </c:dLbls>
          <c:cat>
            <c:strRef>
              <c:f>Hoja1!$B$73:$B$76</c:f>
              <c:strCache>
                <c:ptCount val="4"/>
                <c:pt idx="0">
                  <c:v>Insuficiente</c:v>
                </c:pt>
                <c:pt idx="1">
                  <c:v>Mínimo</c:v>
                </c:pt>
                <c:pt idx="2">
                  <c:v>Satisfactorio</c:v>
                </c:pt>
                <c:pt idx="3">
                  <c:v>Avanzado</c:v>
                </c:pt>
              </c:strCache>
            </c:strRef>
          </c:cat>
          <c:val>
            <c:numRef>
              <c:f>Hoja1!$C$73:$C$76</c:f>
              <c:numCache>
                <c:formatCode>0%</c:formatCode>
                <c:ptCount val="4"/>
                <c:pt idx="0">
                  <c:v>6.0000000000000032E-2</c:v>
                </c:pt>
                <c:pt idx="1">
                  <c:v>0.25</c:v>
                </c:pt>
                <c:pt idx="2">
                  <c:v>0.55000000000000004</c:v>
                </c:pt>
                <c:pt idx="3">
                  <c:v>0.14000000000000001</c:v>
                </c:pt>
              </c:numCache>
            </c:numRef>
          </c:val>
        </c:ser>
        <c:ser>
          <c:idx val="1"/>
          <c:order val="1"/>
          <c:tx>
            <c:strRef>
              <c:f>Hoja1!$D$72</c:f>
              <c:strCache>
                <c:ptCount val="1"/>
                <c:pt idx="0">
                  <c:v>Colombia</c:v>
                </c:pt>
              </c:strCache>
            </c:strRef>
          </c:tx>
          <c:dLbls>
            <c:spPr>
              <a:noFill/>
              <a:ln>
                <a:noFill/>
              </a:ln>
              <a:effectLst/>
            </c:spPr>
            <c:showVal val="1"/>
            <c:extLst>
              <c:ext xmlns:c15="http://schemas.microsoft.com/office/drawing/2012/chart" uri="{CE6537A1-D6FC-4f65-9D91-7224C49458BB}">
                <c15:showLeaderLines val="0"/>
              </c:ext>
            </c:extLst>
          </c:dLbls>
          <c:cat>
            <c:strRef>
              <c:f>Hoja1!$B$73:$B$76</c:f>
              <c:strCache>
                <c:ptCount val="4"/>
                <c:pt idx="0">
                  <c:v>Insuficiente</c:v>
                </c:pt>
                <c:pt idx="1">
                  <c:v>Mínimo</c:v>
                </c:pt>
                <c:pt idx="2">
                  <c:v>Satisfactorio</c:v>
                </c:pt>
                <c:pt idx="3">
                  <c:v>Avanzado</c:v>
                </c:pt>
              </c:strCache>
            </c:strRef>
          </c:cat>
          <c:val>
            <c:numRef>
              <c:f>Hoja1!$D$73:$D$76</c:f>
              <c:numCache>
                <c:formatCode>0%</c:formatCode>
                <c:ptCount val="4"/>
                <c:pt idx="0">
                  <c:v>0.15000000000000016</c:v>
                </c:pt>
                <c:pt idx="1">
                  <c:v>0.31000000000000033</c:v>
                </c:pt>
                <c:pt idx="2">
                  <c:v>0.45</c:v>
                </c:pt>
                <c:pt idx="3">
                  <c:v>0.1</c:v>
                </c:pt>
              </c:numCache>
            </c:numRef>
          </c:val>
        </c:ser>
        <c:dLbls>
          <c:showVal val="1"/>
        </c:dLbls>
        <c:gapWidth val="95"/>
        <c:gapDepth val="95"/>
        <c:shape val="pyramid"/>
        <c:axId val="179870336"/>
        <c:axId val="179884416"/>
        <c:axId val="0"/>
      </c:bar3DChart>
      <c:catAx>
        <c:axId val="179870336"/>
        <c:scaling>
          <c:orientation val="minMax"/>
        </c:scaling>
        <c:axPos val="b"/>
        <c:numFmt formatCode="General" sourceLinked="0"/>
        <c:majorTickMark val="none"/>
        <c:tickLblPos val="nextTo"/>
        <c:crossAx val="179884416"/>
        <c:crosses val="autoZero"/>
        <c:auto val="1"/>
        <c:lblAlgn val="ctr"/>
        <c:lblOffset val="100"/>
      </c:catAx>
      <c:valAx>
        <c:axId val="179884416"/>
        <c:scaling>
          <c:orientation val="minMax"/>
        </c:scaling>
        <c:delete val="1"/>
        <c:axPos val="l"/>
        <c:numFmt formatCode="0%" sourceLinked="1"/>
        <c:tickLblPos val="none"/>
        <c:crossAx val="179870336"/>
        <c:crosses val="autoZero"/>
        <c:crossBetween val="between"/>
      </c:valAx>
    </c:plotArea>
    <c:legend>
      <c:legendPos val="t"/>
    </c:legend>
    <c:plotVisOnly val="1"/>
    <c:dispBlanksAs val="gap"/>
  </c:chart>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plotArea>
      <c:layout/>
      <c:doughnutChart>
        <c:varyColors val="1"/>
        <c:ser>
          <c:idx val="0"/>
          <c:order val="0"/>
          <c:tx>
            <c:strRef>
              <c:f>'grafico de clasificación'!$C$3</c:f>
              <c:strCache>
                <c:ptCount val="1"/>
                <c:pt idx="0">
                  <c:v>No.  E.E. </c:v>
                </c:pt>
              </c:strCache>
            </c:strRef>
          </c:tx>
          <c:dLbls>
            <c:spPr>
              <a:noFill/>
              <a:ln>
                <a:noFill/>
              </a:ln>
              <a:effectLst/>
            </c:spPr>
            <c:showVal val="1"/>
            <c:extLst>
              <c:ext xmlns:c15="http://schemas.microsoft.com/office/drawing/2012/chart" uri="{CE6537A1-D6FC-4f65-9D91-7224C49458BB}"/>
            </c:extLst>
          </c:dLbls>
          <c:cat>
            <c:strRef>
              <c:f>'grafico de clasificación'!$B$4:$B$8</c:f>
              <c:strCache>
                <c:ptCount val="5"/>
                <c:pt idx="0">
                  <c:v>Muy superior</c:v>
                </c:pt>
                <c:pt idx="1">
                  <c:v>Superior</c:v>
                </c:pt>
                <c:pt idx="2">
                  <c:v>Alto</c:v>
                </c:pt>
                <c:pt idx="3">
                  <c:v>Medio </c:v>
                </c:pt>
                <c:pt idx="4">
                  <c:v>Bajo</c:v>
                </c:pt>
              </c:strCache>
            </c:strRef>
          </c:cat>
          <c:val>
            <c:numRef>
              <c:f>'grafico de clasificación'!$C$4:$C$8</c:f>
              <c:numCache>
                <c:formatCode>General</c:formatCode>
                <c:ptCount val="5"/>
                <c:pt idx="0">
                  <c:v>9</c:v>
                </c:pt>
                <c:pt idx="1">
                  <c:v>16</c:v>
                </c:pt>
                <c:pt idx="2">
                  <c:v>25</c:v>
                </c:pt>
                <c:pt idx="3">
                  <c:v>26</c:v>
                </c:pt>
                <c:pt idx="4">
                  <c:v>9</c:v>
                </c:pt>
              </c:numCache>
            </c:numRef>
          </c:val>
        </c:ser>
        <c:ser>
          <c:idx val="1"/>
          <c:order val="1"/>
          <c:tx>
            <c:strRef>
              <c:f>'grafico de clasificación'!$D$3</c:f>
              <c:strCache>
                <c:ptCount val="1"/>
                <c:pt idx="0">
                  <c:v>%</c:v>
                </c:pt>
              </c:strCache>
            </c:strRef>
          </c:tx>
          <c:dLbls>
            <c:spPr>
              <a:noFill/>
              <a:ln>
                <a:noFill/>
              </a:ln>
              <a:effectLst/>
            </c:spPr>
            <c:showVal val="1"/>
            <c:extLst>
              <c:ext xmlns:c15="http://schemas.microsoft.com/office/drawing/2012/chart" uri="{CE6537A1-D6FC-4f65-9D91-7224C49458BB}"/>
            </c:extLst>
          </c:dLbls>
          <c:cat>
            <c:strRef>
              <c:f>'grafico de clasificación'!$B$4:$B$8</c:f>
              <c:strCache>
                <c:ptCount val="5"/>
                <c:pt idx="0">
                  <c:v>Muy superior</c:v>
                </c:pt>
                <c:pt idx="1">
                  <c:v>Superior</c:v>
                </c:pt>
                <c:pt idx="2">
                  <c:v>Alto</c:v>
                </c:pt>
                <c:pt idx="3">
                  <c:v>Medio </c:v>
                </c:pt>
                <c:pt idx="4">
                  <c:v>Bajo</c:v>
                </c:pt>
              </c:strCache>
            </c:strRef>
          </c:cat>
          <c:val>
            <c:numRef>
              <c:f>'grafico de clasificación'!$D$4:$D$8</c:f>
              <c:numCache>
                <c:formatCode>0.00</c:formatCode>
                <c:ptCount val="5"/>
                <c:pt idx="0">
                  <c:v>10.58823529411765</c:v>
                </c:pt>
                <c:pt idx="1">
                  <c:v>18.823529411764689</c:v>
                </c:pt>
                <c:pt idx="2">
                  <c:v>29.411764705882355</c:v>
                </c:pt>
                <c:pt idx="3">
                  <c:v>30.588235294117617</c:v>
                </c:pt>
                <c:pt idx="4">
                  <c:v>10.58823529411765</c:v>
                </c:pt>
              </c:numCache>
            </c:numRef>
          </c:val>
        </c:ser>
        <c:firstSliceAng val="0"/>
        <c:holeSize val="50"/>
      </c:doughnutChart>
      <c:spPr>
        <a:noFill/>
        <a:ln w="25400">
          <a:noFill/>
        </a:ln>
      </c:spPr>
    </c:plotArea>
    <c:legend>
      <c:legendPos val="r"/>
    </c:legend>
    <c:plotVisOnly val="1"/>
    <c:dispBlanksAs val="zero"/>
  </c:chart>
  <c:spPr>
    <a:ln>
      <a:solidFill>
        <a:schemeClr val="accent1">
          <a:alpha val="97000"/>
        </a:schemeClr>
      </a:solid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'grafico de clasificación'!$C$31</c:f>
              <c:strCache>
                <c:ptCount val="1"/>
                <c:pt idx="0">
                  <c:v>% E.E. oficiales</c:v>
                </c:pt>
              </c:strCache>
            </c:strRef>
          </c:tx>
          <c:dLbls>
            <c:spPr>
              <a:noFill/>
              <a:ln>
                <a:noFill/>
              </a:ln>
              <a:effectLst/>
            </c:spPr>
            <c:showVal val="1"/>
            <c:extLst>
              <c:ext xmlns:c15="http://schemas.microsoft.com/office/drawing/2012/chart" uri="{CE6537A1-D6FC-4f65-9D91-7224C49458BB}">
                <c15:showLeaderLines val="0"/>
              </c:ext>
            </c:extLst>
          </c:dLbls>
          <c:cat>
            <c:strRef>
              <c:f>'grafico de clasificación'!$B$32:$B$36</c:f>
              <c:strCache>
                <c:ptCount val="5"/>
                <c:pt idx="0">
                  <c:v>Muy superior</c:v>
                </c:pt>
                <c:pt idx="1">
                  <c:v>Superior</c:v>
                </c:pt>
                <c:pt idx="2">
                  <c:v>Alto</c:v>
                </c:pt>
                <c:pt idx="3">
                  <c:v>Medio </c:v>
                </c:pt>
                <c:pt idx="4">
                  <c:v>Bajo</c:v>
                </c:pt>
              </c:strCache>
            </c:strRef>
          </c:cat>
          <c:val>
            <c:numRef>
              <c:f>'grafico de clasificación'!$C$32:$C$36</c:f>
              <c:numCache>
                <c:formatCode>0.00</c:formatCode>
                <c:ptCount val="5"/>
                <c:pt idx="0">
                  <c:v>3.3899999999999997</c:v>
                </c:pt>
                <c:pt idx="1">
                  <c:v>13.56</c:v>
                </c:pt>
                <c:pt idx="2">
                  <c:v>35.590000000000003</c:v>
                </c:pt>
                <c:pt idx="3">
                  <c:v>32.200000000000003</c:v>
                </c:pt>
                <c:pt idx="4">
                  <c:v>15.25</c:v>
                </c:pt>
              </c:numCache>
            </c:numRef>
          </c:val>
        </c:ser>
        <c:ser>
          <c:idx val="1"/>
          <c:order val="1"/>
          <c:tx>
            <c:strRef>
              <c:f>'grafico de clasificación'!$D$31</c:f>
              <c:strCache>
                <c:ptCount val="1"/>
                <c:pt idx="0">
                  <c:v>% E.E.  No oficiales</c:v>
                </c:pt>
              </c:strCache>
            </c:strRef>
          </c:tx>
          <c:dLbls>
            <c:spPr>
              <a:noFill/>
              <a:ln>
                <a:noFill/>
              </a:ln>
              <a:effectLst/>
            </c:spPr>
            <c:showVal val="1"/>
            <c:extLst>
              <c:ext xmlns:c15="http://schemas.microsoft.com/office/drawing/2012/chart" uri="{CE6537A1-D6FC-4f65-9D91-7224C49458BB}">
                <c15:showLeaderLines val="0"/>
              </c:ext>
            </c:extLst>
          </c:dLbls>
          <c:cat>
            <c:strRef>
              <c:f>'grafico de clasificación'!$B$32:$B$36</c:f>
              <c:strCache>
                <c:ptCount val="5"/>
                <c:pt idx="0">
                  <c:v>Muy superior</c:v>
                </c:pt>
                <c:pt idx="1">
                  <c:v>Superior</c:v>
                </c:pt>
                <c:pt idx="2">
                  <c:v>Alto</c:v>
                </c:pt>
                <c:pt idx="3">
                  <c:v>Medio </c:v>
                </c:pt>
                <c:pt idx="4">
                  <c:v>Bajo</c:v>
                </c:pt>
              </c:strCache>
            </c:strRef>
          </c:cat>
          <c:val>
            <c:numRef>
              <c:f>'grafico de clasificación'!$D$32:$D$36</c:f>
              <c:numCache>
                <c:formatCode>0.00</c:formatCode>
                <c:ptCount val="5"/>
                <c:pt idx="0">
                  <c:v>26.919999999999987</c:v>
                </c:pt>
                <c:pt idx="1">
                  <c:v>30.77</c:v>
                </c:pt>
                <c:pt idx="2">
                  <c:v>15.38</c:v>
                </c:pt>
                <c:pt idx="3">
                  <c:v>26.919999999999987</c:v>
                </c:pt>
                <c:pt idx="4">
                  <c:v>0</c:v>
                </c:pt>
              </c:numCache>
            </c:numRef>
          </c:val>
        </c:ser>
        <c:shape val="box"/>
        <c:axId val="179462912"/>
        <c:axId val="179464448"/>
        <c:axId val="0"/>
      </c:bar3DChart>
      <c:catAx>
        <c:axId val="179462912"/>
        <c:scaling>
          <c:orientation val="minMax"/>
        </c:scaling>
        <c:axPos val="b"/>
        <c:numFmt formatCode="General" sourceLinked="1"/>
        <c:tickLblPos val="nextTo"/>
        <c:crossAx val="179464448"/>
        <c:crosses val="autoZero"/>
        <c:auto val="1"/>
        <c:lblAlgn val="ctr"/>
        <c:lblOffset val="100"/>
      </c:catAx>
      <c:valAx>
        <c:axId val="179464448"/>
        <c:scaling>
          <c:orientation val="minMax"/>
        </c:scaling>
        <c:axPos val="l"/>
        <c:majorGridlines/>
        <c:numFmt formatCode="0.00" sourceLinked="1"/>
        <c:tickLblPos val="nextTo"/>
        <c:crossAx val="179462912"/>
        <c:crosses val="autoZero"/>
        <c:crossBetween val="between"/>
      </c:valAx>
      <c:spPr>
        <a:noFill/>
        <a:ln w="25400">
          <a:noFill/>
        </a:ln>
      </c:spPr>
    </c:plotArea>
    <c:legend>
      <c:legendPos val="r"/>
    </c:legend>
    <c:plotVisOnly val="1"/>
    <c:dispBlanksAs val="gap"/>
  </c:chart>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violencia contra niños, niñas  y adolescentes</a:t>
            </a:r>
            <a:r>
              <a:rPr lang="es-CO" sz="1600">
                <a:effectLst/>
              </a:rPr>
              <a:t>(0 a 17 Años)</a:t>
            </a:r>
          </a:p>
        </c:rich>
      </c:tx>
      <c:spPr>
        <a:noFill/>
        <a:ln>
          <a:noFill/>
        </a:ln>
        <a:effectLst/>
      </c:spPr>
    </c:title>
    <c:plotArea>
      <c:layout>
        <c:manualLayout>
          <c:layoutTarget val="inner"/>
          <c:xMode val="edge"/>
          <c:yMode val="edge"/>
          <c:x val="3.0555555555555582E-2"/>
          <c:y val="0.39405251386378326"/>
          <c:w val="0.93888888888888966"/>
          <c:h val="0.5145664184972985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'0-17'!$C$23</c:f>
              <c:numCache>
                <c:formatCode>0</c:formatCode>
                <c:ptCount val="1"/>
                <c:pt idx="0">
                  <c:v>1631.8011479531328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'0-17'!$E$23</c:f>
              <c:numCache>
                <c:formatCode>0</c:formatCode>
                <c:ptCount val="1"/>
                <c:pt idx="0">
                  <c:v>1869.0102199069472</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'0-17'!$G$23</c:f>
              <c:numCache>
                <c:formatCode>0</c:formatCode>
                <c:ptCount val="1"/>
                <c:pt idx="0">
                  <c:v>1784.1270349698498</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'0-17'!$I$23</c:f>
              <c:numCache>
                <c:formatCode>0</c:formatCode>
                <c:ptCount val="1"/>
                <c:pt idx="0">
                  <c:v>1316.702434931339</c:v>
                </c:pt>
              </c:numCache>
            </c:numRef>
          </c:val>
        </c:ser>
        <c:dLbls>
          <c:showVal val="1"/>
        </c:dLbls>
        <c:overlap val="-25"/>
        <c:axId val="180435584"/>
        <c:axId val="180597120"/>
      </c:barChart>
      <c:catAx>
        <c:axId val="180435584"/>
        <c:scaling>
          <c:orientation val="minMax"/>
        </c:scaling>
        <c:delete val="1"/>
        <c:axPos val="b"/>
        <c:numFmt formatCode="General" sourceLinked="1"/>
        <c:majorTickMark val="none"/>
        <c:tickLblPos val="none"/>
        <c:crossAx val="180597120"/>
        <c:crosses val="autoZero"/>
        <c:auto val="1"/>
        <c:lblAlgn val="ctr"/>
        <c:lblOffset val="100"/>
      </c:catAx>
      <c:valAx>
        <c:axId val="180597120"/>
        <c:scaling>
          <c:orientation val="minMax"/>
        </c:scaling>
        <c:delete val="1"/>
        <c:axPos val="l"/>
        <c:numFmt formatCode="0" sourceLinked="1"/>
        <c:majorTickMark val="none"/>
        <c:tickLblPos val="none"/>
        <c:crossAx val="180435584"/>
        <c:crosses val="autoZero"/>
        <c:crossBetween val="between"/>
      </c:valAx>
      <c:spPr>
        <a:noFill/>
        <a:ln>
          <a:noFill/>
        </a:ln>
        <a:effectLst/>
      </c:spPr>
    </c:plotArea>
    <c:legend>
      <c:legendPos val="t"/>
      <c:layout>
        <c:manualLayout>
          <c:xMode val="edge"/>
          <c:yMode val="edge"/>
          <c:x val="0.29304527559055132"/>
          <c:y val="0.9075229020496951"/>
          <c:w val="0.37502034120734989"/>
          <c:h val="8.754925089616715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violencia de pareja cuando la víctima es menor de 18 años</a:t>
            </a:r>
            <a:r>
              <a:rPr lang="es-CO" sz="1400">
                <a:effectLst/>
              </a:rPr>
              <a:t>(0 a 17 Años)</a:t>
            </a:r>
          </a:p>
        </c:rich>
      </c:tx>
      <c:spPr>
        <a:noFill/>
        <a:ln>
          <a:noFill/>
        </a:ln>
        <a:effectLst/>
      </c:spPr>
    </c:title>
    <c:plotArea>
      <c:layout>
        <c:manualLayout>
          <c:layoutTarget val="inner"/>
          <c:xMode val="edge"/>
          <c:yMode val="edge"/>
          <c:x val="3.0555555555555582E-2"/>
          <c:y val="0.39405251386378326"/>
          <c:w val="0.93888888888888966"/>
          <c:h val="0.5145664184972985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'0-17'!$C$22</c:f>
              <c:numCache>
                <c:formatCode>0</c:formatCode>
                <c:ptCount val="1"/>
                <c:pt idx="0">
                  <c:v>19.765033284316015</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'0-17'!$E$22</c:f>
              <c:numCache>
                <c:formatCode>0</c:formatCode>
                <c:ptCount val="1"/>
                <c:pt idx="0">
                  <c:v>34.198910406808047</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'0-17'!$G$22</c:f>
              <c:numCache>
                <c:formatCode>0</c:formatCode>
                <c:ptCount val="1"/>
                <c:pt idx="0">
                  <c:v>140.93642646081432</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'0-17'!$I$22</c:f>
              <c:numCache>
                <c:formatCode>0</c:formatCode>
                <c:ptCount val="1"/>
                <c:pt idx="0">
                  <c:v>22.590482952253389</c:v>
                </c:pt>
              </c:numCache>
            </c:numRef>
          </c:val>
        </c:ser>
        <c:dLbls>
          <c:showVal val="1"/>
        </c:dLbls>
        <c:overlap val="-25"/>
        <c:axId val="180396032"/>
        <c:axId val="180397568"/>
      </c:barChart>
      <c:catAx>
        <c:axId val="180396032"/>
        <c:scaling>
          <c:orientation val="minMax"/>
        </c:scaling>
        <c:delete val="1"/>
        <c:axPos val="b"/>
        <c:numFmt formatCode="General" sourceLinked="1"/>
        <c:majorTickMark val="none"/>
        <c:tickLblPos val="none"/>
        <c:crossAx val="180397568"/>
        <c:crosses val="autoZero"/>
        <c:auto val="1"/>
        <c:lblAlgn val="ctr"/>
        <c:lblOffset val="100"/>
      </c:catAx>
      <c:valAx>
        <c:axId val="180397568"/>
        <c:scaling>
          <c:orientation val="minMax"/>
        </c:scaling>
        <c:delete val="1"/>
        <c:axPos val="l"/>
        <c:numFmt formatCode="0" sourceLinked="1"/>
        <c:majorTickMark val="none"/>
        <c:tickLblPos val="none"/>
        <c:crossAx val="180396032"/>
        <c:crosses val="autoZero"/>
        <c:crossBetween val="between"/>
      </c:valAx>
      <c:spPr>
        <a:noFill/>
        <a:ln>
          <a:noFill/>
        </a:ln>
        <a:effectLst/>
      </c:spPr>
    </c:plotArea>
    <c:legend>
      <c:legendPos val="t"/>
      <c:layout>
        <c:manualLayout>
          <c:xMode val="edge"/>
          <c:yMode val="edge"/>
          <c:x val="0.29304527559055132"/>
          <c:y val="0.9075229020496951"/>
          <c:w val="0.37502034120734989"/>
          <c:h val="8.754925089616715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violencia interpersonal contra niños, niñas  y adolescentes</a:t>
            </a:r>
            <a:r>
              <a:rPr lang="es-CO" sz="1600">
                <a:effectLst/>
              </a:rPr>
              <a:t>(0 a 17 Años)</a:t>
            </a:r>
          </a:p>
        </c:rich>
      </c:tx>
      <c:spPr>
        <a:noFill/>
        <a:ln>
          <a:noFill/>
        </a:ln>
        <a:effectLst/>
      </c:spPr>
    </c:title>
    <c:plotArea>
      <c:layout>
        <c:manualLayout>
          <c:layoutTarget val="inner"/>
          <c:xMode val="edge"/>
          <c:yMode val="edge"/>
          <c:x val="3.0555555555555582E-2"/>
          <c:y val="0.39405251386378326"/>
          <c:w val="0.93888888888888966"/>
          <c:h val="0.5145664184972985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'0-17'!$C$15</c:f>
              <c:numCache>
                <c:formatCode>0</c:formatCode>
                <c:ptCount val="1"/>
                <c:pt idx="0">
                  <c:v>747.9088594785195</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'0-17'!$E$15</c:f>
              <c:numCache>
                <c:formatCode>0</c:formatCode>
                <c:ptCount val="1"/>
                <c:pt idx="0">
                  <c:v>250.52690181731447</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'0-17'!$G$15</c:f>
              <c:numCache>
                <c:formatCode>0</c:formatCode>
                <c:ptCount val="1"/>
                <c:pt idx="0">
                  <c:v>320.31006013821377</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'0-17'!$I$15</c:f>
              <c:numCache>
                <c:formatCode>0</c:formatCode>
                <c:ptCount val="1"/>
                <c:pt idx="0">
                  <c:v>226.71163248511448</c:v>
                </c:pt>
              </c:numCache>
            </c:numRef>
          </c:val>
        </c:ser>
        <c:dLbls>
          <c:showVal val="1"/>
        </c:dLbls>
        <c:overlap val="-25"/>
        <c:axId val="180290688"/>
        <c:axId val="180292224"/>
      </c:barChart>
      <c:catAx>
        <c:axId val="180290688"/>
        <c:scaling>
          <c:orientation val="minMax"/>
        </c:scaling>
        <c:delete val="1"/>
        <c:axPos val="b"/>
        <c:numFmt formatCode="General" sourceLinked="1"/>
        <c:majorTickMark val="none"/>
        <c:tickLblPos val="none"/>
        <c:crossAx val="180292224"/>
        <c:crosses val="autoZero"/>
        <c:auto val="1"/>
        <c:lblAlgn val="ctr"/>
        <c:lblOffset val="100"/>
      </c:catAx>
      <c:valAx>
        <c:axId val="180292224"/>
        <c:scaling>
          <c:orientation val="minMax"/>
        </c:scaling>
        <c:delete val="1"/>
        <c:axPos val="l"/>
        <c:numFmt formatCode="0" sourceLinked="1"/>
        <c:majorTickMark val="none"/>
        <c:tickLblPos val="none"/>
        <c:crossAx val="180290688"/>
        <c:crosses val="autoZero"/>
        <c:crossBetween val="between"/>
      </c:valAx>
      <c:spPr>
        <a:noFill/>
        <a:ln>
          <a:noFill/>
        </a:ln>
        <a:effectLst/>
      </c:spPr>
    </c:plotArea>
    <c:legend>
      <c:legendPos val="t"/>
      <c:layout>
        <c:manualLayout>
          <c:xMode val="edge"/>
          <c:yMode val="edge"/>
          <c:x val="0.29304527559055132"/>
          <c:y val="0.9075229020496951"/>
          <c:w val="0.37502034120734989"/>
          <c:h val="8.754925089616715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100"/>
            </a:pPr>
            <a:r>
              <a:rPr lang="en-US" sz="1100" b="0" i="0" baseline="0">
                <a:effectLst/>
                <a:latin typeface="Century Gothic" pitchFamily="34" charset="0"/>
              </a:rPr>
              <a:t>TASA DE FECUNDIDAD ESPECÍFICA, MUNICIPIO DE PASTO, 2011- 2014 </a:t>
            </a:r>
            <a:endParaRPr lang="es-CO" sz="1100">
              <a:effectLst/>
              <a:latin typeface="Century Gothic" pitchFamily="34" charset="0"/>
            </a:endParaRPr>
          </a:p>
        </c:rich>
      </c:tx>
    </c:title>
    <c:plotArea>
      <c:layout/>
      <c:lineChart>
        <c:grouping val="standard"/>
        <c:ser>
          <c:idx val="0"/>
          <c:order val="0"/>
          <c:tx>
            <c:strRef>
              <c:f>TEF!$J$32</c:f>
              <c:strCache>
                <c:ptCount val="1"/>
                <c:pt idx="0">
                  <c:v>2011</c:v>
                </c:pt>
              </c:strCache>
            </c:strRef>
          </c:tx>
          <c:cat>
            <c:strRef>
              <c:f>TEF!$K$31:$R$31</c:f>
              <c:strCache>
                <c:ptCount val="8"/>
                <c:pt idx="0">
                  <c:v>10-14</c:v>
                </c:pt>
                <c:pt idx="1">
                  <c:v>15-19</c:v>
                </c:pt>
                <c:pt idx="2">
                  <c:v>20-24</c:v>
                </c:pt>
                <c:pt idx="3">
                  <c:v>25-29</c:v>
                </c:pt>
                <c:pt idx="4">
                  <c:v>30-34</c:v>
                </c:pt>
                <c:pt idx="5">
                  <c:v>35-39</c:v>
                </c:pt>
                <c:pt idx="6">
                  <c:v>40-44</c:v>
                </c:pt>
                <c:pt idx="7">
                  <c:v>45-49</c:v>
                </c:pt>
              </c:strCache>
            </c:strRef>
          </c:cat>
          <c:val>
            <c:numRef>
              <c:f>TEF!$K$32:$R$32</c:f>
              <c:numCache>
                <c:formatCode>0.0</c:formatCode>
                <c:ptCount val="8"/>
                <c:pt idx="0">
                  <c:v>1.8480384391995361</c:v>
                </c:pt>
                <c:pt idx="1">
                  <c:v>56.96584242557158</c:v>
                </c:pt>
                <c:pt idx="2">
                  <c:v>75.119409465914174</c:v>
                </c:pt>
                <c:pt idx="3">
                  <c:v>54.700328407224958</c:v>
                </c:pt>
                <c:pt idx="4">
                  <c:v>44.652302210344637</c:v>
                </c:pt>
                <c:pt idx="5">
                  <c:v>23.370310357721529</c:v>
                </c:pt>
                <c:pt idx="6">
                  <c:v>7.7475434618291814</c:v>
                </c:pt>
                <c:pt idx="7">
                  <c:v>0.5616005616005616</c:v>
                </c:pt>
              </c:numCache>
            </c:numRef>
          </c:val>
        </c:ser>
        <c:ser>
          <c:idx val="1"/>
          <c:order val="1"/>
          <c:tx>
            <c:strRef>
              <c:f>TEF!$J$33</c:f>
              <c:strCache>
                <c:ptCount val="1"/>
                <c:pt idx="0">
                  <c:v>2012</c:v>
                </c:pt>
              </c:strCache>
            </c:strRef>
          </c:tx>
          <c:spPr>
            <a:ln>
              <a:solidFill>
                <a:schemeClr val="accent3"/>
              </a:solidFill>
            </a:ln>
          </c:spPr>
          <c:marker>
            <c:symbol val="diamond"/>
            <c:size val="5"/>
            <c:spPr>
              <a:solidFill>
                <a:schemeClr val="accent3"/>
              </a:solidFill>
              <a:ln>
                <a:solidFill>
                  <a:schemeClr val="accent3"/>
                </a:solidFill>
              </a:ln>
            </c:spPr>
          </c:marker>
          <c:cat>
            <c:strRef>
              <c:f>TEF!$K$31:$R$31</c:f>
              <c:strCache>
                <c:ptCount val="8"/>
                <c:pt idx="0">
                  <c:v>10-14</c:v>
                </c:pt>
                <c:pt idx="1">
                  <c:v>15-19</c:v>
                </c:pt>
                <c:pt idx="2">
                  <c:v>20-24</c:v>
                </c:pt>
                <c:pt idx="3">
                  <c:v>25-29</c:v>
                </c:pt>
                <c:pt idx="4">
                  <c:v>30-34</c:v>
                </c:pt>
                <c:pt idx="5">
                  <c:v>35-39</c:v>
                </c:pt>
                <c:pt idx="6">
                  <c:v>40-44</c:v>
                </c:pt>
                <c:pt idx="7">
                  <c:v>45-49</c:v>
                </c:pt>
              </c:strCache>
            </c:strRef>
          </c:cat>
          <c:val>
            <c:numRef>
              <c:f>TEF!$K$33:$R$33</c:f>
              <c:numCache>
                <c:formatCode>0.0</c:formatCode>
                <c:ptCount val="8"/>
                <c:pt idx="0">
                  <c:v>1.5954900813699922</c:v>
                </c:pt>
                <c:pt idx="1">
                  <c:v>56.539583108327029</c:v>
                </c:pt>
                <c:pt idx="2">
                  <c:v>74.262573195424707</c:v>
                </c:pt>
                <c:pt idx="3">
                  <c:v>55.041628122109159</c:v>
                </c:pt>
                <c:pt idx="4">
                  <c:v>43.678285343147913</c:v>
                </c:pt>
                <c:pt idx="5">
                  <c:v>23.585482097030429</c:v>
                </c:pt>
                <c:pt idx="6">
                  <c:v>6.5963060686015815</c:v>
                </c:pt>
                <c:pt idx="7">
                  <c:v>0.74434970902693198</c:v>
                </c:pt>
              </c:numCache>
            </c:numRef>
          </c:val>
        </c:ser>
        <c:ser>
          <c:idx val="2"/>
          <c:order val="2"/>
          <c:tx>
            <c:strRef>
              <c:f>TEF!$J$34</c:f>
              <c:strCache>
                <c:ptCount val="1"/>
                <c:pt idx="0">
                  <c:v>2013</c:v>
                </c:pt>
              </c:strCache>
            </c:strRef>
          </c:tx>
          <c:spPr>
            <a:ln>
              <a:solidFill>
                <a:schemeClr val="accent6"/>
              </a:solidFill>
            </a:ln>
          </c:spPr>
          <c:marker>
            <c:symbol val="diamond"/>
            <c:size val="5"/>
            <c:spPr>
              <a:solidFill>
                <a:schemeClr val="accent6"/>
              </a:solidFill>
              <a:ln>
                <a:solidFill>
                  <a:schemeClr val="accent6"/>
                </a:solidFill>
              </a:ln>
            </c:spPr>
          </c:marker>
          <c:cat>
            <c:strRef>
              <c:f>TEF!$K$31:$R$31</c:f>
              <c:strCache>
                <c:ptCount val="8"/>
                <c:pt idx="0">
                  <c:v>10-14</c:v>
                </c:pt>
                <c:pt idx="1">
                  <c:v>15-19</c:v>
                </c:pt>
                <c:pt idx="2">
                  <c:v>20-24</c:v>
                </c:pt>
                <c:pt idx="3">
                  <c:v>25-29</c:v>
                </c:pt>
                <c:pt idx="4">
                  <c:v>30-34</c:v>
                </c:pt>
                <c:pt idx="5">
                  <c:v>35-39</c:v>
                </c:pt>
                <c:pt idx="6">
                  <c:v>40-44</c:v>
                </c:pt>
                <c:pt idx="7">
                  <c:v>45-49</c:v>
                </c:pt>
              </c:strCache>
            </c:strRef>
          </c:cat>
          <c:val>
            <c:numRef>
              <c:f>TEF!$K$34:$R$34</c:f>
              <c:numCache>
                <c:formatCode>0.0</c:formatCode>
                <c:ptCount val="8"/>
                <c:pt idx="0">
                  <c:v>1.9403869994071041</c:v>
                </c:pt>
                <c:pt idx="1">
                  <c:v>56.611789697291421</c:v>
                </c:pt>
                <c:pt idx="2">
                  <c:v>73.558538732394055</c:v>
                </c:pt>
                <c:pt idx="3">
                  <c:v>53.018155485439401</c:v>
                </c:pt>
                <c:pt idx="4">
                  <c:v>41.780966448617846</c:v>
                </c:pt>
                <c:pt idx="5">
                  <c:v>23.911747167561089</c:v>
                </c:pt>
                <c:pt idx="6">
                  <c:v>8.0432323740103069</c:v>
                </c:pt>
                <c:pt idx="7">
                  <c:v>0.58958401572223806</c:v>
                </c:pt>
              </c:numCache>
            </c:numRef>
          </c:val>
        </c:ser>
        <c:ser>
          <c:idx val="3"/>
          <c:order val="3"/>
          <c:tx>
            <c:strRef>
              <c:f>TEF!$J$35</c:f>
              <c:strCache>
                <c:ptCount val="1"/>
                <c:pt idx="0">
                  <c:v>2014</c:v>
                </c:pt>
              </c:strCache>
            </c:strRef>
          </c:tx>
          <c:spPr>
            <a:ln>
              <a:solidFill>
                <a:schemeClr val="accent2"/>
              </a:solidFill>
            </a:ln>
          </c:spPr>
          <c:marker>
            <c:symbol val="diamond"/>
            <c:size val="5"/>
            <c:spPr>
              <a:solidFill>
                <a:schemeClr val="accent2"/>
              </a:solidFill>
              <a:ln>
                <a:solidFill>
                  <a:schemeClr val="accent2"/>
                </a:solidFill>
              </a:ln>
            </c:spPr>
          </c:marker>
          <c:cat>
            <c:strRef>
              <c:f>TEF!$K$31:$R$31</c:f>
              <c:strCache>
                <c:ptCount val="8"/>
                <c:pt idx="0">
                  <c:v>10-14</c:v>
                </c:pt>
                <c:pt idx="1">
                  <c:v>15-19</c:v>
                </c:pt>
                <c:pt idx="2">
                  <c:v>20-24</c:v>
                </c:pt>
                <c:pt idx="3">
                  <c:v>25-29</c:v>
                </c:pt>
                <c:pt idx="4">
                  <c:v>30-34</c:v>
                </c:pt>
                <c:pt idx="5">
                  <c:v>35-39</c:v>
                </c:pt>
                <c:pt idx="6">
                  <c:v>40-44</c:v>
                </c:pt>
                <c:pt idx="7">
                  <c:v>45-49</c:v>
                </c:pt>
              </c:strCache>
            </c:strRef>
          </c:cat>
          <c:val>
            <c:numRef>
              <c:f>TEF!$K$35:$R$35</c:f>
              <c:numCache>
                <c:formatCode>0.0</c:formatCode>
                <c:ptCount val="8"/>
                <c:pt idx="0">
                  <c:v>1.9187544542514121</c:v>
                </c:pt>
                <c:pt idx="1">
                  <c:v>51.267281105990776</c:v>
                </c:pt>
                <c:pt idx="2">
                  <c:v>75.593239002367497</c:v>
                </c:pt>
                <c:pt idx="3">
                  <c:v>61.629181234671059</c:v>
                </c:pt>
                <c:pt idx="4">
                  <c:v>44.503023724608454</c:v>
                </c:pt>
                <c:pt idx="5">
                  <c:v>27.39090064995359</c:v>
                </c:pt>
                <c:pt idx="6">
                  <c:v>5.9617194854094864</c:v>
                </c:pt>
                <c:pt idx="7">
                  <c:v>0.57467594661899213</c:v>
                </c:pt>
              </c:numCache>
            </c:numRef>
          </c:val>
        </c:ser>
        <c:marker val="1"/>
        <c:axId val="180748672"/>
        <c:axId val="180750592"/>
      </c:lineChart>
      <c:catAx>
        <c:axId val="180748672"/>
        <c:scaling>
          <c:orientation val="minMax"/>
        </c:scaling>
        <c:axPos val="b"/>
        <c:numFmt formatCode="General" sourceLinked="0"/>
        <c:majorTickMark val="none"/>
        <c:tickLblPos val="nextTo"/>
        <c:txPr>
          <a:bodyPr/>
          <a:lstStyle/>
          <a:p>
            <a:pPr>
              <a:defRPr lang="es-CO"/>
            </a:pPr>
            <a:endParaRPr lang="es-ES"/>
          </a:p>
        </c:txPr>
        <c:crossAx val="180750592"/>
        <c:crosses val="autoZero"/>
        <c:auto val="1"/>
        <c:lblAlgn val="ctr"/>
        <c:lblOffset val="100"/>
      </c:catAx>
      <c:valAx>
        <c:axId val="180750592"/>
        <c:scaling>
          <c:orientation val="minMax"/>
          <c:max val="100"/>
        </c:scaling>
        <c:axPos val="l"/>
        <c:title>
          <c:tx>
            <c:rich>
              <a:bodyPr/>
              <a:lstStyle/>
              <a:p>
                <a:pPr>
                  <a:defRPr lang="es-CO" sz="900"/>
                </a:pPr>
                <a:r>
                  <a:rPr lang="es-CO" sz="900"/>
                  <a:t>Tasa</a:t>
                </a:r>
                <a:r>
                  <a:rPr lang="es-CO" sz="900" baseline="0"/>
                  <a:t> de fecundidad especÍfica</a:t>
                </a:r>
              </a:p>
              <a:p>
                <a:pPr>
                  <a:defRPr lang="es-CO" sz="900"/>
                </a:pPr>
                <a:r>
                  <a:rPr lang="es-CO" sz="900" baseline="0"/>
                  <a:t> por 1.000 MEF</a:t>
                </a:r>
                <a:endParaRPr lang="es-CO" sz="900"/>
              </a:p>
            </c:rich>
          </c:tx>
        </c:title>
        <c:numFmt formatCode="0.0" sourceLinked="1"/>
        <c:majorTickMark val="none"/>
        <c:tickLblPos val="nextTo"/>
        <c:txPr>
          <a:bodyPr/>
          <a:lstStyle/>
          <a:p>
            <a:pPr>
              <a:defRPr lang="es-CO">
                <a:latin typeface="Century Gothic" pitchFamily="34" charset="0"/>
              </a:defRPr>
            </a:pPr>
            <a:endParaRPr lang="es-ES"/>
          </a:p>
        </c:txPr>
        <c:crossAx val="180748672"/>
        <c:crosses val="autoZero"/>
        <c:crossBetween val="between"/>
        <c:majorUnit val="10"/>
        <c:minorUnit val="2"/>
      </c:valAx>
      <c:dTable>
        <c:showHorzBorder val="1"/>
        <c:showVertBorder val="1"/>
        <c:showOutline val="1"/>
        <c:showKeys val="1"/>
        <c:txPr>
          <a:bodyPr/>
          <a:lstStyle/>
          <a:p>
            <a:pPr rtl="0">
              <a:defRPr lang="es-CO" sz="900" b="1"/>
            </a:pPr>
            <a:endParaRPr lang="es-ES"/>
          </a:p>
        </c:txPr>
      </c:dTable>
    </c:plotArea>
    <c:plotVisOnly val="1"/>
    <c:dispBlanksAs val="gap"/>
  </c:chart>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600" b="0" i="0" u="none" strike="noStrike" kern="1200" spc="0" baseline="0">
                <a:solidFill>
                  <a:schemeClr val="tx1">
                    <a:lumMod val="65000"/>
                    <a:lumOff val="35000"/>
                  </a:schemeClr>
                </a:solidFill>
                <a:latin typeface="+mn-lt"/>
                <a:ea typeface="+mn-ea"/>
                <a:cs typeface="+mn-cs"/>
              </a:defRPr>
            </a:pPr>
            <a:r>
              <a:rPr lang="es-CO" sz="1600" b="0" i="0" u="none" strike="noStrike" baseline="0">
                <a:effectLst/>
              </a:rPr>
              <a:t>Tasa de muertes por causa externa (18 - 28 años)</a:t>
            </a:r>
            <a:endParaRPr lang="es-CO" sz="1600"/>
          </a:p>
        </c:rich>
      </c:tx>
      <c:spPr>
        <a:noFill/>
        <a:ln>
          <a:noFill/>
        </a:ln>
        <a:effectLst/>
      </c:spPr>
    </c:title>
    <c:plotArea>
      <c:layout>
        <c:manualLayout>
          <c:layoutTarget val="inner"/>
          <c:xMode val="edge"/>
          <c:yMode val="edge"/>
          <c:x val="3.0555555555555582E-2"/>
          <c:y val="0.27761628754738998"/>
          <c:w val="0.93888888888888966"/>
          <c:h val="0.60664297171186932"/>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'18-28'!$C$11</c:f>
              <c:numCache>
                <c:formatCode>0</c:formatCode>
                <c:ptCount val="1"/>
                <c:pt idx="0">
                  <c:v>84.648406796057699</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'18-28'!$E$11</c:f>
              <c:numCache>
                <c:formatCode>0</c:formatCode>
                <c:ptCount val="1"/>
                <c:pt idx="0">
                  <c:v>77.244309266903343</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'18-28'!$G$11</c:f>
              <c:numCache>
                <c:formatCode>0</c:formatCode>
                <c:ptCount val="1"/>
                <c:pt idx="0">
                  <c:v>91.559646290629559</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'18-28'!$I$11</c:f>
              <c:numCache>
                <c:formatCode>0</c:formatCode>
                <c:ptCount val="1"/>
                <c:pt idx="0">
                  <c:v>72.113651114155815</c:v>
                </c:pt>
              </c:numCache>
            </c:numRef>
          </c:val>
        </c:ser>
        <c:dLbls>
          <c:showVal val="1"/>
        </c:dLbls>
        <c:overlap val="-25"/>
        <c:axId val="180809088"/>
        <c:axId val="180823168"/>
      </c:barChart>
      <c:catAx>
        <c:axId val="180809088"/>
        <c:scaling>
          <c:orientation val="minMax"/>
        </c:scaling>
        <c:delete val="1"/>
        <c:axPos val="b"/>
        <c:numFmt formatCode="General" sourceLinked="1"/>
        <c:majorTickMark val="none"/>
        <c:tickLblPos val="none"/>
        <c:crossAx val="180823168"/>
        <c:crosses val="autoZero"/>
        <c:auto val="1"/>
        <c:lblAlgn val="ctr"/>
        <c:lblOffset val="100"/>
      </c:catAx>
      <c:valAx>
        <c:axId val="180823168"/>
        <c:scaling>
          <c:orientation val="minMax"/>
        </c:scaling>
        <c:delete val="1"/>
        <c:axPos val="l"/>
        <c:numFmt formatCode="0" sourceLinked="1"/>
        <c:majorTickMark val="none"/>
        <c:tickLblPos val="none"/>
        <c:crossAx val="180809088"/>
        <c:crosses val="autoZero"/>
        <c:crossBetween val="between"/>
      </c:valAx>
      <c:spPr>
        <a:noFill/>
        <a:ln>
          <a:noFill/>
        </a:ln>
        <a:effectLst/>
      </c:spPr>
    </c:plotArea>
    <c:legend>
      <c:legendPos val="t"/>
      <c:layout>
        <c:manualLayout>
          <c:xMode val="edge"/>
          <c:yMode val="edge"/>
          <c:x val="0.30415638670166267"/>
          <c:y val="0.90319444444444463"/>
          <c:w val="0.37502034120734989"/>
          <c:h val="7.8125546806649168E-2"/>
        </c:manualLayout>
      </c:layout>
      <c:spPr>
        <a:noFill/>
        <a:ln>
          <a:noFill/>
        </a:ln>
        <a:effectLst/>
      </c:spPr>
      <c:txPr>
        <a:bodyPr rot="0" spcFirstLastPara="1" vertOverflow="ellipsis" vert="horz" wrap="square" anchor="ctr" anchorCtr="1"/>
        <a:lstStyle/>
        <a:p>
          <a:pPr>
            <a:defRPr lang="es-CO" sz="12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Homicidios (18 - 28 años)</a:t>
            </a:r>
            <a:endParaRPr lang="es-CO"/>
          </a:p>
        </c:rich>
      </c:tx>
      <c:spPr>
        <a:noFill/>
        <a:ln>
          <a:noFill/>
        </a:ln>
        <a:effectLst/>
      </c:spPr>
    </c:title>
    <c:plotArea>
      <c:layout>
        <c:manualLayout>
          <c:layoutTarget val="inner"/>
          <c:xMode val="edge"/>
          <c:yMode val="edge"/>
          <c:x val="2.5462962962962982E-2"/>
          <c:y val="0.27761628754738998"/>
          <c:w val="0.9490740740740754"/>
          <c:h val="0.620531860600758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'18-28'!$C$6</c:f>
              <c:numCache>
                <c:formatCode>0</c:formatCode>
                <c:ptCount val="1"/>
                <c:pt idx="0">
                  <c:v>51.99830703186408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'18-28'!$E$6</c:f>
              <c:numCache>
                <c:formatCode>0</c:formatCode>
                <c:ptCount val="1"/>
                <c:pt idx="0">
                  <c:v>41.03603929804234</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'18-28'!$G$6</c:f>
              <c:numCache>
                <c:formatCode>0</c:formatCode>
                <c:ptCount val="1"/>
                <c:pt idx="0">
                  <c:v>50.598751897453212</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'18-28'!$I$6</c:f>
              <c:numCache>
                <c:formatCode>0</c:formatCode>
                <c:ptCount val="1"/>
                <c:pt idx="0">
                  <c:v>32.451143001370099</c:v>
                </c:pt>
              </c:numCache>
            </c:numRef>
          </c:val>
        </c:ser>
        <c:dLbls>
          <c:showVal val="1"/>
        </c:dLbls>
        <c:overlap val="-25"/>
        <c:axId val="180876032"/>
        <c:axId val="180877568"/>
      </c:barChart>
      <c:catAx>
        <c:axId val="180876032"/>
        <c:scaling>
          <c:orientation val="minMax"/>
        </c:scaling>
        <c:delete val="1"/>
        <c:axPos val="b"/>
        <c:numFmt formatCode="General" sourceLinked="1"/>
        <c:majorTickMark val="none"/>
        <c:tickLblPos val="none"/>
        <c:crossAx val="180877568"/>
        <c:crosses val="autoZero"/>
        <c:auto val="1"/>
        <c:lblAlgn val="ctr"/>
        <c:lblOffset val="100"/>
      </c:catAx>
      <c:valAx>
        <c:axId val="180877568"/>
        <c:scaling>
          <c:orientation val="minMax"/>
        </c:scaling>
        <c:delete val="1"/>
        <c:axPos val="l"/>
        <c:numFmt formatCode="0" sourceLinked="1"/>
        <c:majorTickMark val="none"/>
        <c:tickLblPos val="none"/>
        <c:crossAx val="180876032"/>
        <c:crosses val="autoZero"/>
        <c:crossBetween val="between"/>
      </c:valAx>
      <c:spPr>
        <a:noFill/>
        <a:ln>
          <a:noFill/>
        </a:ln>
        <a:effectLst/>
      </c:spPr>
    </c:plotArea>
    <c:legend>
      <c:legendPos val="t"/>
      <c:layout>
        <c:manualLayout>
          <c:xMode val="edge"/>
          <c:yMode val="edge"/>
          <c:x val="0.3437414333624963"/>
          <c:y val="0.92171296296296168"/>
          <c:w val="0.31251695100612431"/>
          <c:h val="7.8125546806649168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suicidios (18 - 28 años)</a:t>
            </a:r>
            <a:endParaRPr lang="es-CO"/>
          </a:p>
        </c:rich>
      </c:tx>
      <c:spPr>
        <a:noFill/>
        <a:ln>
          <a:noFill/>
        </a:ln>
        <a:effectLst/>
      </c:spPr>
    </c:title>
    <c:plotArea>
      <c:layout>
        <c:manualLayout>
          <c:layoutTarget val="inner"/>
          <c:xMode val="edge"/>
          <c:yMode val="edge"/>
          <c:x val="2.5462962962962982E-2"/>
          <c:y val="0.27761628754738998"/>
          <c:w val="0.9490740740740754"/>
          <c:h val="0.55108741615631374"/>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'18-28'!$C$8</c:f>
              <c:numCache>
                <c:formatCode>0</c:formatCode>
                <c:ptCount val="1"/>
                <c:pt idx="0">
                  <c:v>16.92968135921156</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'18-28'!$E$8</c:f>
              <c:numCache>
                <c:formatCode>0</c:formatCode>
                <c:ptCount val="1"/>
                <c:pt idx="0">
                  <c:v>20.518019649021145</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'18-28'!$G$8</c:f>
              <c:numCache>
                <c:formatCode>0</c:formatCode>
                <c:ptCount val="1"/>
                <c:pt idx="0">
                  <c:v>10.842589692311412</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'18-28'!$I$8</c:f>
              <c:numCache>
                <c:formatCode>0</c:formatCode>
                <c:ptCount val="1"/>
                <c:pt idx="0">
                  <c:v>13.220836037595262</c:v>
                </c:pt>
              </c:numCache>
            </c:numRef>
          </c:val>
        </c:ser>
        <c:dLbls>
          <c:showVal val="1"/>
        </c:dLbls>
        <c:overlap val="-25"/>
        <c:axId val="181004160"/>
        <c:axId val="181005696"/>
      </c:barChart>
      <c:catAx>
        <c:axId val="181004160"/>
        <c:scaling>
          <c:orientation val="minMax"/>
        </c:scaling>
        <c:delete val="1"/>
        <c:axPos val="b"/>
        <c:numFmt formatCode="General" sourceLinked="1"/>
        <c:majorTickMark val="none"/>
        <c:tickLblPos val="none"/>
        <c:crossAx val="181005696"/>
        <c:crosses val="autoZero"/>
        <c:auto val="1"/>
        <c:lblAlgn val="ctr"/>
        <c:lblOffset val="100"/>
      </c:catAx>
      <c:valAx>
        <c:axId val="181005696"/>
        <c:scaling>
          <c:orientation val="minMax"/>
        </c:scaling>
        <c:delete val="1"/>
        <c:axPos val="l"/>
        <c:numFmt formatCode="0" sourceLinked="1"/>
        <c:majorTickMark val="none"/>
        <c:tickLblPos val="none"/>
        <c:crossAx val="181004160"/>
        <c:crosses val="autoZero"/>
        <c:crossBetween val="between"/>
      </c:valAx>
      <c:spPr>
        <a:noFill/>
        <a:ln>
          <a:noFill/>
        </a:ln>
        <a:effectLst/>
      </c:spPr>
    </c:plotArea>
    <c:legend>
      <c:legendPos val="t"/>
      <c:layout>
        <c:manualLayout>
          <c:xMode val="edge"/>
          <c:yMode val="edge"/>
          <c:x val="0.26040810002916298"/>
          <c:y val="0.8800462962962966"/>
          <c:w val="0.38427621026538389"/>
          <c:h val="7.8125546806649168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MORTALIDAD EN</a:t>
            </a:r>
            <a:r>
              <a:rPr lang="en-US" sz="1000" b="0" baseline="0">
                <a:latin typeface="Century Gothic" pitchFamily="34" charset="0"/>
              </a:rPr>
              <a:t> NIÑOS, NIÑAS Y ADOLESCENTES POR DENGUE </a:t>
            </a:r>
            <a:r>
              <a:rPr lang="en-US" sz="1000" b="0">
                <a:latin typeface="Century Gothic" pitchFamily="34" charset="0"/>
              </a:rPr>
              <a:t>, MUNICIPIO DE PASTO, 2011-2014 </a:t>
            </a:r>
          </a:p>
          <a:p>
            <a:pPr>
              <a:defRPr lang="es-CO" sz="1000"/>
            </a:pPr>
            <a:r>
              <a:rPr lang="en-US" sz="1000" b="0">
                <a:latin typeface="Century Gothic" pitchFamily="34" charset="0"/>
              </a:rPr>
              <a:t> </a:t>
            </a:r>
          </a:p>
        </c:rich>
      </c:tx>
    </c:title>
    <c:plotArea>
      <c:layout>
        <c:manualLayout>
          <c:layoutTarget val="inner"/>
          <c:xMode val="edge"/>
          <c:yMode val="edge"/>
          <c:x val="0.35643190498661581"/>
          <c:y val="0.17629548840178794"/>
          <c:w val="0.62442101321642174"/>
          <c:h val="0.59195506510695139"/>
        </c:manualLayout>
      </c:layout>
      <c:lineChart>
        <c:grouping val="standard"/>
        <c:ser>
          <c:idx val="1"/>
          <c:order val="0"/>
          <c:tx>
            <c:strRef>
              <c:f>'DENGUE N.N.A'!$G$4</c:f>
              <c:strCache>
                <c:ptCount val="1"/>
                <c:pt idx="0">
                  <c:v>MORTALIDAD EN NIÑOS, NIÑAS Y ADOLESCENTES POR DENGUE</c:v>
                </c:pt>
              </c:strCache>
            </c:strRef>
          </c:tx>
          <c:spPr>
            <a:ln>
              <a:solidFill>
                <a:schemeClr val="accent1"/>
              </a:solidFill>
            </a:ln>
          </c:spPr>
          <c:marker>
            <c:symbol val="diamond"/>
            <c:size val="5"/>
            <c:spPr>
              <a:solidFill>
                <a:schemeClr val="accent1"/>
              </a:solidFill>
              <a:ln>
                <a:solidFill>
                  <a:schemeClr val="accent1"/>
                </a:solidFill>
              </a:ln>
            </c:spPr>
          </c:marker>
          <c:cat>
            <c:numRef>
              <c:f>'DENGUE N.N.A'!$F$5:$F$8</c:f>
              <c:numCache>
                <c:formatCode>General</c:formatCode>
                <c:ptCount val="4"/>
                <c:pt idx="0">
                  <c:v>2011</c:v>
                </c:pt>
                <c:pt idx="1">
                  <c:v>2012</c:v>
                </c:pt>
                <c:pt idx="2">
                  <c:v>2013</c:v>
                </c:pt>
                <c:pt idx="3">
                  <c:v>2014</c:v>
                </c:pt>
              </c:numCache>
            </c:numRef>
          </c:cat>
          <c:val>
            <c:numRef>
              <c:f>'DENGUE N.N.A'!$G$5:$G$8</c:f>
              <c:numCache>
                <c:formatCode>General</c:formatCode>
                <c:ptCount val="4"/>
                <c:pt idx="0">
                  <c:v>0</c:v>
                </c:pt>
                <c:pt idx="1">
                  <c:v>0</c:v>
                </c:pt>
                <c:pt idx="2">
                  <c:v>0</c:v>
                </c:pt>
                <c:pt idx="3">
                  <c:v>0</c:v>
                </c:pt>
              </c:numCache>
            </c:numRef>
          </c:val>
        </c:ser>
        <c:marker val="1"/>
        <c:axId val="155570176"/>
        <c:axId val="155594752"/>
      </c:lineChart>
      <c:catAx>
        <c:axId val="155570176"/>
        <c:scaling>
          <c:orientation val="minMax"/>
        </c:scaling>
        <c:axPos val="b"/>
        <c:numFmt formatCode="General" sourceLinked="1"/>
        <c:majorTickMark val="none"/>
        <c:tickLblPos val="nextTo"/>
        <c:txPr>
          <a:bodyPr/>
          <a:lstStyle/>
          <a:p>
            <a:pPr>
              <a:defRPr lang="es-CO"/>
            </a:pPr>
            <a:endParaRPr lang="es-ES"/>
          </a:p>
        </c:txPr>
        <c:crossAx val="155594752"/>
        <c:crosses val="autoZero"/>
        <c:auto val="1"/>
        <c:lblAlgn val="ctr"/>
        <c:lblOffset val="100"/>
      </c:catAx>
      <c:valAx>
        <c:axId val="155594752"/>
        <c:scaling>
          <c:orientation val="minMax"/>
          <c:max val="10"/>
          <c:min val="0"/>
        </c:scaling>
        <c:axPos val="l"/>
        <c:title>
          <c:tx>
            <c:rich>
              <a:bodyPr/>
              <a:lstStyle/>
              <a:p>
                <a:pPr>
                  <a:defRPr lang="es-CO" sz="800"/>
                </a:pPr>
                <a:r>
                  <a:rPr lang="es-CO" sz="800"/>
                  <a:t>Número</a:t>
                </a:r>
                <a:r>
                  <a:rPr lang="es-CO" sz="800" baseline="0"/>
                  <a:t> de muertes por dengue</a:t>
                </a:r>
                <a:endParaRPr lang="es-CO" sz="800"/>
              </a:p>
            </c:rich>
          </c:tx>
          <c:layout>
            <c:manualLayout>
              <c:xMode val="edge"/>
              <c:yMode val="edge"/>
              <c:x val="0.25929021570925431"/>
              <c:y val="0.19990523249627626"/>
            </c:manualLayout>
          </c:layout>
        </c:title>
        <c:numFmt formatCode="General" sourceLinked="1"/>
        <c:majorTickMark val="none"/>
        <c:tickLblPos val="nextTo"/>
        <c:txPr>
          <a:bodyPr/>
          <a:lstStyle/>
          <a:p>
            <a:pPr>
              <a:defRPr lang="es-CO" sz="900">
                <a:latin typeface="Century Gothic" pitchFamily="34" charset="0"/>
              </a:defRPr>
            </a:pPr>
            <a:endParaRPr lang="es-ES"/>
          </a:p>
        </c:txPr>
        <c:crossAx val="155570176"/>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Otros accidentes en el total de muertes  por causa externa (18 -28 años)</a:t>
            </a:r>
            <a:endParaRPr lang="es-CO"/>
          </a:p>
        </c:rich>
      </c:tx>
      <c:spPr>
        <a:noFill/>
        <a:ln>
          <a:noFill/>
        </a:ln>
        <a:effectLst/>
      </c:spPr>
    </c:title>
    <c:plotArea>
      <c:layout>
        <c:manualLayout>
          <c:layoutTarget val="inner"/>
          <c:xMode val="edge"/>
          <c:yMode val="edge"/>
          <c:x val="3.0555555555555582E-2"/>
          <c:y val="0.29719362002826571"/>
          <c:w val="0.93888888888888966"/>
          <c:h val="0.578649834762558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'18-28'!$C$9</c:f>
              <c:numCache>
                <c:formatCode>0</c:formatCode>
                <c:ptCount val="1"/>
                <c:pt idx="0">
                  <c:v>9.674103633835168</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'18-28'!$E$9</c:f>
              <c:numCache>
                <c:formatCode>0</c:formatCode>
                <c:ptCount val="1"/>
                <c:pt idx="0">
                  <c:v>3.6208269968860889</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'18-28'!$G$9</c:f>
              <c:numCache>
                <c:formatCode>0</c:formatCode>
                <c:ptCount val="1"/>
                <c:pt idx="0">
                  <c:v>7.2283931282075997</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'18-28'!$I$9</c:f>
              <c:numCache>
                <c:formatCode>0</c:formatCode>
                <c:ptCount val="1"/>
                <c:pt idx="0">
                  <c:v>8.4132592966515229</c:v>
                </c:pt>
              </c:numCache>
            </c:numRef>
          </c:val>
        </c:ser>
        <c:dLbls>
          <c:showVal val="1"/>
        </c:dLbls>
        <c:overlap val="-25"/>
        <c:axId val="181144576"/>
        <c:axId val="181170944"/>
      </c:barChart>
      <c:catAx>
        <c:axId val="181144576"/>
        <c:scaling>
          <c:orientation val="minMax"/>
        </c:scaling>
        <c:delete val="1"/>
        <c:axPos val="b"/>
        <c:numFmt formatCode="General" sourceLinked="1"/>
        <c:majorTickMark val="none"/>
        <c:tickLblPos val="none"/>
        <c:crossAx val="181170944"/>
        <c:crosses val="autoZero"/>
        <c:auto val="1"/>
        <c:lblAlgn val="ctr"/>
        <c:lblOffset val="100"/>
      </c:catAx>
      <c:valAx>
        <c:axId val="181170944"/>
        <c:scaling>
          <c:orientation val="minMax"/>
        </c:scaling>
        <c:delete val="1"/>
        <c:axPos val="l"/>
        <c:numFmt formatCode="0" sourceLinked="1"/>
        <c:majorTickMark val="none"/>
        <c:tickLblPos val="none"/>
        <c:crossAx val="181144576"/>
        <c:crosses val="autoZero"/>
        <c:crossBetween val="between"/>
      </c:valAx>
      <c:spPr>
        <a:noFill/>
        <a:ln>
          <a:noFill/>
        </a:ln>
        <a:effectLst/>
      </c:spPr>
    </c:plotArea>
    <c:legend>
      <c:legendPos val="t"/>
      <c:layout>
        <c:manualLayout>
          <c:xMode val="edge"/>
          <c:yMode val="edge"/>
          <c:x val="0.29304527559055132"/>
          <c:y val="0.90785425101214579"/>
          <c:w val="0.37502034120734989"/>
          <c:h val="9.1093754981032213E-2"/>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CO"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accidentes de tránsito en el total de muertes  por causa externa (18 -28 años)</a:t>
            </a:r>
            <a:endParaRPr lang="es-CO"/>
          </a:p>
        </c:rich>
      </c:tx>
      <c:spPr>
        <a:noFill/>
        <a:ln>
          <a:noFill/>
        </a:ln>
        <a:effectLst/>
      </c:spPr>
    </c:title>
    <c:plotArea>
      <c:layout>
        <c:manualLayout>
          <c:layoutTarget val="inner"/>
          <c:xMode val="edge"/>
          <c:yMode val="edge"/>
          <c:x val="2.5200458190148871E-2"/>
          <c:y val="0.34158052518316767"/>
          <c:w val="0.94959908361970313"/>
          <c:h val="0.519398937692030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'18-28'!$C$7</c:f>
              <c:numCache>
                <c:formatCode>0</c:formatCode>
                <c:ptCount val="1"/>
                <c:pt idx="0">
                  <c:v>6.0463147711469789</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'18-28'!$E$7</c:f>
              <c:numCache>
                <c:formatCode>0</c:formatCode>
                <c:ptCount val="1"/>
                <c:pt idx="0">
                  <c:v>12.069423322953629</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'18-28'!$G$7</c:f>
              <c:numCache>
                <c:formatCode>0</c:formatCode>
                <c:ptCount val="1"/>
                <c:pt idx="0">
                  <c:v>22.889911572657386</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s-CO"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'18-28'!$I$7</c:f>
              <c:numCache>
                <c:formatCode>0</c:formatCode>
                <c:ptCount val="1"/>
                <c:pt idx="0">
                  <c:v>18.028412778538932</c:v>
                </c:pt>
              </c:numCache>
            </c:numRef>
          </c:val>
        </c:ser>
        <c:dLbls>
          <c:showVal val="1"/>
        </c:dLbls>
        <c:overlap val="-25"/>
        <c:axId val="180908416"/>
        <c:axId val="180909952"/>
      </c:barChart>
      <c:catAx>
        <c:axId val="180908416"/>
        <c:scaling>
          <c:orientation val="minMax"/>
        </c:scaling>
        <c:delete val="1"/>
        <c:axPos val="b"/>
        <c:numFmt formatCode="General" sourceLinked="1"/>
        <c:majorTickMark val="none"/>
        <c:tickLblPos val="none"/>
        <c:crossAx val="180909952"/>
        <c:crosses val="autoZero"/>
        <c:auto val="1"/>
        <c:lblAlgn val="ctr"/>
        <c:lblOffset val="100"/>
      </c:catAx>
      <c:valAx>
        <c:axId val="180909952"/>
        <c:scaling>
          <c:orientation val="minMax"/>
        </c:scaling>
        <c:delete val="1"/>
        <c:axPos val="l"/>
        <c:numFmt formatCode="0" sourceLinked="1"/>
        <c:majorTickMark val="none"/>
        <c:tickLblPos val="none"/>
        <c:crossAx val="180908416"/>
        <c:crosses val="autoZero"/>
        <c:crossBetween val="between"/>
      </c:valAx>
      <c:spPr>
        <a:noFill/>
        <a:ln>
          <a:noFill/>
        </a:ln>
        <a:effectLst/>
      </c:spPr>
    </c:plotArea>
    <c:legend>
      <c:legendPos val="t"/>
      <c:layout>
        <c:manualLayout>
          <c:xMode val="edge"/>
          <c:yMode val="edge"/>
          <c:x val="0.29304527559055132"/>
          <c:y val="0.89213270142180057"/>
          <c:w val="0.37502034120734989"/>
          <c:h val="0.10663581744225113"/>
        </c:manualLayout>
      </c:layout>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violencia de pareja cuando la víctima está entre los 18 y 28 años</a:t>
            </a:r>
            <a:endParaRPr lang="es-CO"/>
          </a:p>
        </c:rich>
      </c:tx>
      <c:spPr>
        <a:noFill/>
        <a:ln>
          <a:noFill/>
        </a:ln>
        <a:effectLst/>
      </c:spPr>
    </c:title>
    <c:plotArea>
      <c:layout>
        <c:manualLayout>
          <c:layoutTarget val="inner"/>
          <c:xMode val="edge"/>
          <c:yMode val="edge"/>
          <c:x val="2.5243832472748199E-2"/>
          <c:y val="0.28919510061242343"/>
          <c:w val="0.9495123350545035"/>
          <c:h val="0.58302712160979853"/>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'18-28'!$C$21</c:f>
              <c:numCache>
                <c:formatCode>0</c:formatCode>
                <c:ptCount val="1"/>
                <c:pt idx="0">
                  <c:v>655.42052119233233</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'18-28'!$E$21</c:f>
              <c:numCache>
                <c:formatCode>0</c:formatCode>
                <c:ptCount val="1"/>
                <c:pt idx="0">
                  <c:v>421.22287397108164</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'18-28'!$G$21</c:f>
              <c:numCache>
                <c:formatCode>0</c:formatCode>
                <c:ptCount val="1"/>
                <c:pt idx="0">
                  <c:v>451.77457051297455</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'18-28'!$I$21</c:f>
              <c:numCache>
                <c:formatCode>0</c:formatCode>
                <c:ptCount val="1"/>
                <c:pt idx="0">
                  <c:v>644.21528328645945</c:v>
                </c:pt>
              </c:numCache>
            </c:numRef>
          </c:val>
        </c:ser>
        <c:dLbls>
          <c:showVal val="1"/>
        </c:dLbls>
        <c:overlap val="-25"/>
        <c:axId val="181306880"/>
        <c:axId val="181308416"/>
      </c:barChart>
      <c:catAx>
        <c:axId val="181306880"/>
        <c:scaling>
          <c:orientation val="minMax"/>
        </c:scaling>
        <c:delete val="1"/>
        <c:axPos val="b"/>
        <c:numFmt formatCode="General" sourceLinked="1"/>
        <c:majorTickMark val="none"/>
        <c:tickLblPos val="none"/>
        <c:crossAx val="181308416"/>
        <c:crosses val="autoZero"/>
        <c:auto val="1"/>
        <c:lblAlgn val="ctr"/>
        <c:lblOffset val="100"/>
      </c:catAx>
      <c:valAx>
        <c:axId val="181308416"/>
        <c:scaling>
          <c:orientation val="minMax"/>
        </c:scaling>
        <c:delete val="1"/>
        <c:axPos val="l"/>
        <c:numFmt formatCode="0" sourceLinked="1"/>
        <c:majorTickMark val="none"/>
        <c:tickLblPos val="none"/>
        <c:crossAx val="181306880"/>
        <c:crosses val="autoZero"/>
        <c:crossBetween val="between"/>
      </c:valAx>
      <c:spPr>
        <a:noFill/>
        <a:ln>
          <a:noFill/>
        </a:ln>
        <a:effectLst/>
      </c:spPr>
    </c:plotArea>
    <c:legend>
      <c:legendPos val="t"/>
      <c:layout>
        <c:manualLayout>
          <c:xMode val="edge"/>
          <c:yMode val="edge"/>
          <c:x val="0.32443221705720576"/>
          <c:y val="0.90100000000000002"/>
          <c:w val="0.30982747638472979"/>
          <c:h val="9.375065616797921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violencia entre otros familiares  cuando la víctima está entre los 18 y 28 años</a:t>
            </a:r>
            <a:endParaRPr lang="es-CO"/>
          </a:p>
        </c:rich>
      </c:tx>
      <c:spPr>
        <a:noFill/>
        <a:ln>
          <a:noFill/>
        </a:ln>
        <a:effectLst/>
      </c:spPr>
    </c:title>
    <c:plotArea>
      <c:layout>
        <c:manualLayout>
          <c:layoutTarget val="inner"/>
          <c:xMode val="edge"/>
          <c:yMode val="edge"/>
          <c:x val="2.4858757062146894E-2"/>
          <c:y val="0.28799512094183249"/>
          <c:w val="0.9502824858757053"/>
          <c:h val="0.59028980298624456"/>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'18-28'!$C$23</c:f>
              <c:numCache>
                <c:formatCode>0</c:formatCode>
                <c:ptCount val="1"/>
                <c:pt idx="0">
                  <c:v>786.02092024910814</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'18-28'!$E$23</c:f>
              <c:numCache>
                <c:formatCode>0</c:formatCode>
                <c:ptCount val="1"/>
                <c:pt idx="0">
                  <c:v>2079.5616385449102</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'18-28'!$G$23</c:f>
              <c:numCache>
                <c:formatCode>0</c:formatCode>
                <c:ptCount val="1"/>
                <c:pt idx="0">
                  <c:v>740.91029564127848</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'18-28'!$I$23</c:f>
              <c:numCache>
                <c:formatCode>0</c:formatCode>
                <c:ptCount val="1"/>
                <c:pt idx="0">
                  <c:v>650.22475421263994</c:v>
                </c:pt>
              </c:numCache>
            </c:numRef>
          </c:val>
        </c:ser>
        <c:dLbls>
          <c:showVal val="1"/>
        </c:dLbls>
        <c:overlap val="-25"/>
        <c:axId val="181365376"/>
        <c:axId val="181399936"/>
      </c:barChart>
      <c:catAx>
        <c:axId val="181365376"/>
        <c:scaling>
          <c:orientation val="minMax"/>
        </c:scaling>
        <c:delete val="1"/>
        <c:axPos val="b"/>
        <c:numFmt formatCode="General" sourceLinked="1"/>
        <c:majorTickMark val="none"/>
        <c:tickLblPos val="none"/>
        <c:crossAx val="181399936"/>
        <c:crosses val="autoZero"/>
        <c:auto val="1"/>
        <c:lblAlgn val="ctr"/>
        <c:lblOffset val="100"/>
      </c:catAx>
      <c:valAx>
        <c:axId val="181399936"/>
        <c:scaling>
          <c:orientation val="minMax"/>
        </c:scaling>
        <c:delete val="1"/>
        <c:axPos val="l"/>
        <c:numFmt formatCode="0" sourceLinked="1"/>
        <c:majorTickMark val="none"/>
        <c:tickLblPos val="none"/>
        <c:crossAx val="181365376"/>
        <c:crosses val="autoZero"/>
        <c:crossBetween val="between"/>
      </c:valAx>
      <c:spPr>
        <a:noFill/>
        <a:ln>
          <a:noFill/>
        </a:ln>
        <a:effectLst/>
      </c:spPr>
    </c:plotArea>
    <c:legend>
      <c:legendPos val="t"/>
      <c:layout>
        <c:manualLayout>
          <c:xMode val="edge"/>
          <c:yMode val="edge"/>
          <c:x val="0.34292948974598553"/>
          <c:y val="0.89726141078838173"/>
          <c:w val="0.30510129454157214"/>
          <c:h val="9.336164929591274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Tasa de violencia interpersonal  cuando la víctima está entre los 18 y 28 años</a:t>
            </a:r>
            <a:endParaRPr lang="es-CO"/>
          </a:p>
        </c:rich>
      </c:tx>
      <c:spPr>
        <a:noFill/>
        <a:ln>
          <a:noFill/>
        </a:ln>
        <a:effectLst/>
      </c:spPr>
    </c:title>
    <c:plotArea>
      <c:layout>
        <c:manualLayout>
          <c:layoutTarget val="inner"/>
          <c:xMode val="edge"/>
          <c:yMode val="edge"/>
          <c:x val="2.4567280848687867E-2"/>
          <c:y val="0.2807159834634409"/>
          <c:w val="0.9508654383026246"/>
          <c:h val="0.56477757876831924"/>
        </c:manualLayout>
      </c:layout>
      <c:barChart>
        <c:barDir val="col"/>
        <c:grouping val="clustered"/>
        <c:ser>
          <c:idx val="0"/>
          <c:order val="0"/>
          <c:tx>
            <c:v>2011</c:v>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'18-28'!$C$14</c:f>
              <c:numCache>
                <c:formatCode>0</c:formatCode>
                <c:ptCount val="1"/>
                <c:pt idx="0">
                  <c:v>1932.4022008585753</c:v>
                </c:pt>
              </c:numCache>
            </c:numRef>
          </c:val>
        </c:ser>
        <c:ser>
          <c:idx val="1"/>
          <c:order val="1"/>
          <c:tx>
            <c:v>2012</c:v>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'18-28'!$E$14</c:f>
              <c:numCache>
                <c:formatCode>0</c:formatCode>
                <c:ptCount val="1"/>
                <c:pt idx="0">
                  <c:v>1018.6593284572865</c:v>
                </c:pt>
              </c:numCache>
            </c:numRef>
          </c:val>
        </c:ser>
        <c:ser>
          <c:idx val="2"/>
          <c:order val="2"/>
          <c:tx>
            <c:v>2013</c:v>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'18-28'!$G$14</c:f>
              <c:numCache>
                <c:formatCode>0</c:formatCode>
                <c:ptCount val="1"/>
                <c:pt idx="0">
                  <c:v>1395.0798737440682</c:v>
                </c:pt>
              </c:numCache>
            </c:numRef>
          </c:val>
        </c:ser>
        <c:ser>
          <c:idx val="3"/>
          <c:order val="3"/>
          <c:tx>
            <c:v>2014</c:v>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'18-28'!$I$14</c:f>
              <c:numCache>
                <c:formatCode>0</c:formatCode>
                <c:ptCount val="1"/>
                <c:pt idx="0">
                  <c:v>975.93807841157661</c:v>
                </c:pt>
              </c:numCache>
            </c:numRef>
          </c:val>
        </c:ser>
        <c:dLbls>
          <c:showVal val="1"/>
        </c:dLbls>
        <c:overlap val="-25"/>
        <c:axId val="181268480"/>
        <c:axId val="181270016"/>
      </c:barChart>
      <c:catAx>
        <c:axId val="181268480"/>
        <c:scaling>
          <c:orientation val="minMax"/>
        </c:scaling>
        <c:delete val="1"/>
        <c:axPos val="b"/>
        <c:numFmt formatCode="General" sourceLinked="1"/>
        <c:majorTickMark val="none"/>
        <c:tickLblPos val="none"/>
        <c:crossAx val="181270016"/>
        <c:crosses val="autoZero"/>
        <c:auto val="1"/>
        <c:lblAlgn val="ctr"/>
        <c:lblOffset val="100"/>
      </c:catAx>
      <c:valAx>
        <c:axId val="181270016"/>
        <c:scaling>
          <c:orientation val="minMax"/>
        </c:scaling>
        <c:delete val="1"/>
        <c:axPos val="l"/>
        <c:numFmt formatCode="0" sourceLinked="1"/>
        <c:majorTickMark val="none"/>
        <c:tickLblPos val="none"/>
        <c:crossAx val="181268480"/>
        <c:crosses val="autoZero"/>
        <c:crossBetween val="between"/>
      </c:valAx>
      <c:spPr>
        <a:noFill/>
        <a:ln>
          <a:noFill/>
        </a:ln>
        <a:effectLst/>
      </c:spPr>
    </c:plotArea>
    <c:legend>
      <c:legendPos val="t"/>
      <c:layout>
        <c:manualLayout>
          <c:xMode val="edge"/>
          <c:yMode val="edge"/>
          <c:x val="0.32020399460117727"/>
          <c:y val="0.88801144492131556"/>
          <c:w val="0.30152389242801936"/>
          <c:h val="9.6567199486330399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50"/>
            </a:pPr>
            <a:r>
              <a:rPr lang="en-US" sz="1050" b="0">
                <a:latin typeface="Century Gothic" pitchFamily="34" charset="0"/>
              </a:rPr>
              <a:t>PORCENTAJE DE</a:t>
            </a:r>
            <a:r>
              <a:rPr lang="en-US" sz="1050" b="0" baseline="0">
                <a:latin typeface="Century Gothic" pitchFamily="34" charset="0"/>
              </a:rPr>
              <a:t> NIÑOS CON BAJO PESO AL NACER</a:t>
            </a:r>
            <a:r>
              <a:rPr lang="en-US" sz="1050" b="0" i="0" kern="1200" baseline="0">
                <a:solidFill>
                  <a:srgbClr val="000000"/>
                </a:solidFill>
                <a:effectLst/>
                <a:latin typeface="Century Gothic"/>
              </a:rPr>
              <a:t>, MUNICIPIO DE PASTO 2011-2014 </a:t>
            </a:r>
            <a:endParaRPr lang="es-CO" sz="1050">
              <a:effectLst/>
            </a:endParaRPr>
          </a:p>
          <a:p>
            <a:pPr>
              <a:defRPr lang="es-CO" sz="1050"/>
            </a:pPr>
            <a:endParaRPr lang="en-US" sz="1050" b="0">
              <a:latin typeface="Century Gothic" pitchFamily="34" charset="0"/>
            </a:endParaRPr>
          </a:p>
        </c:rich>
      </c:tx>
    </c:title>
    <c:plotArea>
      <c:layout>
        <c:manualLayout>
          <c:layoutTarget val="inner"/>
          <c:xMode val="edge"/>
          <c:yMode val="edge"/>
          <c:x val="0.35643190498661581"/>
          <c:y val="0.23728431482916287"/>
          <c:w val="0.62442101321642174"/>
          <c:h val="0.49060541919861816"/>
        </c:manualLayout>
      </c:layout>
      <c:lineChart>
        <c:grouping val="standard"/>
        <c:ser>
          <c:idx val="2"/>
          <c:order val="0"/>
          <c:tx>
            <c:strRef>
              <c:f>BPN!$K$5</c:f>
              <c:strCache>
                <c:ptCount val="1"/>
                <c:pt idx="0">
                  <c:v>PORCENTAJE DE NIÑOS CON BAJO PESO AL NACER</c:v>
                </c:pt>
              </c:strCache>
            </c:strRef>
          </c:tx>
          <c:spPr>
            <a:ln>
              <a:solidFill>
                <a:schemeClr val="accent1"/>
              </a:solidFill>
            </a:ln>
          </c:spPr>
          <c:marker>
            <c:symbol val="diamond"/>
            <c:size val="5"/>
            <c:spPr>
              <a:solidFill>
                <a:schemeClr val="accent1"/>
              </a:solidFill>
              <a:ln>
                <a:solidFill>
                  <a:schemeClr val="accent1"/>
                </a:solidFill>
              </a:ln>
            </c:spPr>
          </c:marker>
          <c:cat>
            <c:numRef>
              <c:f>BPN!$H$6:$H$9</c:f>
              <c:numCache>
                <c:formatCode>General</c:formatCode>
                <c:ptCount val="4"/>
                <c:pt idx="0">
                  <c:v>2011</c:v>
                </c:pt>
                <c:pt idx="1">
                  <c:v>2012</c:v>
                </c:pt>
                <c:pt idx="2">
                  <c:v>2013</c:v>
                </c:pt>
                <c:pt idx="3">
                  <c:v>2014</c:v>
                </c:pt>
              </c:numCache>
            </c:numRef>
          </c:cat>
          <c:val>
            <c:numRef>
              <c:f>BPN!$K$6:$K$9</c:f>
              <c:numCache>
                <c:formatCode>0.0</c:formatCode>
                <c:ptCount val="4"/>
                <c:pt idx="0">
                  <c:v>9.4577814569536525</c:v>
                </c:pt>
                <c:pt idx="1">
                  <c:v>10.739509763190695</c:v>
                </c:pt>
                <c:pt idx="2">
                  <c:v>10.033375052148518</c:v>
                </c:pt>
                <c:pt idx="3">
                  <c:v>11.088911088911068</c:v>
                </c:pt>
              </c:numCache>
            </c:numRef>
          </c:val>
        </c:ser>
        <c:marker val="1"/>
        <c:axId val="155587328"/>
        <c:axId val="155589248"/>
      </c:lineChart>
      <c:catAx>
        <c:axId val="155587328"/>
        <c:scaling>
          <c:orientation val="minMax"/>
        </c:scaling>
        <c:axPos val="b"/>
        <c:numFmt formatCode="General" sourceLinked="1"/>
        <c:majorTickMark val="none"/>
        <c:tickLblPos val="nextTo"/>
        <c:txPr>
          <a:bodyPr/>
          <a:lstStyle/>
          <a:p>
            <a:pPr>
              <a:defRPr lang="es-CO"/>
            </a:pPr>
            <a:endParaRPr lang="es-ES"/>
          </a:p>
        </c:txPr>
        <c:crossAx val="155589248"/>
        <c:crosses val="autoZero"/>
        <c:auto val="1"/>
        <c:lblAlgn val="ctr"/>
        <c:lblOffset val="100"/>
      </c:catAx>
      <c:valAx>
        <c:axId val="155589248"/>
        <c:scaling>
          <c:orientation val="minMax"/>
          <c:max val="50"/>
          <c:min val="0"/>
        </c:scaling>
        <c:axPos val="l"/>
        <c:title>
          <c:tx>
            <c:rich>
              <a:bodyPr/>
              <a:lstStyle/>
              <a:p>
                <a:pPr>
                  <a:defRPr lang="es-CO" sz="700">
                    <a:latin typeface="Century Gothic" pitchFamily="34" charset="0"/>
                  </a:defRPr>
                </a:pPr>
                <a:r>
                  <a:rPr lang="es-CO" sz="700">
                    <a:latin typeface="Century Gothic" pitchFamily="34" charset="0"/>
                  </a:rPr>
                  <a:t>PORCENTAJE (%)</a:t>
                </a:r>
              </a:p>
            </c:rich>
          </c:tx>
          <c:layout>
            <c:manualLayout>
              <c:xMode val="edge"/>
              <c:yMode val="edge"/>
              <c:x val="0.25214260100566138"/>
              <c:y val="0.34533418584078596"/>
            </c:manualLayout>
          </c:layout>
        </c:title>
        <c:numFmt formatCode="0.0" sourceLinked="1"/>
        <c:majorTickMark val="none"/>
        <c:tickLblPos val="nextTo"/>
        <c:txPr>
          <a:bodyPr/>
          <a:lstStyle/>
          <a:p>
            <a:pPr>
              <a:defRPr lang="es-CO" sz="900">
                <a:latin typeface="Century Gothic" pitchFamily="34" charset="0"/>
              </a:defRPr>
            </a:pPr>
            <a:endParaRPr lang="es-ES"/>
          </a:p>
        </c:txPr>
        <c:crossAx val="155587328"/>
        <c:crosses val="autoZero"/>
        <c:crossBetween val="between"/>
      </c:valAx>
      <c:dTable>
        <c:showHorzBorder val="1"/>
        <c:showVertBorder val="1"/>
        <c:showOutline val="1"/>
        <c:showKeys val="1"/>
        <c:txPr>
          <a:bodyPr/>
          <a:lstStyle/>
          <a:p>
            <a:pPr rtl="0">
              <a:defRPr lang="es-CO">
                <a:latin typeface="Century Gothic" pitchFamily="34" charset="0"/>
              </a:defRPr>
            </a:pPr>
            <a:endParaRPr lang="es-ES"/>
          </a:p>
        </c:txPr>
      </c:dTable>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COBERTURA DE VACUNACIÓN CON PENTAVALENTE (DPT Y HEPATITS)  TRES DOSIS EN  NIÑOS Y NIÑAS MENORES DE 1 AÑO </a:t>
            </a:r>
            <a:r>
              <a:rPr lang="en-US" sz="1000" b="0" i="0" kern="1200" baseline="0">
                <a:solidFill>
                  <a:srgbClr val="000000"/>
                </a:solidFill>
                <a:effectLst/>
                <a:latin typeface="Century Gothic"/>
              </a:rPr>
              <a:t>, MUNICIPIO DE PASTO 2011-2014 </a:t>
            </a:r>
            <a:endParaRPr lang="es-CO" sz="1000">
              <a:effectLst/>
            </a:endParaRPr>
          </a:p>
          <a:p>
            <a:pPr>
              <a:defRPr lang="es-CO" sz="1000"/>
            </a:pPr>
            <a:endParaRPr lang="en-US" sz="1000" b="0">
              <a:latin typeface="Century Gothic" pitchFamily="34" charset="0"/>
            </a:endParaRPr>
          </a:p>
        </c:rich>
      </c:tx>
    </c:title>
    <c:plotArea>
      <c:layout>
        <c:manualLayout>
          <c:layoutTarget val="inner"/>
          <c:xMode val="edge"/>
          <c:yMode val="edge"/>
          <c:x val="0.35643190498661581"/>
          <c:y val="0.19153520792744999"/>
          <c:w val="0.57190807544405864"/>
          <c:h val="0.4483677102314178"/>
        </c:manualLayout>
      </c:layout>
      <c:lineChart>
        <c:grouping val="standard"/>
        <c:ser>
          <c:idx val="0"/>
          <c:order val="0"/>
          <c:tx>
            <c:strRef>
              <c:f>PENTAVALENTE!$I$5</c:f>
              <c:strCache>
                <c:ptCount val="1"/>
                <c:pt idx="0">
                  <c:v>COBERTURA DE VACUNACIÓN CON PENTAVALENTE (DPT Y HEPATITS)  TRES DOSIS EN  NIÑOS Y NIÑAS MENORES DE 1 AÑO</c:v>
                </c:pt>
              </c:strCache>
            </c:strRef>
          </c:tx>
          <c:marker>
            <c:symbol val="diamond"/>
            <c:size val="5"/>
          </c:marker>
          <c:cat>
            <c:numRef>
              <c:f>PENTAVALENTE!$H$6:$H$9</c:f>
              <c:numCache>
                <c:formatCode>General</c:formatCode>
                <c:ptCount val="4"/>
                <c:pt idx="0">
                  <c:v>2011</c:v>
                </c:pt>
                <c:pt idx="1">
                  <c:v>2012</c:v>
                </c:pt>
                <c:pt idx="2">
                  <c:v>2013</c:v>
                </c:pt>
                <c:pt idx="3">
                  <c:v>2014</c:v>
                </c:pt>
              </c:numCache>
            </c:numRef>
          </c:cat>
          <c:val>
            <c:numRef>
              <c:f>PENTAVALENTE!$I$6:$I$9</c:f>
              <c:numCache>
                <c:formatCode>0.0</c:formatCode>
                <c:ptCount val="4"/>
                <c:pt idx="0">
                  <c:v>75.400000000000006</c:v>
                </c:pt>
                <c:pt idx="1">
                  <c:v>75.2</c:v>
                </c:pt>
                <c:pt idx="2">
                  <c:v>95.1</c:v>
                </c:pt>
                <c:pt idx="3">
                  <c:v>105.5</c:v>
                </c:pt>
              </c:numCache>
            </c:numRef>
          </c:val>
        </c:ser>
        <c:marker val="1"/>
        <c:axId val="155795456"/>
        <c:axId val="155796992"/>
      </c:lineChart>
      <c:catAx>
        <c:axId val="155795456"/>
        <c:scaling>
          <c:orientation val="minMax"/>
        </c:scaling>
        <c:axPos val="b"/>
        <c:numFmt formatCode="General" sourceLinked="1"/>
        <c:majorTickMark val="none"/>
        <c:tickLblPos val="nextTo"/>
        <c:txPr>
          <a:bodyPr/>
          <a:lstStyle/>
          <a:p>
            <a:pPr>
              <a:defRPr lang="es-CO"/>
            </a:pPr>
            <a:endParaRPr lang="es-ES"/>
          </a:p>
        </c:txPr>
        <c:crossAx val="155796992"/>
        <c:crosses val="autoZero"/>
        <c:auto val="1"/>
        <c:lblAlgn val="ctr"/>
        <c:lblOffset val="100"/>
      </c:catAx>
      <c:valAx>
        <c:axId val="155796992"/>
        <c:scaling>
          <c:orientation val="minMax"/>
          <c:max val="110"/>
          <c:min val="0"/>
        </c:scaling>
        <c:axPos val="l"/>
        <c:title>
          <c:tx>
            <c:rich>
              <a:bodyPr/>
              <a:lstStyle/>
              <a:p>
                <a:pPr>
                  <a:defRPr lang="es-CO"/>
                </a:pPr>
                <a:r>
                  <a:rPr lang="es-CO"/>
                  <a:t>Cobertura</a:t>
                </a:r>
                <a:r>
                  <a:rPr lang="es-CO" baseline="0"/>
                  <a:t> de Vacunación </a:t>
                </a:r>
              </a:p>
              <a:p>
                <a:pPr>
                  <a:defRPr lang="es-CO"/>
                </a:pPr>
                <a:r>
                  <a:rPr lang="es-CO" baseline="0"/>
                  <a:t>contra Pentavalente</a:t>
                </a:r>
                <a:r>
                  <a:rPr lang="es-CO"/>
                  <a:t>(%)</a:t>
                </a:r>
              </a:p>
            </c:rich>
          </c:tx>
          <c:layout>
            <c:manualLayout>
              <c:xMode val="edge"/>
              <c:yMode val="edge"/>
              <c:x val="0.18215219997345336"/>
              <c:y val="0.2189774886602773"/>
            </c:manualLayout>
          </c:layout>
        </c:title>
        <c:numFmt formatCode="0.0" sourceLinked="1"/>
        <c:majorTickMark val="none"/>
        <c:tickLblPos val="nextTo"/>
        <c:txPr>
          <a:bodyPr/>
          <a:lstStyle/>
          <a:p>
            <a:pPr>
              <a:defRPr lang="es-CO">
                <a:latin typeface="Century Gothic" pitchFamily="34" charset="0"/>
              </a:defRPr>
            </a:pPr>
            <a:endParaRPr lang="es-ES"/>
          </a:p>
        </c:txPr>
        <c:crossAx val="155795456"/>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CO" sz="1000"/>
            </a:pPr>
            <a:r>
              <a:rPr lang="en-US" sz="1000" b="0">
                <a:latin typeface="Century Gothic" pitchFamily="34" charset="0"/>
              </a:rPr>
              <a:t>COBERTURA DE VACUNACIÓN CON TRIPLE VIRAL EN NIÑOS Y NIÑAS MENORES DE 1 AÑO</a:t>
            </a:r>
            <a:r>
              <a:rPr lang="en-US" sz="1000" b="0" i="0" kern="1200" baseline="0">
                <a:solidFill>
                  <a:srgbClr val="000000"/>
                </a:solidFill>
                <a:effectLst/>
                <a:latin typeface="Century Gothic"/>
              </a:rPr>
              <a:t>, MUNICIPIO DE PASTO 2011-2014 </a:t>
            </a:r>
            <a:endParaRPr lang="es-CO" sz="1000">
              <a:effectLst/>
            </a:endParaRPr>
          </a:p>
          <a:p>
            <a:pPr>
              <a:defRPr lang="es-CO" sz="1000"/>
            </a:pPr>
            <a:endParaRPr lang="en-US" sz="1000" b="0">
              <a:latin typeface="Century Gothic" pitchFamily="34" charset="0"/>
            </a:endParaRPr>
          </a:p>
        </c:rich>
      </c:tx>
    </c:title>
    <c:plotArea>
      <c:layout>
        <c:manualLayout>
          <c:layoutTarget val="inner"/>
          <c:xMode val="edge"/>
          <c:yMode val="edge"/>
          <c:x val="0.35643190498661581"/>
          <c:y val="0.23728431482916304"/>
          <c:w val="0.57190807544405864"/>
          <c:h val="0.49204468380414379"/>
        </c:manualLayout>
      </c:layout>
      <c:lineChart>
        <c:grouping val="standard"/>
        <c:ser>
          <c:idx val="1"/>
          <c:order val="0"/>
          <c:tx>
            <c:strRef>
              <c:f>'TRIPLE VIRAL'!$H$4</c:f>
              <c:strCache>
                <c:ptCount val="1"/>
                <c:pt idx="0">
                  <c:v>COBERTURA DE VACUNACIÓN CON TRIPLE VIRAL EN NIÑOS Y NIÑAS MENORES DE 1 AÑO</c:v>
                </c:pt>
              </c:strCache>
            </c:strRef>
          </c:tx>
          <c:spPr>
            <a:ln>
              <a:solidFill>
                <a:schemeClr val="accent1"/>
              </a:solidFill>
            </a:ln>
          </c:spPr>
          <c:marker>
            <c:symbol val="diamond"/>
            <c:size val="5"/>
            <c:spPr>
              <a:solidFill>
                <a:schemeClr val="accent1"/>
              </a:solidFill>
              <a:ln>
                <a:solidFill>
                  <a:schemeClr val="accent1"/>
                </a:solidFill>
              </a:ln>
            </c:spPr>
          </c:marker>
          <c:cat>
            <c:numRef>
              <c:f>'TRIPLE VIRAL'!$G$5:$G$8</c:f>
              <c:numCache>
                <c:formatCode>General</c:formatCode>
                <c:ptCount val="4"/>
                <c:pt idx="0">
                  <c:v>2011</c:v>
                </c:pt>
                <c:pt idx="1">
                  <c:v>2012</c:v>
                </c:pt>
                <c:pt idx="2">
                  <c:v>2013</c:v>
                </c:pt>
                <c:pt idx="3">
                  <c:v>2014</c:v>
                </c:pt>
              </c:numCache>
            </c:numRef>
          </c:cat>
          <c:val>
            <c:numRef>
              <c:f>'TRIPLE VIRAL'!$H$5:$H$8</c:f>
              <c:numCache>
                <c:formatCode>0.0</c:formatCode>
                <c:ptCount val="4"/>
                <c:pt idx="0">
                  <c:v>78.7</c:v>
                </c:pt>
                <c:pt idx="1">
                  <c:v>76.599999999999994</c:v>
                </c:pt>
                <c:pt idx="2">
                  <c:v>94.4</c:v>
                </c:pt>
                <c:pt idx="3">
                  <c:v>99.9</c:v>
                </c:pt>
              </c:numCache>
            </c:numRef>
          </c:val>
        </c:ser>
        <c:marker val="1"/>
        <c:axId val="155801088"/>
        <c:axId val="155914624"/>
      </c:lineChart>
      <c:catAx>
        <c:axId val="155801088"/>
        <c:scaling>
          <c:orientation val="minMax"/>
        </c:scaling>
        <c:axPos val="b"/>
        <c:numFmt formatCode="General" sourceLinked="1"/>
        <c:majorTickMark val="none"/>
        <c:tickLblPos val="nextTo"/>
        <c:txPr>
          <a:bodyPr/>
          <a:lstStyle/>
          <a:p>
            <a:pPr>
              <a:defRPr lang="es-CO"/>
            </a:pPr>
            <a:endParaRPr lang="es-ES"/>
          </a:p>
        </c:txPr>
        <c:crossAx val="155914624"/>
        <c:crosses val="autoZero"/>
        <c:auto val="1"/>
        <c:lblAlgn val="ctr"/>
        <c:lblOffset val="100"/>
      </c:catAx>
      <c:valAx>
        <c:axId val="155914624"/>
        <c:scaling>
          <c:orientation val="minMax"/>
          <c:max val="110"/>
          <c:min val="0"/>
        </c:scaling>
        <c:axPos val="l"/>
        <c:title>
          <c:tx>
            <c:rich>
              <a:bodyPr/>
              <a:lstStyle/>
              <a:p>
                <a:pPr>
                  <a:defRPr lang="es-CO" sz="800">
                    <a:latin typeface="Century Gothic" pitchFamily="34" charset="0"/>
                  </a:defRPr>
                </a:pPr>
                <a:r>
                  <a:rPr lang="es-CO" sz="800">
                    <a:latin typeface="Century Gothic" pitchFamily="34" charset="0"/>
                  </a:rPr>
                  <a:t>Cobertura</a:t>
                </a:r>
                <a:r>
                  <a:rPr lang="es-CO" sz="800" baseline="0">
                    <a:latin typeface="Century Gothic" pitchFamily="34" charset="0"/>
                  </a:rPr>
                  <a:t> de Vacunación </a:t>
                </a:r>
              </a:p>
              <a:p>
                <a:pPr>
                  <a:defRPr lang="es-CO" sz="800">
                    <a:latin typeface="Century Gothic" pitchFamily="34" charset="0"/>
                  </a:defRPr>
                </a:pPr>
                <a:r>
                  <a:rPr lang="es-CO" sz="800" baseline="0">
                    <a:latin typeface="Century Gothic" pitchFamily="34" charset="0"/>
                  </a:rPr>
                  <a:t>contra Triple Viral</a:t>
                </a:r>
                <a:r>
                  <a:rPr lang="es-CO" sz="800">
                    <a:latin typeface="Century Gothic" pitchFamily="34" charset="0"/>
                  </a:rPr>
                  <a:t>(%)</a:t>
                </a:r>
              </a:p>
            </c:rich>
          </c:tx>
          <c:layout>
            <c:manualLayout>
              <c:xMode val="edge"/>
              <c:yMode val="edge"/>
              <c:x val="0.2024071450495144"/>
              <c:y val="0.25686659390052086"/>
            </c:manualLayout>
          </c:layout>
        </c:title>
        <c:numFmt formatCode="0.0" sourceLinked="1"/>
        <c:majorTickMark val="none"/>
        <c:tickLblPos val="nextTo"/>
        <c:txPr>
          <a:bodyPr/>
          <a:lstStyle/>
          <a:p>
            <a:pPr>
              <a:defRPr lang="es-CO">
                <a:latin typeface="Century Gothic" pitchFamily="34" charset="0"/>
              </a:defRPr>
            </a:pPr>
            <a:endParaRPr lang="es-ES"/>
          </a:p>
        </c:txPr>
        <c:crossAx val="155801088"/>
        <c:crosses val="autoZero"/>
        <c:crossBetween val="between"/>
      </c:valAx>
      <c:dTable>
        <c:showHorzBorder val="1"/>
        <c:showVertBorder val="1"/>
        <c:showOutline val="1"/>
        <c:showKeys val="1"/>
        <c:txPr>
          <a:bodyPr/>
          <a:lstStyle/>
          <a:p>
            <a:pPr rtl="0">
              <a:defRPr lang="es-CO" sz="900">
                <a:latin typeface="Century Gothic" pitchFamily="34" charset="0"/>
              </a:defRPr>
            </a:pPr>
            <a:endParaRPr lang="es-ES"/>
          </a:p>
        </c:txPr>
      </c:dTable>
    </c:plotArea>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BE30D-1AAA-4FF4-83D6-ECF44ACB5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384</Pages>
  <Words>116481</Words>
  <Characters>640650</Characters>
  <Application>Microsoft Office Word</Application>
  <DocSecurity>0</DocSecurity>
  <Lines>5338</Lines>
  <Paragraphs>1511</Paragraphs>
  <ScaleCrop>false</ScaleCrop>
  <HeadingPairs>
    <vt:vector size="2" baseType="variant">
      <vt:variant>
        <vt:lpstr>Título</vt:lpstr>
      </vt:variant>
      <vt:variant>
        <vt:i4>1</vt:i4>
      </vt:variant>
    </vt:vector>
  </HeadingPairs>
  <TitlesOfParts>
    <vt:vector size="1" baseType="lpstr">
      <vt:lpstr/>
    </vt:vector>
  </TitlesOfParts>
  <Company>off</Company>
  <LinksUpToDate>false</LinksUpToDate>
  <CharactersWithSpaces>755620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of</cp:lastModifiedBy>
  <cp:revision>2</cp:revision>
  <dcterms:created xsi:type="dcterms:W3CDTF">2015-12-10T22:59:00Z</dcterms:created>
  <dcterms:modified xsi:type="dcterms:W3CDTF">2015-12-10T22:59:00Z</dcterms:modified>
</cp:coreProperties>
</file>