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B4B92">
        <w:rPr>
          <w:rFonts w:ascii="Arial" w:hAnsi="Arial" w:cs="Arial"/>
          <w:b/>
          <w:sz w:val="24"/>
          <w:szCs w:val="24"/>
          <w:lang w:val="es-MX"/>
        </w:rPr>
        <w:t>0360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1E1E89" w:rsidRDefault="001E1E89" w:rsidP="00B343B4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1E1E89" w:rsidRPr="001E1E89" w:rsidRDefault="001E1E89" w:rsidP="00B343B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1E1E89">
        <w:rPr>
          <w:rFonts w:ascii="Arial" w:hAnsi="Arial" w:cs="Arial"/>
          <w:b/>
          <w:color w:val="222222"/>
          <w:sz w:val="24"/>
          <w:szCs w:val="24"/>
          <w:lang w:val="es-CO"/>
        </w:rPr>
        <w:t>Gobierno Nacional despliega más recursos para reactivación empresarial</w:t>
      </w:r>
      <w:r w:rsidRPr="001E1E8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</w:t>
      </w:r>
    </w:p>
    <w:p w:rsidR="001E1E89" w:rsidRPr="001E1E89" w:rsidRDefault="001E1E89" w:rsidP="001E1E89">
      <w:pPr>
        <w:rPr>
          <w:rFonts w:ascii="Times New Roman" w:hAnsi="Times New Roman" w:cs="Times New Roman"/>
          <w:lang w:val="es-CO"/>
        </w:rPr>
      </w:pPr>
      <w:r w:rsidRPr="001E1E8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$7.900 millones para empresas mipymes a través de línea de crédito “Pasto Responde”</w:t>
      </w:r>
      <w:r w:rsidRPr="001E1E89">
        <w:rPr>
          <w:rFonts w:ascii="Arial" w:hAnsi="Arial" w:cs="Arial"/>
          <w:color w:val="222222"/>
          <w:shd w:val="clear" w:color="auto" w:fill="FFFFFF"/>
          <w:lang w:val="es-CO"/>
        </w:rPr>
        <w:t>*</w:t>
      </w:r>
    </w:p>
    <w:p w:rsidR="00B343B4" w:rsidRDefault="00B343B4" w:rsidP="00B343B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E1E89" w:rsidRDefault="001E1E89" w:rsidP="001E1E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color w:val="222222"/>
          <w:shd w:val="clear" w:color="auto" w:fill="FFFFFF"/>
          <w:lang w:val="es-CO"/>
        </w:rPr>
      </w:pPr>
      <w:r w:rsidRPr="001E1E89">
        <w:rPr>
          <w:rFonts w:ascii="Arial" w:hAnsi="Arial" w:cs="Arial"/>
          <w:i/>
          <w:color w:val="222222"/>
          <w:shd w:val="clear" w:color="auto" w:fill="FFFFFF"/>
          <w:lang w:val="es-CO"/>
        </w:rPr>
        <w:t>Estos recursos apoyarán a micro, pequeñas y medianas empresas de Pasto con capital de trabajo que garantice su operación y proteja empleos de cara a la temporada de cierre de año.</w:t>
      </w:r>
    </w:p>
    <w:p w:rsidR="001E1E89" w:rsidRDefault="001E1E89" w:rsidP="001E1E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color w:val="222222"/>
          <w:shd w:val="clear" w:color="auto" w:fill="FFFFFF"/>
          <w:lang w:val="es-CO"/>
        </w:rPr>
      </w:pPr>
      <w:r w:rsidRPr="001E1E89">
        <w:rPr>
          <w:rFonts w:ascii="Arial" w:hAnsi="Arial" w:cs="Arial"/>
          <w:i/>
          <w:color w:val="222222"/>
          <w:shd w:val="clear" w:color="auto" w:fill="FFFFFF"/>
          <w:lang w:val="es-CO"/>
        </w:rPr>
        <w:t>Créditos aplicarán para empresas que operen en todos los sectores de la economía, con condiciones favorables tanto en tasas de interés como en plazos.</w:t>
      </w:r>
    </w:p>
    <w:p w:rsidR="001E1E89" w:rsidRDefault="001E1E89" w:rsidP="001E1E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color w:val="222222"/>
          <w:shd w:val="clear" w:color="auto" w:fill="FFFFFF"/>
          <w:lang w:val="es-CO"/>
        </w:rPr>
      </w:pPr>
      <w:r w:rsidRPr="001E1E89">
        <w:rPr>
          <w:rFonts w:ascii="Arial" w:hAnsi="Arial" w:cs="Arial"/>
          <w:i/>
          <w:color w:val="222222"/>
          <w:shd w:val="clear" w:color="auto" w:fill="FFFFFF"/>
          <w:lang w:val="es-CO"/>
        </w:rPr>
        <w:t>Créditos tendrán el respaldo del Fondo Nacional de Garantías, dada la compleja coyuntura que afrontan las empresas, por cuenta del COVID-19.</w:t>
      </w:r>
    </w:p>
    <w:p w:rsidR="001E1E89" w:rsidRPr="001E1E89" w:rsidRDefault="001E1E89" w:rsidP="001E1E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color w:val="222222"/>
          <w:shd w:val="clear" w:color="auto" w:fill="FFFFFF"/>
          <w:lang w:val="es-CO"/>
        </w:rPr>
      </w:pPr>
      <w:r w:rsidRPr="001E1E89">
        <w:rPr>
          <w:rFonts w:ascii="Arial" w:hAnsi="Arial" w:cs="Arial"/>
          <w:i/>
          <w:color w:val="222222"/>
          <w:shd w:val="clear" w:color="auto" w:fill="FFFFFF"/>
          <w:lang w:val="es-CO"/>
        </w:rPr>
        <w:t>”Pasto Responde” es la línea de crédito territorial número 26, con la que el Gobierno Nacional, en alianza con las administraciones locales, apoya a las empresas del país.</w:t>
      </w:r>
    </w:p>
    <w:p w:rsidR="001E1E89" w:rsidRPr="001E1E89" w:rsidRDefault="001E1E89" w:rsidP="00B343B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E1E89" w:rsidRDefault="00B343B4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1E1E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1E1E89" w:rsidRPr="001E1E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17 de octubre de </w:t>
      </w:r>
      <w:r w:rsidRPr="001E1E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2020.</w:t>
      </w:r>
      <w:r w:rsidR="001E1E89" w:rsidRPr="001E1E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1E1E89"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Como parte de la estrategia de apoyo a los empresarios del país que se han visto afectados por la pandemia del COVID-19, el Gobierno Nacional a través de Bancóldex, y esta vez en alianza con la Alcaldía de Pasto, anunció la apertura de una nueva línea de crédito territorial, siendo la número 26 de carácter regional, que va dirigida a las micro, pequeñas y medianas empresas de todos los sectores.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Dada la creciente necesidad de recursos por parte de las empresas, el Gobierno Nacional sigue respondiéndoles bajo un propósito común: garantizar la supervivencia empresarial. En este caso, desde Pasto, el Presidente de la República, Iván Duque Márquez; el Alcalde Municipal, Germán Chamorro de la Rosa, y el presidente de Bancóldex, Javier Díaz Fajardo, anunciaron la apertura de “Pasto Responde”.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Recursos por valor de $7.900 millones para las empresas mipymes, llegarán en víspera de temporada de fin de año, y sin duda facilitarán el pago de gastos de nómina, la adquisición de materias primas e insumos, y demás costos y gastos operativos de funcionamiento.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E1E8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O"/>
        </w:rPr>
        <w:t>Los créditos y sus características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 través de los bancos comerciales, las microempresas podrán acceder a un monto máximo de $100 millones; las pequeñas a un tope de $200 millones; y las medianas, de $300 millones.  En el caso de las microempresas que accedan a través de entidades orientadas al microcrédito, su cupo máximo será de $20 millones.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Dentro de las facilidades financieras para las empresas que accedan a esta línea, se encuentra la disminución mínima del 2 por ciento en la tasa de interés ofrecida por el intermediario financiero con respecto a las condiciones de mercado; además, tendrán el respaldo del Fondo Nacional de Garantías; y contarán con un plazo de tres años, con hasta seis meses de periodo de gracia.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Default="001E1E89" w:rsidP="001E1E8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Para el caso de los créditos a microempresas que accedan a través de entidades orientadas al microcrédito, se aplicará un beneficio de hasta el 5 por ciento de disminución en la tasa frente al interés de la entidad intermediaria.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Por su parte,  el presidente de Bancoldex, Javier Díaz Fajardo, reiteró que el componente regional de la estrategia de apoyo empresarial que lidera la entidad incluye importantes alivios que contribuyen a que las empresas, sobre todo las micro y pequeñas, puedan sobrellevar la coyuntura actual al acceder a recursos bajo condiciones muy favorables con el apoyo adicional del sistema financiero: “Desde el Gobierno Nacional sumamos esfuerzos, esta vez con la Alcaldía de Pasto, para que los micro, pequeños y medianos empresarios puedan fortalecerse y seguir adelante en medio de una coyuntura tan compleja como la actual”.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1E1E89" w:rsidRPr="00024FBF" w:rsidRDefault="001E1E89" w:rsidP="001E1E8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24FB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O"/>
        </w:rPr>
        <w:t>¿Cómo acceder a la línea “Pasto Responde”? </w:t>
      </w:r>
    </w:p>
    <w:p w:rsidR="001E1E89" w:rsidRPr="00024FBF" w:rsidRDefault="001E1E89" w:rsidP="00024FB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  </w:t>
      </w:r>
    </w:p>
    <w:p w:rsidR="001E1E89" w:rsidRPr="001E1E89" w:rsidRDefault="001E1E89" w:rsidP="001E1E8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Bancóldex cuenta con una amplia red de aliados, como por ejemplo, establecimientos bancarios, corporaciones financieras, compañías de financiamiento y cooperativas financieras, Fintech, ONG financieras, cooperativas con actividad de ahorro y/o crédito, fundaciones financieras, cajas de compensación, fondos de empleados, entidades microfinancieras y otras entidades con cupo en Bancóldex. </w:t>
      </w:r>
    </w:p>
    <w:p w:rsidR="001E1E89" w:rsidRPr="001E1E89" w:rsidRDefault="001E1E89" w:rsidP="001E1E8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1E1E89" w:rsidRDefault="001E1E89" w:rsidP="001E1E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 caso de querer consultar el listado de aliados y los pasos para acceder a los créditos, consulte el portal web </w:t>
      </w:r>
      <w:hyperlink r:id="rId8" w:tgtFrame="_blank" w:history="1">
        <w:r w:rsidRPr="001E1E89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www.bancoldex.com</w:t>
        </w:r>
      </w:hyperlink>
      <w:r w:rsidRPr="001E1E8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</w:p>
    <w:sectPr w:rsidR="00B03717" w:rsidRPr="001E1E89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C4" w:rsidRDefault="009172C4" w:rsidP="00E53254">
      <w:pPr>
        <w:spacing w:after="0" w:line="240" w:lineRule="auto"/>
      </w:pPr>
      <w:r>
        <w:separator/>
      </w:r>
    </w:p>
  </w:endnote>
  <w:endnote w:type="continuationSeparator" w:id="0">
    <w:p w:rsidR="009172C4" w:rsidRDefault="009172C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C4" w:rsidRDefault="009172C4" w:rsidP="00E53254">
      <w:pPr>
        <w:spacing w:after="0" w:line="240" w:lineRule="auto"/>
      </w:pPr>
      <w:r>
        <w:separator/>
      </w:r>
    </w:p>
  </w:footnote>
  <w:footnote w:type="continuationSeparator" w:id="0">
    <w:p w:rsidR="009172C4" w:rsidRDefault="009172C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02119"/>
    <w:multiLevelType w:val="hybridMultilevel"/>
    <w:tmpl w:val="EFCAC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4FB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1E89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172C4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4B92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ld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6011-6B6B-4DD6-AB87-81DC3F16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2020-10-18T03:33:00Z</dcterms:created>
  <dcterms:modified xsi:type="dcterms:W3CDTF">2020-10-18T03:33:00Z</dcterms:modified>
</cp:coreProperties>
</file>